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06" w:rsidRPr="00AD265A" w:rsidRDefault="00B25E06" w:rsidP="00B25E06">
      <w:pPr>
        <w:pStyle w:val="Heading1"/>
        <w:rPr>
          <w:rFonts w:ascii="Calibri" w:hAnsi="Calibri" w:cs="Calibri"/>
          <w:color w:val="000000" w:themeColor="text1"/>
        </w:rPr>
      </w:pPr>
      <w:r>
        <w:rPr>
          <w:rFonts w:ascii="Calibri" w:hAnsi="Calibri" w:cs="Calibri"/>
          <w:color w:val="000000" w:themeColor="text1"/>
        </w:rPr>
        <w:t>DC-4E/GEDC-6E/AHRS-8 Inertial Systems --</w:t>
      </w:r>
      <w:r w:rsidRPr="00AD265A">
        <w:rPr>
          <w:rFonts w:ascii="Calibri" w:hAnsi="Calibri" w:cs="Calibri"/>
          <w:color w:val="000000" w:themeColor="text1"/>
        </w:rPr>
        <w:t xml:space="preserve"> Application Note 1001</w:t>
      </w:r>
      <w:r w:rsidR="00F96DBE">
        <w:rPr>
          <w:rFonts w:ascii="Calibri" w:hAnsi="Calibri" w:cs="Calibri"/>
          <w:color w:val="000000" w:themeColor="text1"/>
        </w:rPr>
        <w:t>E</w:t>
      </w:r>
      <w:bookmarkStart w:id="0" w:name="_GoBack"/>
      <w:bookmarkEnd w:id="0"/>
    </w:p>
    <w:p w:rsidR="00B25E06" w:rsidRPr="00215E61" w:rsidRDefault="00951673" w:rsidP="00B25E06">
      <w:pPr>
        <w:rPr>
          <w:rFonts w:ascii="Calibri" w:hAnsi="Calibri" w:cs="Calibri"/>
        </w:rPr>
      </w:pPr>
      <w:proofErr w:type="gramStart"/>
      <w:r w:rsidRPr="00951673">
        <w:rPr>
          <w:rFonts w:ascii="Calibri" w:hAnsi="Calibri" w:cs="Calibri"/>
        </w:rPr>
        <w:t xml:space="preserve">Sparton Digital Compass SP300x </w:t>
      </w:r>
      <w:r>
        <w:rPr>
          <w:rFonts w:ascii="Calibri" w:hAnsi="Calibri" w:cs="Calibri"/>
        </w:rPr>
        <w:t>b</w:t>
      </w:r>
      <w:r w:rsidR="00B25E06" w:rsidRPr="00215E61">
        <w:rPr>
          <w:rFonts w:ascii="Calibri" w:hAnsi="Calibri" w:cs="Calibri"/>
        </w:rPr>
        <w:t xml:space="preserve">ackwards </w:t>
      </w:r>
      <w:r>
        <w:rPr>
          <w:rFonts w:ascii="Calibri" w:hAnsi="Calibri" w:cs="Calibri"/>
        </w:rPr>
        <w:t>c</w:t>
      </w:r>
      <w:r w:rsidR="00B25E06" w:rsidRPr="00215E61">
        <w:rPr>
          <w:rFonts w:ascii="Calibri" w:hAnsi="Calibri" w:cs="Calibri"/>
        </w:rPr>
        <w:t xml:space="preserve">ompatibility </w:t>
      </w:r>
      <w:r>
        <w:rPr>
          <w:rFonts w:ascii="Calibri" w:hAnsi="Calibri" w:cs="Calibri"/>
        </w:rPr>
        <w:t>c</w:t>
      </w:r>
      <w:r w:rsidR="00B25E06" w:rsidRPr="00215E61">
        <w:rPr>
          <w:rFonts w:ascii="Calibri" w:hAnsi="Calibri" w:cs="Calibri"/>
        </w:rPr>
        <w:t>onsiderations for the DC</w:t>
      </w:r>
      <w:r w:rsidR="00B25E06">
        <w:rPr>
          <w:rFonts w:ascii="Calibri" w:hAnsi="Calibri" w:cs="Calibri"/>
        </w:rPr>
        <w:t xml:space="preserve">-4E, </w:t>
      </w:r>
      <w:r w:rsidR="00B25E06" w:rsidRPr="00215E61">
        <w:rPr>
          <w:rFonts w:ascii="Calibri" w:hAnsi="Calibri" w:cs="Calibri"/>
        </w:rPr>
        <w:t>GEDC-6</w:t>
      </w:r>
      <w:r w:rsidR="00B25E06">
        <w:rPr>
          <w:rFonts w:ascii="Calibri" w:hAnsi="Calibri" w:cs="Calibri"/>
        </w:rPr>
        <w:t>E,</w:t>
      </w:r>
      <w:r w:rsidR="00B25E06" w:rsidRPr="00215E61">
        <w:rPr>
          <w:rFonts w:ascii="Calibri" w:hAnsi="Calibri" w:cs="Calibri"/>
        </w:rPr>
        <w:t xml:space="preserve"> </w:t>
      </w:r>
      <w:r w:rsidR="00B25E06">
        <w:rPr>
          <w:rFonts w:ascii="Calibri" w:hAnsi="Calibri" w:cs="Calibri"/>
        </w:rPr>
        <w:t>and AHRS-8 inertial systems</w:t>
      </w:r>
      <w:r w:rsidR="00B25E06" w:rsidRPr="00215E61">
        <w:rPr>
          <w:rFonts w:ascii="Calibri" w:hAnsi="Calibri" w:cs="Calibri"/>
        </w:rPr>
        <w:t>.</w:t>
      </w:r>
      <w:proofErr w:type="gramEnd"/>
    </w:p>
    <w:p w:rsidR="00B25E06" w:rsidRPr="00AD265A" w:rsidRDefault="00B25E06" w:rsidP="00B25E06">
      <w:pPr>
        <w:pStyle w:val="Heading1"/>
        <w:rPr>
          <w:rFonts w:asciiTheme="minorHAnsi" w:hAnsiTheme="minorHAnsi" w:cstheme="minorHAnsi"/>
          <w:color w:val="000000" w:themeColor="text1"/>
        </w:rPr>
      </w:pPr>
      <w:r w:rsidRPr="00AD265A">
        <w:rPr>
          <w:rFonts w:asciiTheme="minorHAnsi" w:hAnsiTheme="minorHAnsi" w:cstheme="minorHAnsi"/>
          <w:color w:val="000000" w:themeColor="text1"/>
        </w:rPr>
        <w:t>Introduction</w:t>
      </w:r>
    </w:p>
    <w:p w:rsidR="00B25E06" w:rsidRPr="00215E61" w:rsidRDefault="00B25E06" w:rsidP="00B25E06">
      <w:pPr>
        <w:rPr>
          <w:rFonts w:ascii="Calibri" w:hAnsi="Calibri" w:cs="Calibri"/>
        </w:rPr>
      </w:pPr>
    </w:p>
    <w:p w:rsidR="00B25E06" w:rsidRDefault="00B25E06" w:rsidP="00B25E06">
      <w:pPr>
        <w:jc w:val="both"/>
        <w:rPr>
          <w:rFonts w:ascii="Calibri" w:hAnsi="Calibri" w:cs="Calibri"/>
        </w:rPr>
      </w:pPr>
      <w:r w:rsidRPr="000B0B55">
        <w:rPr>
          <w:rFonts w:ascii="Calibri" w:hAnsi="Calibri" w:cs="Calibri"/>
        </w:rPr>
        <w:t>Sparton introduced several options and features not present in the previous generation of products</w:t>
      </w:r>
      <w:r w:rsidR="00951673">
        <w:rPr>
          <w:rFonts w:ascii="Calibri" w:hAnsi="Calibri" w:cs="Calibri"/>
        </w:rPr>
        <w:t xml:space="preserve"> (</w:t>
      </w:r>
      <w:r w:rsidRPr="000B0B55">
        <w:rPr>
          <w:rFonts w:ascii="Calibri" w:hAnsi="Calibri" w:cs="Calibri"/>
        </w:rPr>
        <w:t>SP3002, SP3003</w:t>
      </w:r>
      <w:r w:rsidR="00DB02ED">
        <w:rPr>
          <w:rFonts w:ascii="Calibri" w:hAnsi="Calibri" w:cs="Calibri"/>
        </w:rPr>
        <w:t xml:space="preserve"> and</w:t>
      </w:r>
      <w:r w:rsidRPr="000B0B55">
        <w:rPr>
          <w:rFonts w:ascii="Calibri" w:hAnsi="Calibri" w:cs="Calibri"/>
        </w:rPr>
        <w:t xml:space="preserve"> SP3004</w:t>
      </w:r>
      <w:r w:rsidR="00951673">
        <w:rPr>
          <w:rFonts w:ascii="Calibri" w:hAnsi="Calibri" w:cs="Calibri"/>
        </w:rPr>
        <w:t>)</w:t>
      </w:r>
      <w:r w:rsidRPr="000B0B55">
        <w:rPr>
          <w:rFonts w:ascii="Calibri" w:hAnsi="Calibri" w:cs="Calibri"/>
        </w:rPr>
        <w:t xml:space="preserve"> </w:t>
      </w:r>
      <w:r w:rsidR="00DB02ED">
        <w:rPr>
          <w:rFonts w:ascii="Calibri" w:hAnsi="Calibri" w:cs="Calibri"/>
        </w:rPr>
        <w:t>to the</w:t>
      </w:r>
      <w:r w:rsidRPr="000B0B55">
        <w:rPr>
          <w:rFonts w:ascii="Calibri" w:hAnsi="Calibri" w:cs="Calibri"/>
        </w:rPr>
        <w:t xml:space="preserve"> upgraded line of inertial systems</w:t>
      </w:r>
      <w:r w:rsidR="00951673">
        <w:rPr>
          <w:rFonts w:ascii="Calibri" w:hAnsi="Calibri" w:cs="Calibri"/>
        </w:rPr>
        <w:t xml:space="preserve"> (DC-4, </w:t>
      </w:r>
      <w:r w:rsidRPr="000B0B55">
        <w:rPr>
          <w:rFonts w:ascii="Calibri" w:hAnsi="Calibri" w:cs="Calibri"/>
        </w:rPr>
        <w:t xml:space="preserve">DC-4E, </w:t>
      </w:r>
      <w:r w:rsidR="00951673">
        <w:rPr>
          <w:rFonts w:ascii="Calibri" w:hAnsi="Calibri" w:cs="Calibri"/>
        </w:rPr>
        <w:t xml:space="preserve">GEDC-6, </w:t>
      </w:r>
      <w:r w:rsidRPr="000B0B55">
        <w:rPr>
          <w:rFonts w:ascii="Calibri" w:hAnsi="Calibri" w:cs="Calibri"/>
        </w:rPr>
        <w:t>GEDC-6E and AHRS-8</w:t>
      </w:r>
      <w:r w:rsidR="00951673">
        <w:rPr>
          <w:rFonts w:ascii="Calibri" w:hAnsi="Calibri" w:cs="Calibri"/>
        </w:rPr>
        <w:t>)</w:t>
      </w:r>
      <w:r w:rsidRPr="000B0B55">
        <w:rPr>
          <w:rFonts w:ascii="Calibri" w:hAnsi="Calibri" w:cs="Calibri"/>
        </w:rPr>
        <w:t xml:space="preserve">. </w:t>
      </w:r>
      <w:r w:rsidR="00DB02ED">
        <w:rPr>
          <w:rFonts w:ascii="Calibri" w:hAnsi="Calibri" w:cs="Calibri"/>
        </w:rPr>
        <w:t xml:space="preserve"> </w:t>
      </w:r>
      <w:r w:rsidRPr="000B0B55">
        <w:rPr>
          <w:rFonts w:ascii="Calibri" w:hAnsi="Calibri" w:cs="Calibri"/>
        </w:rPr>
        <w:t xml:space="preserve">To make room for some of the new features, some interface compatibility differences are present in the NorthTek™ enabled products with respect to the communications interfaces, protocols and calibration.  These differences are described in this document. </w:t>
      </w:r>
      <w:r w:rsidR="00951673">
        <w:rPr>
          <w:rFonts w:ascii="Calibri" w:hAnsi="Calibri" w:cs="Calibri"/>
        </w:rPr>
        <w:t xml:space="preserve"> </w:t>
      </w:r>
      <w:r w:rsidRPr="000B0B55">
        <w:rPr>
          <w:rFonts w:ascii="Calibri" w:hAnsi="Calibri" w:cs="Calibri"/>
        </w:rPr>
        <w:t>Workarounds for most differences are available.  In cases where there is no workaround with the inertial system itself, the required workaround on the host system is</w:t>
      </w:r>
      <w:r w:rsidRPr="00215E61">
        <w:rPr>
          <w:rFonts w:ascii="Calibri" w:hAnsi="Calibri" w:cs="Calibri"/>
        </w:rPr>
        <w:t xml:space="preserve"> described</w:t>
      </w:r>
      <w:r>
        <w:rPr>
          <w:rFonts w:ascii="Calibri" w:hAnsi="Calibri" w:cs="Calibri"/>
        </w:rPr>
        <w:t>, if possible</w:t>
      </w:r>
      <w:r w:rsidRPr="00215E61">
        <w:rPr>
          <w:rFonts w:ascii="Calibri" w:hAnsi="Calibri" w:cs="Calibri"/>
        </w:rPr>
        <w:t>.</w:t>
      </w:r>
    </w:p>
    <w:p w:rsidR="00951673" w:rsidRDefault="00951673" w:rsidP="00B25E06">
      <w:pPr>
        <w:jc w:val="both"/>
        <w:rPr>
          <w:rFonts w:ascii="Calibri" w:hAnsi="Calibri" w:cs="Calibri"/>
        </w:rPr>
      </w:pPr>
    </w:p>
    <w:p w:rsidR="00951673" w:rsidRPr="00951673" w:rsidRDefault="00951673" w:rsidP="00951673">
      <w:pPr>
        <w:jc w:val="both"/>
        <w:rPr>
          <w:rFonts w:ascii="Calibri" w:hAnsi="Calibri" w:cs="Calibri"/>
        </w:rPr>
      </w:pPr>
      <w:r w:rsidRPr="00951673">
        <w:rPr>
          <w:rFonts w:ascii="Calibri" w:hAnsi="Calibri" w:cs="Calibri"/>
        </w:rPr>
        <w:t>Note that the DC-4E is a fully backwards compatible replacement for the DC-4 and the GEDC-6E is a fully backwards compatible replacement for the GEDC-6.  This compatibility applies to both hardware and software as a unit (i.e. DC-4E/GEDC-6E software will not function properly on DC-4/GEDC-6 hardware).</w:t>
      </w:r>
    </w:p>
    <w:p w:rsidR="00951673" w:rsidRPr="00215E61" w:rsidRDefault="00951673" w:rsidP="00B25E06">
      <w:pPr>
        <w:jc w:val="both"/>
        <w:rPr>
          <w:rFonts w:ascii="Calibri" w:hAnsi="Calibri" w:cs="Calibri"/>
        </w:rPr>
      </w:pPr>
    </w:p>
    <w:p w:rsidR="00B25E06" w:rsidRPr="00215E61" w:rsidRDefault="00B25E06" w:rsidP="00B25E06">
      <w:pPr>
        <w:rPr>
          <w:rFonts w:ascii="Calibri" w:hAnsi="Calibri" w:cs="Calibri"/>
        </w:rPr>
      </w:pPr>
    </w:p>
    <w:p w:rsidR="00B25E06" w:rsidRDefault="00B25E06" w:rsidP="00B25E06">
      <w:pPr>
        <w:rPr>
          <w:rFonts w:eastAsiaTheme="majorEastAsia" w:cstheme="minorHAnsi"/>
          <w:b/>
          <w:bCs/>
          <w:color w:val="000000" w:themeColor="text1"/>
          <w:sz w:val="28"/>
          <w:szCs w:val="28"/>
        </w:rPr>
      </w:pPr>
      <w:r>
        <w:rPr>
          <w:rFonts w:eastAsiaTheme="majorEastAsia" w:cstheme="minorHAnsi"/>
          <w:b/>
          <w:bCs/>
          <w:color w:val="000000" w:themeColor="text1"/>
          <w:sz w:val="28"/>
          <w:szCs w:val="28"/>
        </w:rPr>
        <w:t>Interface compatibility issues</w:t>
      </w:r>
      <w:r w:rsidRPr="00AD265A">
        <w:rPr>
          <w:rFonts w:eastAsiaTheme="majorEastAsia" w:cstheme="minorHAnsi"/>
          <w:b/>
          <w:bCs/>
          <w:color w:val="000000" w:themeColor="text1"/>
          <w:sz w:val="28"/>
          <w:szCs w:val="28"/>
        </w:rPr>
        <w:t xml:space="preserve"> between the NorthTek</w:t>
      </w:r>
      <w:r>
        <w:rPr>
          <w:rFonts w:eastAsiaTheme="majorEastAsia" w:cstheme="minorHAnsi"/>
          <w:b/>
          <w:bCs/>
          <w:color w:val="000000" w:themeColor="text1"/>
          <w:sz w:val="28"/>
          <w:szCs w:val="28"/>
        </w:rPr>
        <w:t>™</w:t>
      </w:r>
      <w:r w:rsidRPr="00AD265A">
        <w:rPr>
          <w:rFonts w:eastAsiaTheme="majorEastAsia" w:cstheme="minorHAnsi"/>
          <w:b/>
          <w:bCs/>
          <w:color w:val="000000" w:themeColor="text1"/>
          <w:sz w:val="28"/>
          <w:szCs w:val="28"/>
        </w:rPr>
        <w:t xml:space="preserve"> </w:t>
      </w:r>
      <w:r>
        <w:rPr>
          <w:rFonts w:eastAsiaTheme="majorEastAsia" w:cstheme="minorHAnsi"/>
          <w:b/>
          <w:bCs/>
          <w:color w:val="000000" w:themeColor="text1"/>
          <w:sz w:val="28"/>
          <w:szCs w:val="28"/>
        </w:rPr>
        <w:t>Enabled System</w:t>
      </w:r>
      <w:r w:rsidRPr="00AD265A">
        <w:rPr>
          <w:rFonts w:eastAsiaTheme="majorEastAsia" w:cstheme="minorHAnsi"/>
          <w:b/>
          <w:bCs/>
          <w:color w:val="000000" w:themeColor="text1"/>
          <w:sz w:val="28"/>
          <w:szCs w:val="28"/>
        </w:rPr>
        <w:t>s and SP300X products</w:t>
      </w:r>
    </w:p>
    <w:p w:rsidR="00B25E06" w:rsidRPr="00AD265A" w:rsidRDefault="00B25E06" w:rsidP="00B25E06">
      <w:pPr>
        <w:rPr>
          <w:rFonts w:eastAsiaTheme="majorEastAsia" w:cstheme="minorHAnsi"/>
          <w:b/>
          <w:bCs/>
          <w:color w:val="000000" w:themeColor="text1"/>
          <w:sz w:val="28"/>
          <w:szCs w:val="28"/>
        </w:rPr>
      </w:pPr>
    </w:p>
    <w:p w:rsidR="00B25E06" w:rsidRDefault="00B25E06" w:rsidP="00B25E06">
      <w:pPr>
        <w:rPr>
          <w:rFonts w:ascii="Calibri" w:hAnsi="Calibri" w:cs="Calibri"/>
        </w:rPr>
      </w:pPr>
      <w:r>
        <w:rPr>
          <w:rFonts w:ascii="Calibri" w:hAnsi="Calibri" w:cs="Calibri"/>
        </w:rPr>
        <w:t>This is the summary of the differences between the previous generation and new generation products. Each difference will be addressed in detail further in this application note.</w:t>
      </w:r>
    </w:p>
    <w:p w:rsidR="00B25E06" w:rsidRDefault="00B25E06" w:rsidP="00B25E06">
      <w:pPr>
        <w:rPr>
          <w:rFonts w:ascii="Calibri" w:hAnsi="Calibri" w:cs="Calibri"/>
        </w:rPr>
      </w:pPr>
    </w:p>
    <w:tbl>
      <w:tblPr>
        <w:tblStyle w:val="TableGrid"/>
        <w:tblW w:w="0" w:type="auto"/>
        <w:tblLook w:val="04A0" w:firstRow="1" w:lastRow="0" w:firstColumn="1" w:lastColumn="0" w:noHBand="0" w:noVBand="1"/>
      </w:tblPr>
      <w:tblGrid>
        <w:gridCol w:w="3672"/>
        <w:gridCol w:w="3672"/>
        <w:gridCol w:w="3672"/>
      </w:tblGrid>
      <w:tr w:rsidR="00B25E06" w:rsidTr="00951673">
        <w:tc>
          <w:tcPr>
            <w:tcW w:w="3672" w:type="dxa"/>
            <w:shd w:val="clear" w:color="auto" w:fill="FF9B9B"/>
          </w:tcPr>
          <w:p w:rsidR="00B25E06" w:rsidRDefault="00B25E06" w:rsidP="00951673">
            <w:pPr>
              <w:jc w:val="center"/>
              <w:rPr>
                <w:rFonts w:ascii="Calibri" w:hAnsi="Calibri" w:cs="Calibri"/>
              </w:rPr>
            </w:pPr>
            <w:r>
              <w:rPr>
                <w:rFonts w:ascii="Calibri" w:hAnsi="Calibri" w:cs="Calibri"/>
              </w:rPr>
              <w:t>SP300X</w:t>
            </w:r>
          </w:p>
        </w:tc>
        <w:tc>
          <w:tcPr>
            <w:tcW w:w="3672" w:type="dxa"/>
            <w:shd w:val="clear" w:color="auto" w:fill="FF9B9B"/>
          </w:tcPr>
          <w:p w:rsidR="00B25E06" w:rsidRDefault="00B25E06" w:rsidP="00951673">
            <w:pPr>
              <w:jc w:val="center"/>
              <w:rPr>
                <w:rFonts w:ascii="Calibri" w:hAnsi="Calibri" w:cs="Calibri"/>
              </w:rPr>
            </w:pPr>
            <w:r>
              <w:rPr>
                <w:rFonts w:ascii="Calibri" w:hAnsi="Calibri" w:cs="Calibri"/>
              </w:rPr>
              <w:t>DC-4E, GEDC-6E, AHRS-8</w:t>
            </w:r>
          </w:p>
        </w:tc>
        <w:tc>
          <w:tcPr>
            <w:tcW w:w="3672" w:type="dxa"/>
            <w:shd w:val="clear" w:color="auto" w:fill="FF9B9B"/>
          </w:tcPr>
          <w:p w:rsidR="00B25E06" w:rsidRDefault="00B25E06" w:rsidP="00951673">
            <w:pPr>
              <w:jc w:val="center"/>
              <w:rPr>
                <w:rFonts w:ascii="Calibri" w:hAnsi="Calibri" w:cs="Calibri"/>
              </w:rPr>
            </w:pPr>
            <w:r>
              <w:rPr>
                <w:rFonts w:ascii="Calibri" w:hAnsi="Calibri" w:cs="Calibri"/>
              </w:rPr>
              <w:t>Notes</w:t>
            </w:r>
          </w:p>
        </w:tc>
      </w:tr>
      <w:tr w:rsidR="00B25E06" w:rsidTr="00951673">
        <w:tc>
          <w:tcPr>
            <w:tcW w:w="3672" w:type="dxa"/>
          </w:tcPr>
          <w:p w:rsidR="00B25E06" w:rsidRDefault="00B25E06" w:rsidP="00951673">
            <w:pPr>
              <w:rPr>
                <w:rFonts w:ascii="Calibri" w:hAnsi="Calibri" w:cs="Calibri"/>
              </w:rPr>
            </w:pPr>
            <w:r>
              <w:rPr>
                <w:rFonts w:ascii="Calibri" w:hAnsi="Calibri" w:cs="Calibri"/>
              </w:rPr>
              <w:t>At startup the string BX is transmitted, where X is the current baud rate index.</w:t>
            </w:r>
          </w:p>
        </w:tc>
        <w:tc>
          <w:tcPr>
            <w:tcW w:w="3672" w:type="dxa"/>
          </w:tcPr>
          <w:p w:rsidR="00B25E06" w:rsidRDefault="00B25E06" w:rsidP="00951673">
            <w:pPr>
              <w:rPr>
                <w:rFonts w:ascii="Calibri" w:hAnsi="Calibri" w:cs="Calibri"/>
              </w:rPr>
            </w:pPr>
            <w:r>
              <w:rPr>
                <w:rFonts w:ascii="Calibri" w:hAnsi="Calibri" w:cs="Calibri"/>
              </w:rPr>
              <w:t>By default, no output.</w:t>
            </w:r>
          </w:p>
        </w:tc>
        <w:tc>
          <w:tcPr>
            <w:tcW w:w="3672" w:type="dxa"/>
          </w:tcPr>
          <w:p w:rsidR="00B25E06" w:rsidRDefault="00B25E06" w:rsidP="00951673">
            <w:pPr>
              <w:rPr>
                <w:rFonts w:ascii="Calibri" w:hAnsi="Calibri" w:cs="Calibri"/>
              </w:rPr>
            </w:pPr>
            <w:r>
              <w:rPr>
                <w:rFonts w:ascii="Calibri" w:hAnsi="Calibri" w:cs="Calibri"/>
              </w:rPr>
              <w:t>This feature may be programmed by the user, if desired.</w:t>
            </w:r>
          </w:p>
        </w:tc>
      </w:tr>
      <w:tr w:rsidR="00B25E06" w:rsidTr="00951673">
        <w:tc>
          <w:tcPr>
            <w:tcW w:w="3672" w:type="dxa"/>
          </w:tcPr>
          <w:p w:rsidR="00B25E06" w:rsidRDefault="00B25E06" w:rsidP="00951673">
            <w:pPr>
              <w:rPr>
                <w:rFonts w:ascii="Calibri" w:hAnsi="Calibri" w:cs="Calibri"/>
              </w:rPr>
            </w:pPr>
            <w:r>
              <w:rPr>
                <w:rFonts w:ascii="Calibri" w:hAnsi="Calibri" w:cs="Calibri"/>
              </w:rPr>
              <w:t>The NMEA repeat option is stored so that the repeat continues after a power cycle.</w:t>
            </w:r>
          </w:p>
        </w:tc>
        <w:tc>
          <w:tcPr>
            <w:tcW w:w="3672" w:type="dxa"/>
          </w:tcPr>
          <w:p w:rsidR="00B25E06" w:rsidRDefault="00B25E06" w:rsidP="00951673">
            <w:pPr>
              <w:rPr>
                <w:rFonts w:ascii="Calibri" w:hAnsi="Calibri" w:cs="Calibri"/>
              </w:rPr>
            </w:pPr>
            <w:r>
              <w:rPr>
                <w:rFonts w:ascii="Calibri" w:hAnsi="Calibri" w:cs="Calibri"/>
              </w:rPr>
              <w:t xml:space="preserve">By default, repeating options are not continued through a power cycle.  </w:t>
            </w:r>
          </w:p>
        </w:tc>
        <w:tc>
          <w:tcPr>
            <w:tcW w:w="3672" w:type="dxa"/>
          </w:tcPr>
          <w:p w:rsidR="00B25E06" w:rsidRDefault="00B25E06" w:rsidP="00951673">
            <w:pPr>
              <w:rPr>
                <w:rFonts w:ascii="Calibri" w:hAnsi="Calibri" w:cs="Calibri"/>
              </w:rPr>
            </w:pPr>
            <w:r>
              <w:rPr>
                <w:rFonts w:ascii="Calibri" w:hAnsi="Calibri" w:cs="Calibri"/>
              </w:rPr>
              <w:t xml:space="preserve">This feature may be programmed by the user, if desired. </w:t>
            </w:r>
          </w:p>
        </w:tc>
      </w:tr>
      <w:tr w:rsidR="00B25E06" w:rsidTr="00951673">
        <w:tc>
          <w:tcPr>
            <w:tcW w:w="3672" w:type="dxa"/>
          </w:tcPr>
          <w:p w:rsidR="00B25E06" w:rsidRDefault="00B25E06" w:rsidP="00951673">
            <w:pPr>
              <w:rPr>
                <w:rFonts w:ascii="Calibri" w:hAnsi="Calibri" w:cs="Calibri"/>
              </w:rPr>
            </w:pPr>
            <w:r>
              <w:rPr>
                <w:rFonts w:ascii="Calibri" w:hAnsi="Calibri" w:cs="Calibri"/>
              </w:rPr>
              <w:t>NMEA repeat is stopped by a single “$.</w:t>
            </w:r>
          </w:p>
        </w:tc>
        <w:tc>
          <w:tcPr>
            <w:tcW w:w="3672" w:type="dxa"/>
          </w:tcPr>
          <w:p w:rsidR="00B25E06" w:rsidRDefault="00B25E06" w:rsidP="00951673">
            <w:pPr>
              <w:rPr>
                <w:rFonts w:ascii="Calibri" w:hAnsi="Calibri" w:cs="Calibri"/>
              </w:rPr>
            </w:pPr>
            <w:r>
              <w:rPr>
                <w:rFonts w:ascii="Calibri" w:hAnsi="Calibri" w:cs="Calibri"/>
              </w:rPr>
              <w:t>Not implemented.</w:t>
            </w:r>
          </w:p>
        </w:tc>
        <w:tc>
          <w:tcPr>
            <w:tcW w:w="3672" w:type="dxa"/>
          </w:tcPr>
          <w:p w:rsidR="00B25E06" w:rsidRDefault="00B25E06" w:rsidP="00951673">
            <w:pPr>
              <w:rPr>
                <w:rFonts w:ascii="Calibri" w:hAnsi="Calibri" w:cs="Calibri"/>
              </w:rPr>
            </w:pPr>
            <w:r>
              <w:rPr>
                <w:rFonts w:ascii="Calibri" w:hAnsi="Calibri" w:cs="Calibri"/>
              </w:rPr>
              <w:t>Other methods are provided to stop repeating output.</w:t>
            </w:r>
          </w:p>
        </w:tc>
      </w:tr>
      <w:tr w:rsidR="00B25E06" w:rsidTr="00951673">
        <w:tc>
          <w:tcPr>
            <w:tcW w:w="3672" w:type="dxa"/>
          </w:tcPr>
          <w:p w:rsidR="00B25E06" w:rsidRDefault="00B25E06" w:rsidP="00951673">
            <w:pPr>
              <w:rPr>
                <w:rFonts w:ascii="Calibri" w:hAnsi="Calibri" w:cs="Calibri"/>
              </w:rPr>
            </w:pPr>
            <w:r>
              <w:rPr>
                <w:rFonts w:ascii="Calibri" w:hAnsi="Calibri" w:cs="Calibri"/>
              </w:rPr>
              <w:t>Default baud rate is 9600.</w:t>
            </w:r>
          </w:p>
        </w:tc>
        <w:tc>
          <w:tcPr>
            <w:tcW w:w="3672" w:type="dxa"/>
          </w:tcPr>
          <w:p w:rsidR="00B25E06" w:rsidRDefault="00B25E06" w:rsidP="00951673">
            <w:pPr>
              <w:rPr>
                <w:rFonts w:ascii="Calibri" w:hAnsi="Calibri" w:cs="Calibri"/>
              </w:rPr>
            </w:pPr>
            <w:r>
              <w:rPr>
                <w:rFonts w:ascii="Calibri" w:hAnsi="Calibri" w:cs="Calibri"/>
              </w:rPr>
              <w:t>Default baud rate is 115200.</w:t>
            </w:r>
          </w:p>
        </w:tc>
        <w:tc>
          <w:tcPr>
            <w:tcW w:w="3672" w:type="dxa"/>
          </w:tcPr>
          <w:p w:rsidR="00B25E06" w:rsidRDefault="00B25E06" w:rsidP="00951673">
            <w:pPr>
              <w:rPr>
                <w:rFonts w:ascii="Calibri" w:hAnsi="Calibri" w:cs="Calibri"/>
              </w:rPr>
            </w:pPr>
            <w:r>
              <w:rPr>
                <w:rFonts w:ascii="Calibri" w:hAnsi="Calibri" w:cs="Calibri"/>
              </w:rPr>
              <w:t>The baud rate, once stored</w:t>
            </w:r>
            <w:r w:rsidR="00DB02ED">
              <w:rPr>
                <w:rFonts w:ascii="Calibri" w:hAnsi="Calibri" w:cs="Calibri"/>
              </w:rPr>
              <w:t>,</w:t>
            </w:r>
            <w:r>
              <w:rPr>
                <w:rFonts w:ascii="Calibri" w:hAnsi="Calibri" w:cs="Calibri"/>
              </w:rPr>
              <w:t xml:space="preserve"> will remain the same through a power cycle. </w:t>
            </w:r>
            <w:r w:rsidR="00DB02ED">
              <w:rPr>
                <w:rFonts w:ascii="Calibri" w:hAnsi="Calibri" w:cs="Calibri"/>
              </w:rPr>
              <w:t xml:space="preserve"> </w:t>
            </w:r>
            <w:r>
              <w:rPr>
                <w:rFonts w:ascii="Calibri" w:hAnsi="Calibri" w:cs="Calibri"/>
              </w:rPr>
              <w:t xml:space="preserve">The default baud rate is only an issue for the first time operation if 9600 is desired.  </w:t>
            </w:r>
          </w:p>
        </w:tc>
      </w:tr>
      <w:tr w:rsidR="00B25E06" w:rsidTr="00951673">
        <w:tc>
          <w:tcPr>
            <w:tcW w:w="3672" w:type="dxa"/>
          </w:tcPr>
          <w:p w:rsidR="00B25E06" w:rsidRDefault="00B25E06" w:rsidP="00951673">
            <w:pPr>
              <w:rPr>
                <w:rFonts w:ascii="Calibri" w:hAnsi="Calibri" w:cs="Calibri"/>
              </w:rPr>
            </w:pPr>
            <w:r>
              <w:rPr>
                <w:rFonts w:ascii="Calibri" w:hAnsi="Calibri" w:cs="Calibri"/>
              </w:rPr>
              <w:lastRenderedPageBreak/>
              <w:t>Serial signals are available at logic and TIA232 signal levels.</w:t>
            </w:r>
          </w:p>
        </w:tc>
        <w:tc>
          <w:tcPr>
            <w:tcW w:w="3672" w:type="dxa"/>
          </w:tcPr>
          <w:p w:rsidR="00B25E06" w:rsidRDefault="00B25E06" w:rsidP="00951673">
            <w:pPr>
              <w:rPr>
                <w:rFonts w:ascii="Calibri" w:hAnsi="Calibri" w:cs="Calibri"/>
              </w:rPr>
            </w:pPr>
            <w:r>
              <w:rPr>
                <w:rFonts w:ascii="Calibri" w:hAnsi="Calibri" w:cs="Calibri"/>
              </w:rPr>
              <w:t>Serial data is logic level only.</w:t>
            </w:r>
          </w:p>
        </w:tc>
        <w:tc>
          <w:tcPr>
            <w:tcW w:w="3672" w:type="dxa"/>
          </w:tcPr>
          <w:p w:rsidR="00B25E06" w:rsidRDefault="00B25E06" w:rsidP="00951673">
            <w:pPr>
              <w:rPr>
                <w:rFonts w:ascii="Calibri" w:hAnsi="Calibri" w:cs="Calibri"/>
              </w:rPr>
            </w:pPr>
          </w:p>
        </w:tc>
      </w:tr>
      <w:tr w:rsidR="00B25E06" w:rsidTr="00951673">
        <w:tc>
          <w:tcPr>
            <w:tcW w:w="3672" w:type="dxa"/>
          </w:tcPr>
          <w:p w:rsidR="00B25E06" w:rsidRDefault="00B25E06" w:rsidP="00951673">
            <w:pPr>
              <w:rPr>
                <w:rFonts w:ascii="Calibri" w:hAnsi="Calibri" w:cs="Calibri"/>
              </w:rPr>
            </w:pPr>
            <w:r>
              <w:rPr>
                <w:rFonts w:ascii="Calibri" w:hAnsi="Calibri" w:cs="Calibri"/>
              </w:rPr>
              <w:t>Field calibration process.</w:t>
            </w:r>
          </w:p>
        </w:tc>
        <w:tc>
          <w:tcPr>
            <w:tcW w:w="3672" w:type="dxa"/>
          </w:tcPr>
          <w:p w:rsidR="00B25E06" w:rsidRDefault="00B25E06" w:rsidP="00951673">
            <w:pPr>
              <w:rPr>
                <w:rFonts w:ascii="Calibri" w:hAnsi="Calibri" w:cs="Calibri"/>
              </w:rPr>
            </w:pPr>
            <w:r>
              <w:rPr>
                <w:rFonts w:ascii="Calibri" w:hAnsi="Calibri" w:cs="Calibri"/>
              </w:rPr>
              <w:t>The field calibration process is different in the new products.</w:t>
            </w:r>
          </w:p>
        </w:tc>
        <w:tc>
          <w:tcPr>
            <w:tcW w:w="3672" w:type="dxa"/>
          </w:tcPr>
          <w:p w:rsidR="00B25E06" w:rsidRDefault="00B25E06" w:rsidP="00951673">
            <w:pPr>
              <w:rPr>
                <w:rFonts w:ascii="Calibri" w:hAnsi="Calibri" w:cs="Calibri"/>
              </w:rPr>
            </w:pPr>
          </w:p>
        </w:tc>
      </w:tr>
      <w:tr w:rsidR="00B25E06" w:rsidTr="00951673">
        <w:tc>
          <w:tcPr>
            <w:tcW w:w="3672" w:type="dxa"/>
          </w:tcPr>
          <w:p w:rsidR="00B25E06" w:rsidRDefault="00B25E06" w:rsidP="00951673">
            <w:pPr>
              <w:rPr>
                <w:rFonts w:ascii="Calibri" w:hAnsi="Calibri" w:cs="Calibri"/>
              </w:rPr>
            </w:pPr>
            <w:r>
              <w:rPr>
                <w:rFonts w:ascii="Calibri" w:hAnsi="Calibri" w:cs="Calibri"/>
              </w:rPr>
              <w:t>Analog and Digital Inputs/Outputs</w:t>
            </w:r>
          </w:p>
        </w:tc>
        <w:tc>
          <w:tcPr>
            <w:tcW w:w="3672" w:type="dxa"/>
          </w:tcPr>
          <w:p w:rsidR="00B25E06" w:rsidRDefault="00B25E06" w:rsidP="00951673">
            <w:pPr>
              <w:rPr>
                <w:rFonts w:ascii="Calibri" w:hAnsi="Calibri" w:cs="Calibri"/>
              </w:rPr>
            </w:pPr>
            <w:r>
              <w:rPr>
                <w:rFonts w:ascii="Calibri" w:hAnsi="Calibri" w:cs="Calibri"/>
              </w:rPr>
              <w:t>Not available.</w:t>
            </w:r>
          </w:p>
        </w:tc>
        <w:tc>
          <w:tcPr>
            <w:tcW w:w="3672" w:type="dxa"/>
          </w:tcPr>
          <w:p w:rsidR="00B25E06" w:rsidRDefault="00B25E06" w:rsidP="00951673">
            <w:pPr>
              <w:rPr>
                <w:rFonts w:ascii="Calibri" w:hAnsi="Calibri" w:cs="Calibri"/>
              </w:rPr>
            </w:pPr>
          </w:p>
        </w:tc>
      </w:tr>
      <w:tr w:rsidR="00B25E06" w:rsidTr="00951673">
        <w:tc>
          <w:tcPr>
            <w:tcW w:w="3672" w:type="dxa"/>
          </w:tcPr>
          <w:p w:rsidR="00B25E06" w:rsidRDefault="00B25E06" w:rsidP="00951673">
            <w:pPr>
              <w:rPr>
                <w:rFonts w:ascii="Calibri" w:hAnsi="Calibri" w:cs="Calibri"/>
              </w:rPr>
            </w:pPr>
            <w:r>
              <w:rPr>
                <w:rFonts w:ascii="Calibri" w:hAnsi="Calibri" w:cs="Calibri"/>
              </w:rPr>
              <w:t>Serial Peripheral Interface (SPI)</w:t>
            </w:r>
          </w:p>
        </w:tc>
        <w:tc>
          <w:tcPr>
            <w:tcW w:w="3672" w:type="dxa"/>
          </w:tcPr>
          <w:p w:rsidR="00B25E06" w:rsidRDefault="00B25E06" w:rsidP="00951673">
            <w:pPr>
              <w:rPr>
                <w:rFonts w:ascii="Calibri" w:hAnsi="Calibri" w:cs="Calibri"/>
              </w:rPr>
            </w:pPr>
            <w:r>
              <w:rPr>
                <w:rFonts w:ascii="Calibri" w:hAnsi="Calibri" w:cs="Calibri"/>
              </w:rPr>
              <w:t>Not available.</w:t>
            </w:r>
          </w:p>
        </w:tc>
        <w:tc>
          <w:tcPr>
            <w:tcW w:w="3672" w:type="dxa"/>
          </w:tcPr>
          <w:p w:rsidR="00B25E06" w:rsidRDefault="00B25E06" w:rsidP="00951673">
            <w:pPr>
              <w:rPr>
                <w:rFonts w:ascii="Calibri" w:hAnsi="Calibri" w:cs="Calibri"/>
              </w:rPr>
            </w:pPr>
          </w:p>
        </w:tc>
      </w:tr>
      <w:tr w:rsidR="00B25E06" w:rsidTr="00951673">
        <w:tc>
          <w:tcPr>
            <w:tcW w:w="3672" w:type="dxa"/>
          </w:tcPr>
          <w:p w:rsidR="00B25E06" w:rsidRDefault="00B25E06" w:rsidP="00951673">
            <w:pPr>
              <w:rPr>
                <w:rFonts w:ascii="Calibri" w:hAnsi="Calibri" w:cs="Calibri"/>
              </w:rPr>
            </w:pPr>
            <w:r>
              <w:rPr>
                <w:rFonts w:ascii="Calibri" w:hAnsi="Calibri" w:cs="Calibri"/>
              </w:rPr>
              <w:t>Update of World Magnetic Model.</w:t>
            </w:r>
          </w:p>
        </w:tc>
        <w:tc>
          <w:tcPr>
            <w:tcW w:w="3672" w:type="dxa"/>
          </w:tcPr>
          <w:p w:rsidR="00B25E06" w:rsidRDefault="00B25E06" w:rsidP="00951673">
            <w:pPr>
              <w:rPr>
                <w:rFonts w:ascii="Calibri" w:hAnsi="Calibri" w:cs="Calibri"/>
              </w:rPr>
            </w:pPr>
            <w:r>
              <w:rPr>
                <w:rFonts w:ascii="Calibri" w:hAnsi="Calibri" w:cs="Calibri"/>
              </w:rPr>
              <w:t>Also available, uses a different method.</w:t>
            </w:r>
          </w:p>
        </w:tc>
        <w:tc>
          <w:tcPr>
            <w:tcW w:w="3672" w:type="dxa"/>
          </w:tcPr>
          <w:p w:rsidR="00B25E06" w:rsidRDefault="00B25E06" w:rsidP="00951673">
            <w:pPr>
              <w:rPr>
                <w:rFonts w:ascii="Calibri" w:hAnsi="Calibri" w:cs="Calibri"/>
              </w:rPr>
            </w:pPr>
          </w:p>
        </w:tc>
      </w:tr>
      <w:tr w:rsidR="00B25E06" w:rsidTr="00951673">
        <w:tc>
          <w:tcPr>
            <w:tcW w:w="3672" w:type="dxa"/>
          </w:tcPr>
          <w:p w:rsidR="00B25E06" w:rsidRDefault="00B25E06" w:rsidP="00951673">
            <w:pPr>
              <w:rPr>
                <w:rFonts w:ascii="Calibri" w:hAnsi="Calibri" w:cs="Calibri"/>
              </w:rPr>
            </w:pPr>
            <w:r>
              <w:rPr>
                <w:rFonts w:ascii="Calibri" w:hAnsi="Calibri" w:cs="Calibri"/>
              </w:rPr>
              <w:t>Selectable Digital Filter.</w:t>
            </w:r>
          </w:p>
        </w:tc>
        <w:tc>
          <w:tcPr>
            <w:tcW w:w="3672" w:type="dxa"/>
          </w:tcPr>
          <w:p w:rsidR="00B25E06" w:rsidRDefault="00B25E06" w:rsidP="00951673">
            <w:pPr>
              <w:rPr>
                <w:rFonts w:ascii="Calibri" w:hAnsi="Calibri" w:cs="Calibri"/>
              </w:rPr>
            </w:pPr>
            <w:r>
              <w:rPr>
                <w:rFonts w:ascii="Calibri" w:hAnsi="Calibri" w:cs="Calibri"/>
              </w:rPr>
              <w:t>Not present.</w:t>
            </w:r>
          </w:p>
        </w:tc>
        <w:tc>
          <w:tcPr>
            <w:tcW w:w="3672" w:type="dxa"/>
          </w:tcPr>
          <w:p w:rsidR="00B25E06" w:rsidRDefault="00B25E06" w:rsidP="00951673">
            <w:pPr>
              <w:rPr>
                <w:rFonts w:ascii="Calibri" w:hAnsi="Calibri" w:cs="Calibri"/>
              </w:rPr>
            </w:pPr>
            <w:r>
              <w:rPr>
                <w:rFonts w:ascii="Calibri" w:hAnsi="Calibri" w:cs="Calibri"/>
              </w:rPr>
              <w:t>The new products have more tuning options than the single filter choice.</w:t>
            </w:r>
          </w:p>
        </w:tc>
      </w:tr>
      <w:tr w:rsidR="00B25E06" w:rsidTr="00951673">
        <w:tc>
          <w:tcPr>
            <w:tcW w:w="3672" w:type="dxa"/>
          </w:tcPr>
          <w:p w:rsidR="00B25E06" w:rsidRDefault="00B25E06" w:rsidP="00951673">
            <w:pPr>
              <w:rPr>
                <w:rFonts w:ascii="Calibri" w:hAnsi="Calibri" w:cs="Calibri"/>
              </w:rPr>
            </w:pPr>
            <w:r>
              <w:rPr>
                <w:rFonts w:ascii="Calibri" w:hAnsi="Calibri" w:cs="Calibri"/>
              </w:rPr>
              <w:t>Factory Code updates</w:t>
            </w:r>
          </w:p>
        </w:tc>
        <w:tc>
          <w:tcPr>
            <w:tcW w:w="3672" w:type="dxa"/>
          </w:tcPr>
          <w:p w:rsidR="00B25E06" w:rsidRDefault="00B25E06" w:rsidP="00951673">
            <w:pPr>
              <w:rPr>
                <w:rFonts w:ascii="Calibri" w:hAnsi="Calibri" w:cs="Calibri"/>
              </w:rPr>
            </w:pPr>
            <w:r>
              <w:rPr>
                <w:rFonts w:ascii="Calibri" w:hAnsi="Calibri" w:cs="Calibri"/>
              </w:rPr>
              <w:t>In field code updates.</w:t>
            </w:r>
          </w:p>
        </w:tc>
        <w:tc>
          <w:tcPr>
            <w:tcW w:w="3672" w:type="dxa"/>
          </w:tcPr>
          <w:p w:rsidR="00B25E06" w:rsidRDefault="00B25E06" w:rsidP="00951673">
            <w:pPr>
              <w:rPr>
                <w:rFonts w:ascii="Calibri" w:hAnsi="Calibri" w:cs="Calibri"/>
              </w:rPr>
            </w:pPr>
          </w:p>
        </w:tc>
      </w:tr>
    </w:tbl>
    <w:p w:rsidR="00B25E06" w:rsidRPr="003B72D0" w:rsidRDefault="00B25E06" w:rsidP="00B25E06">
      <w:pPr>
        <w:pStyle w:val="section1"/>
        <w:spacing w:before="0" w:beforeAutospacing="0" w:after="0" w:afterAutospacing="0"/>
        <w:jc w:val="both"/>
        <w:rPr>
          <w:rFonts w:asciiTheme="minorHAnsi" w:eastAsiaTheme="majorEastAsia" w:hAnsiTheme="minorHAnsi" w:cstheme="minorHAnsi"/>
          <w:b/>
          <w:bCs/>
          <w:color w:val="000000" w:themeColor="text1"/>
          <w:sz w:val="28"/>
          <w:szCs w:val="28"/>
        </w:rPr>
      </w:pPr>
    </w:p>
    <w:p w:rsidR="00B25E06" w:rsidRPr="003B72D0" w:rsidRDefault="00B25E06" w:rsidP="00B25E06">
      <w:pPr>
        <w:pStyle w:val="section1"/>
        <w:spacing w:before="0" w:beforeAutospacing="0" w:after="0" w:afterAutospacing="0"/>
        <w:jc w:val="both"/>
        <w:rPr>
          <w:rFonts w:asciiTheme="minorHAnsi" w:eastAsiaTheme="majorEastAsia" w:hAnsiTheme="minorHAnsi" w:cstheme="minorHAnsi"/>
          <w:b/>
          <w:bCs/>
          <w:color w:val="000000" w:themeColor="text1"/>
          <w:sz w:val="28"/>
          <w:szCs w:val="28"/>
        </w:rPr>
      </w:pPr>
      <w:r w:rsidRPr="003B72D0">
        <w:rPr>
          <w:rFonts w:asciiTheme="minorHAnsi" w:eastAsiaTheme="majorEastAsia" w:hAnsiTheme="minorHAnsi" w:cstheme="minorHAnsi"/>
          <w:b/>
          <w:bCs/>
          <w:color w:val="000000" w:themeColor="text1"/>
          <w:sz w:val="28"/>
          <w:szCs w:val="28"/>
        </w:rPr>
        <w:t>Detailed Differences and Workarounds</w:t>
      </w:r>
    </w:p>
    <w:p w:rsidR="00B25E06" w:rsidRDefault="00B25E06" w:rsidP="00B25E06">
      <w:pPr>
        <w:rPr>
          <w:rFonts w:ascii="Calibri" w:hAnsi="Calibri" w:cs="Calibri"/>
        </w:rPr>
      </w:pPr>
    </w:p>
    <w:p w:rsidR="00B25E06" w:rsidRDefault="00B25E06" w:rsidP="00B25E06">
      <w:pPr>
        <w:pStyle w:val="Subheading"/>
      </w:pPr>
      <w:r w:rsidRPr="003B72D0">
        <w:t>BX Transmitted at startup</w:t>
      </w:r>
    </w:p>
    <w:p w:rsidR="00B25E06" w:rsidRDefault="00B25E06" w:rsidP="00B25E06">
      <w:pPr>
        <w:pStyle w:val="Subheading"/>
      </w:pPr>
    </w:p>
    <w:p w:rsidR="00B25E06" w:rsidRDefault="00B25E06" w:rsidP="00B25E06">
      <w:pPr>
        <w:jc w:val="both"/>
      </w:pPr>
      <w:r>
        <w:t>The legacy SP300X compasses output a string containing a capital letter B followed by a digit from 1 to 8 indicating the</w:t>
      </w:r>
      <w:r w:rsidR="000B0B55">
        <w:t xml:space="preserve"> current baud rate.  The </w:t>
      </w:r>
      <w:r w:rsidR="000B0B55" w:rsidRPr="000B0B55">
        <w:t>DC-4E/</w:t>
      </w:r>
      <w:r w:rsidRPr="000B0B55">
        <w:t>GEDC-6E</w:t>
      </w:r>
      <w:r w:rsidR="00162013" w:rsidRPr="000B0B55">
        <w:t>/AHRS-8 do</w:t>
      </w:r>
      <w:r w:rsidRPr="000B0B55">
        <w:t xml:space="preserve"> not output this information by default. </w:t>
      </w:r>
      <w:r w:rsidR="00DB02ED">
        <w:t xml:space="preserve"> </w:t>
      </w:r>
      <w:r w:rsidRPr="000B0B55">
        <w:t xml:space="preserve">However, there is a workaround. </w:t>
      </w:r>
      <w:r w:rsidR="00DB02ED">
        <w:t xml:space="preserve"> </w:t>
      </w:r>
      <w:r w:rsidRPr="000B0B55">
        <w:t>The NorthTek</w:t>
      </w:r>
      <w:r w:rsidRPr="000B0B55">
        <w:rPr>
          <w:rFonts w:cstheme="minorHAnsi"/>
        </w:rPr>
        <w:t>™</w:t>
      </w:r>
      <w:r w:rsidRPr="000B0B55">
        <w:t xml:space="preserve"> script below can be sent to the DC</w:t>
      </w:r>
      <w:r>
        <w:t>-4E/ GEDC-6E/AHRS-8 via the user port using a dumb terminal emulator (At 115200 baud you must add 5msec delay per line to the terminal emulator program to avoid overrunning the NorthTek</w:t>
      </w:r>
      <w:r>
        <w:rPr>
          <w:rFonts w:cstheme="minorHAnsi"/>
        </w:rPr>
        <w:t>™</w:t>
      </w:r>
      <w:r>
        <w:t xml:space="preserve"> compiler).  This script will store a program in the User EEPROM boot space. </w:t>
      </w:r>
      <w:r w:rsidR="00DB02ED">
        <w:t xml:space="preserve"> </w:t>
      </w:r>
      <w:r>
        <w:t xml:space="preserve">The inertial system will then output the B followed by the baud rate encoding, after every reset or resume from low power mode. </w:t>
      </w:r>
      <w:r w:rsidR="00DB02ED">
        <w:t xml:space="preserve"> </w:t>
      </w:r>
      <w:r>
        <w:t>This NorthTek</w:t>
      </w:r>
      <w:r>
        <w:rPr>
          <w:rFonts w:cstheme="minorHAnsi"/>
        </w:rPr>
        <w:t>™</w:t>
      </w:r>
      <w:r>
        <w:t xml:space="preserve"> script is described in detail in another application note.</w:t>
      </w:r>
    </w:p>
    <w:p w:rsidR="00B25E06" w:rsidRDefault="00B25E06" w:rsidP="00B25E06"/>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Program to enable legacy compass NMEA behavior.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file loads a set of forth words into the EEPROM</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that will execute at </w:t>
      </w:r>
      <w:proofErr w:type="spellStart"/>
      <w:r w:rsidRPr="00320573">
        <w:rPr>
          <w:rFonts w:ascii="Courier New" w:hAnsi="Courier New" w:cs="Courier New"/>
          <w:sz w:val="16"/>
          <w:szCs w:val="16"/>
        </w:rPr>
        <w:t>bootup</w:t>
      </w:r>
      <w:proofErr w:type="spellEnd"/>
      <w:r w:rsidRPr="00320573">
        <w:rPr>
          <w:rFonts w:ascii="Courier New" w:hAnsi="Courier New" w:cs="Courier New"/>
          <w:sz w:val="16"/>
          <w:szCs w:val="16"/>
        </w:rPr>
        <w: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Needs </w:t>
      </w:r>
      <w:proofErr w:type="spellStart"/>
      <w:r w:rsidRPr="00320573">
        <w:rPr>
          <w:rFonts w:ascii="Courier New" w:hAnsi="Courier New" w:cs="Courier New"/>
          <w:sz w:val="16"/>
          <w:szCs w:val="16"/>
        </w:rPr>
        <w:t>svn</w:t>
      </w:r>
      <w:proofErr w:type="spellEnd"/>
      <w:r w:rsidRPr="00320573">
        <w:rPr>
          <w:rFonts w:ascii="Courier New" w:hAnsi="Courier New" w:cs="Courier New"/>
          <w:sz w:val="16"/>
          <w:szCs w:val="16"/>
        </w:rPr>
        <w:t xml:space="preserve"> revision 35 or later.</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program does the following:</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1) Defines a word call b4.</w:t>
      </w:r>
      <w:r>
        <w:rPr>
          <w:rFonts w:ascii="Courier New" w:hAnsi="Courier New" w:cs="Courier New"/>
          <w:sz w:val="16"/>
          <w:szCs w:val="16"/>
        </w:rPr>
        <w:t xml:space="preserve"> T</w:t>
      </w:r>
      <w:r w:rsidRPr="00320573">
        <w:rPr>
          <w:rFonts w:ascii="Courier New" w:hAnsi="Courier New" w:cs="Courier New"/>
          <w:sz w:val="16"/>
          <w:szCs w:val="16"/>
        </w:rPr>
        <w:t>his word prints out a B followed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by the baud rate as an index. B4 would be printed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if the baud rate is 9600.</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2) Executes the b4. word so it is printed at startup.</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program is sent to the compass over the serial port.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Upon reboot the compass will output "BX"&lt;CR&gt;&lt;LF&gt;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it will echo the NMEA command and then an OK.</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the repeating output will occur at the rate specified.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Open the user space file.</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lastRenderedPageBreak/>
        <w:t xml:space="preserve">0x10000 </w:t>
      </w:r>
      <w:proofErr w:type="spellStart"/>
      <w:r w:rsidRPr="00320573">
        <w:rPr>
          <w:rFonts w:ascii="Courier New" w:hAnsi="Courier New" w:cs="Courier New"/>
          <w:sz w:val="16"/>
          <w:szCs w:val="16"/>
        </w:rPr>
        <w:t>userOpen</w:t>
      </w:r>
      <w:proofErr w:type="spellEnd"/>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put start: </w:t>
      </w:r>
      <w:proofErr w:type="spellStart"/>
      <w:r w:rsidRPr="00320573">
        <w:rPr>
          <w:rFonts w:ascii="Courier New" w:hAnsi="Courier New" w:cs="Courier New"/>
          <w:sz w:val="16"/>
          <w:szCs w:val="16"/>
        </w:rPr>
        <w:t>userWrite</w:t>
      </w:r>
      <w:proofErr w:type="spellEnd"/>
      <w:r w:rsidRPr="00320573">
        <w:rPr>
          <w:rFonts w:ascii="Courier New" w:hAnsi="Courier New" w:cs="Courier New"/>
          <w:sz w:val="16"/>
          <w:szCs w:val="16"/>
        </w:rPr>
        <w:t xml:space="preserve"> ;  // This makes writing a record easy.</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record prints BX</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start a formatted string, format one character</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drop the rest.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Insert the B in front, type it out, then type </w:t>
      </w:r>
      <w:proofErr w:type="spellStart"/>
      <w:r w:rsidRPr="00320573">
        <w:rPr>
          <w:rFonts w:ascii="Courier New" w:hAnsi="Courier New" w:cs="Courier New"/>
          <w:sz w:val="16"/>
          <w:szCs w:val="16"/>
        </w:rPr>
        <w:t>cr,lf</w:t>
      </w:r>
      <w:proofErr w:type="spellEnd"/>
      <w:r w:rsidRPr="00320573">
        <w:rPr>
          <w:rFonts w:ascii="Courier New" w:hAnsi="Courier New" w:cs="Courier New"/>
          <w:sz w:val="16"/>
          <w:szCs w:val="16"/>
        </w:rPr>
        <w: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put : b4. baud di@ &lt;# # drop char B hold #&gt; type ." \r\n"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Run the word, note this runs at power up, not when loaded.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put b4.</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Close the user space file</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r w:rsidRPr="00320573">
        <w:rPr>
          <w:rFonts w:ascii="Courier New" w:hAnsi="Courier New" w:cs="Courier New"/>
          <w:sz w:val="16"/>
          <w:szCs w:val="16"/>
        </w:rPr>
        <w:t>userClose</w:t>
      </w:r>
      <w:proofErr w:type="spellEnd"/>
    </w:p>
    <w:p w:rsidR="00B25E06" w:rsidRDefault="00B25E06" w:rsidP="00B25E06">
      <w:pPr>
        <w:pStyle w:val="Subheading"/>
      </w:pPr>
    </w:p>
    <w:p w:rsidR="00B25E06" w:rsidRDefault="00B25E06" w:rsidP="00B25E06">
      <w:pPr>
        <w:pStyle w:val="Subheading"/>
      </w:pPr>
      <w:r>
        <w:t>NMEA Repeat Function continues after power cycle</w:t>
      </w:r>
    </w:p>
    <w:p w:rsidR="00B25E06" w:rsidRDefault="00B25E06" w:rsidP="00B25E06">
      <w:pPr>
        <w:pStyle w:val="Subheading"/>
      </w:pPr>
    </w:p>
    <w:p w:rsidR="00B25E06" w:rsidRDefault="00B25E06" w:rsidP="00B25E06">
      <w:pPr>
        <w:jc w:val="both"/>
      </w:pPr>
      <w:r>
        <w:t>The SP300X compasses retained the last NMEA repeat command if the power was removed and reconnected.  The DC-4E/ GEDC-6E/AHRS-8 inertial systems do not, by default, output any user data at power up. However the DC-4E/ GEDC-6E/AHRS-8 may be programmed to output 1 or more NMEA commands, with or without auto-repeat at power up. The same technique employed in the previous section is employed with the NorthTek</w:t>
      </w:r>
      <w:r>
        <w:rPr>
          <w:rFonts w:cstheme="minorHAnsi"/>
        </w:rPr>
        <w:t>™</w:t>
      </w:r>
      <w:r>
        <w:t xml:space="preserve"> Program shown below. </w:t>
      </w:r>
    </w:p>
    <w:p w:rsidR="00B25E06" w:rsidRDefault="00B25E06" w:rsidP="00B25E06"/>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Program to enable legacy compass NMEA behavior.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file loads a set of forth words into the EEPROM</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that will execute at </w:t>
      </w:r>
      <w:proofErr w:type="spellStart"/>
      <w:r w:rsidRPr="00320573">
        <w:rPr>
          <w:rFonts w:ascii="Courier New" w:hAnsi="Courier New" w:cs="Courier New"/>
          <w:sz w:val="16"/>
          <w:szCs w:val="16"/>
        </w:rPr>
        <w:t>bootup</w:t>
      </w:r>
      <w:proofErr w:type="spellEnd"/>
      <w:r w:rsidRPr="00320573">
        <w:rPr>
          <w:rFonts w:ascii="Courier New" w:hAnsi="Courier New" w:cs="Courier New"/>
          <w:sz w:val="16"/>
          <w:szCs w:val="16"/>
        </w:rPr>
        <w: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Needs </w:t>
      </w:r>
      <w:proofErr w:type="spellStart"/>
      <w:r w:rsidRPr="00320573">
        <w:rPr>
          <w:rFonts w:ascii="Courier New" w:hAnsi="Courier New" w:cs="Courier New"/>
          <w:sz w:val="16"/>
          <w:szCs w:val="16"/>
        </w:rPr>
        <w:t>svn</w:t>
      </w:r>
      <w:proofErr w:type="spellEnd"/>
      <w:r w:rsidRPr="00320573">
        <w:rPr>
          <w:rFonts w:ascii="Courier New" w:hAnsi="Courier New" w:cs="Courier New"/>
          <w:sz w:val="16"/>
          <w:szCs w:val="16"/>
        </w:rPr>
        <w:t xml:space="preserve"> revision 35 or later.</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program does the following:</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1) Defines a word call b4.  this word prints out a B followed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by the baud rate as an index. B4 would be printed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if the baud rate is 9600.</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2) Executes the b4. word so it is printed at startup.</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3) Defines a word %, that will stop NMEA repeats.</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4) Issues a NMEA command with repeat at startup.</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In this case the command is to output heading with</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a repeat rate of 0.5 seconds.</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program is sent to the compass over the serial port.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Upon reboot the compass will output "BX"&lt;CR&gt;&lt;LF&gt;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it will echo the NMEA command and then an OK.</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the repeating output will occur at the rate specified.</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Open the user space file.</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0x10000 </w:t>
      </w:r>
      <w:proofErr w:type="spellStart"/>
      <w:r w:rsidRPr="00320573">
        <w:rPr>
          <w:rFonts w:ascii="Courier New" w:hAnsi="Courier New" w:cs="Courier New"/>
          <w:sz w:val="16"/>
          <w:szCs w:val="16"/>
        </w:rPr>
        <w:t>userOpen</w:t>
      </w:r>
      <w:proofErr w:type="spellEnd"/>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put start: </w:t>
      </w:r>
      <w:proofErr w:type="spellStart"/>
      <w:r w:rsidRPr="00320573">
        <w:rPr>
          <w:rFonts w:ascii="Courier New" w:hAnsi="Courier New" w:cs="Courier New"/>
          <w:sz w:val="16"/>
          <w:szCs w:val="16"/>
        </w:rPr>
        <w:t>userWrite</w:t>
      </w:r>
      <w:proofErr w:type="spellEnd"/>
      <w:r w:rsidRPr="00320573">
        <w:rPr>
          <w:rFonts w:ascii="Courier New" w:hAnsi="Courier New" w:cs="Courier New"/>
          <w:sz w:val="16"/>
          <w:szCs w:val="16"/>
        </w:rPr>
        <w:t xml:space="preserve"> ;  // This makes writing a record easy.</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this record prints BX</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start a formatted string, format one character</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then drop the rest.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lastRenderedPageBreak/>
        <w:t xml:space="preserve">// Insert the B in front, type it out, then type </w:t>
      </w:r>
      <w:proofErr w:type="spellStart"/>
      <w:r w:rsidRPr="00320573">
        <w:rPr>
          <w:rFonts w:ascii="Courier New" w:hAnsi="Courier New" w:cs="Courier New"/>
          <w:sz w:val="16"/>
          <w:szCs w:val="16"/>
        </w:rPr>
        <w:t>cr,lf</w:t>
      </w:r>
      <w:proofErr w:type="spellEnd"/>
      <w:r w:rsidRPr="00320573">
        <w:rPr>
          <w:rFonts w:ascii="Courier New" w:hAnsi="Courier New" w:cs="Courier New"/>
          <w:sz w:val="16"/>
          <w:szCs w:val="16"/>
        </w:rPr>
        <w:t>.</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put : b4. baud di@ &lt;# # drop char B hold #&gt; type ." \r\n"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xml:space="preserve">// Run the word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put b4.</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xml:space="preserve">// Define the % word that allow </w:t>
      </w:r>
      <w:proofErr w:type="spellStart"/>
      <w:r w:rsidRPr="00CC2471">
        <w:rPr>
          <w:rFonts w:ascii="Courier New" w:hAnsi="Courier New" w:cs="Courier New"/>
          <w:sz w:val="16"/>
          <w:szCs w:val="16"/>
        </w:rPr>
        <w:t>nmea</w:t>
      </w:r>
      <w:proofErr w:type="spellEnd"/>
      <w:r w:rsidRPr="00CC2471">
        <w:rPr>
          <w:rFonts w:ascii="Courier New" w:hAnsi="Courier New" w:cs="Courier New"/>
          <w:sz w:val="16"/>
          <w:szCs w:val="16"/>
        </w:rPr>
        <w:t xml:space="preserve"> repeat suppress.</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Type %&lt;CR&gt; to execute.</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put : % " $</w:t>
      </w:r>
      <w:proofErr w:type="spellStart"/>
      <w:r w:rsidRPr="00CC2471">
        <w:rPr>
          <w:rFonts w:ascii="Courier New" w:hAnsi="Courier New" w:cs="Courier New"/>
          <w:sz w:val="16"/>
          <w:szCs w:val="16"/>
        </w:rPr>
        <w:t>xxHDM</w:t>
      </w:r>
      <w:proofErr w:type="spellEnd"/>
      <w:r>
        <w:rPr>
          <w:rFonts w:ascii="Courier New" w:hAnsi="Courier New" w:cs="Courier New"/>
          <w:sz w:val="16"/>
          <w:szCs w:val="16"/>
        </w:rPr>
        <w:t>\r</w:t>
      </w:r>
      <w:r w:rsidRPr="00CC2471">
        <w:rPr>
          <w:rFonts w:ascii="Courier New" w:hAnsi="Courier New" w:cs="Courier New"/>
          <w:sz w:val="16"/>
          <w:szCs w:val="16"/>
        </w:rPr>
        <w:t xml:space="preserve">\n" count </w:t>
      </w:r>
      <w:proofErr w:type="spellStart"/>
      <w:r w:rsidRPr="00CC2471">
        <w:rPr>
          <w:rFonts w:ascii="Courier New" w:hAnsi="Courier New" w:cs="Courier New"/>
          <w:sz w:val="16"/>
          <w:szCs w:val="16"/>
        </w:rPr>
        <w:t>nmea</w:t>
      </w:r>
      <w:proofErr w:type="spellEnd"/>
      <w:r w:rsidRPr="00CC2471">
        <w:rPr>
          <w:rFonts w:ascii="Courier New" w:hAnsi="Courier New" w:cs="Courier New"/>
          <w:sz w:val="16"/>
          <w:szCs w:val="16"/>
        </w:rPr>
        <w:t>! ;</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Issue the NMEA repeat command at startup</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w:t>
      </w:r>
    </w:p>
    <w:p w:rsidR="00B25E06"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put " $</w:t>
      </w:r>
      <w:proofErr w:type="spellStart"/>
      <w:r w:rsidRPr="00CC2471">
        <w:rPr>
          <w:rFonts w:ascii="Courier New" w:hAnsi="Courier New" w:cs="Courier New"/>
          <w:sz w:val="16"/>
          <w:szCs w:val="16"/>
        </w:rPr>
        <w:t>xxHDM,RPT</w:t>
      </w:r>
      <w:proofErr w:type="spellEnd"/>
      <w:r w:rsidRPr="00CC2471">
        <w:rPr>
          <w:rFonts w:ascii="Courier New" w:hAnsi="Courier New" w:cs="Courier New"/>
          <w:sz w:val="16"/>
          <w:szCs w:val="16"/>
        </w:rPr>
        <w:t>=0.5</w:t>
      </w:r>
      <w:r>
        <w:rPr>
          <w:rFonts w:ascii="Courier New" w:hAnsi="Courier New" w:cs="Courier New"/>
          <w:sz w:val="16"/>
          <w:szCs w:val="16"/>
        </w:rPr>
        <w:t>\r</w:t>
      </w:r>
      <w:r w:rsidRPr="00CC2471">
        <w:rPr>
          <w:rFonts w:ascii="Courier New" w:hAnsi="Courier New" w:cs="Courier New"/>
          <w:sz w:val="16"/>
          <w:szCs w:val="16"/>
        </w:rPr>
        <w:t xml:space="preserve">\n" count </w:t>
      </w:r>
      <w:proofErr w:type="spellStart"/>
      <w:r w:rsidRPr="00CC2471">
        <w:rPr>
          <w:rFonts w:ascii="Courier New" w:hAnsi="Courier New" w:cs="Courier New"/>
          <w:sz w:val="16"/>
          <w:szCs w:val="16"/>
        </w:rPr>
        <w:t>nmea</w:t>
      </w:r>
      <w:proofErr w:type="spellEnd"/>
      <w:r w:rsidRPr="00CC2471">
        <w:rPr>
          <w:rFonts w:ascii="Courier New" w:hAnsi="Courier New" w:cs="Courier New"/>
          <w:sz w:val="16"/>
          <w:szCs w:val="16"/>
        </w:rPr>
        <w:t>!</w:t>
      </w:r>
    </w:p>
    <w:p w:rsidR="00B25E06" w:rsidRPr="00CC2471"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C2471">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Close the user space file</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320573">
        <w:rPr>
          <w:rFonts w:ascii="Courier New" w:hAnsi="Courier New" w:cs="Courier New"/>
          <w:sz w:val="16"/>
          <w:szCs w:val="16"/>
        </w:rPr>
        <w:t>// ************************************************************</w:t>
      </w:r>
    </w:p>
    <w:p w:rsidR="00B25E06" w:rsidRPr="00320573"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r w:rsidRPr="00320573">
        <w:rPr>
          <w:rFonts w:ascii="Courier New" w:hAnsi="Courier New" w:cs="Courier New"/>
          <w:sz w:val="16"/>
          <w:szCs w:val="16"/>
        </w:rPr>
        <w:t>userClose</w:t>
      </w:r>
      <w:proofErr w:type="spellEnd"/>
    </w:p>
    <w:p w:rsidR="00B25E06" w:rsidRDefault="00B25E06" w:rsidP="00B25E06"/>
    <w:p w:rsidR="00B25E06" w:rsidRDefault="00B25E06" w:rsidP="00B25E06"/>
    <w:p w:rsidR="00B25E06" w:rsidRDefault="00B25E06" w:rsidP="00B25E06">
      <w:pPr>
        <w:pStyle w:val="Subheading"/>
      </w:pPr>
      <w:r>
        <w:t>NMEA Repeat Stops with “$” character</w:t>
      </w:r>
    </w:p>
    <w:p w:rsidR="00B25E06" w:rsidRDefault="00B25E06" w:rsidP="00B25E06"/>
    <w:p w:rsidR="00B25E06" w:rsidRPr="000B0B55" w:rsidRDefault="00B25E06" w:rsidP="00B25E06">
      <w:pPr>
        <w:jc w:val="both"/>
      </w:pPr>
      <w:r>
        <w:t xml:space="preserve">As discussed in the previous section, certain multiple repeating NMEA outputs are allowed in the DC-4E/GEDC-6E/AHRS-8.  The use of the “$” sign to terminate a previous repeating command would therefore cancel any previous repeat commands before the additional repeat command could be processed. </w:t>
      </w:r>
      <w:r w:rsidR="00DB02ED">
        <w:t xml:space="preserve"> </w:t>
      </w:r>
      <w:r>
        <w:t xml:space="preserve">Therefore the DC-4E/GEDC-6E/AHRS-8 inertial systems do not terminate repeating output with the reception of another “$”.  Instead, any </w:t>
      </w:r>
      <w:r w:rsidRPr="000B0B55">
        <w:t>valid NMEA command without the repeat option or the GLOM option will terminate a repeating output.  Note that the DC-4E/GEDC-6E/AHRS-8 inertial systems accept software flow control on the input port to control the flow of data on the output port. Thus a &lt;CTRL-S&gt; character will suspend any repeating output and a &lt;CTRL-Q&gt; will resume the repeating output.  The NorthTek</w:t>
      </w:r>
      <w:r w:rsidRPr="000B0B55">
        <w:rPr>
          <w:rFonts w:cstheme="minorHAnsi"/>
        </w:rPr>
        <w:t>™</w:t>
      </w:r>
      <w:r w:rsidRPr="000B0B55">
        <w:t xml:space="preserve"> program in the previous section also programmed a command to cancel NMEA repeat. </w:t>
      </w:r>
      <w:r w:rsidR="00DB02ED">
        <w:t xml:space="preserve"> </w:t>
      </w:r>
      <w:r w:rsidRPr="000B0B55">
        <w:t>The user would only need to enter a “%” followed by a carriage return to cancel the NMEA repeat function, if the above script had been stored in the user boot EEPROM.</w:t>
      </w:r>
    </w:p>
    <w:p w:rsidR="00B25E06" w:rsidRPr="000B0B55" w:rsidRDefault="00B25E06" w:rsidP="00B25E06">
      <w:pPr>
        <w:pStyle w:val="Subheading"/>
      </w:pPr>
    </w:p>
    <w:p w:rsidR="00B25E06" w:rsidRPr="000B0B55" w:rsidRDefault="00B25E06" w:rsidP="00B25E06">
      <w:pPr>
        <w:pStyle w:val="Subheading"/>
      </w:pPr>
      <w:r w:rsidRPr="000B0B55">
        <w:t>Default Baud rate is 9600</w:t>
      </w:r>
    </w:p>
    <w:p w:rsidR="00B25E06" w:rsidRPr="000B0B55" w:rsidRDefault="00B25E06" w:rsidP="00B25E06"/>
    <w:p w:rsidR="00B25E06" w:rsidRDefault="00B25E06" w:rsidP="00B25E06">
      <w:pPr>
        <w:jc w:val="both"/>
      </w:pPr>
      <w:r w:rsidRPr="000B0B55">
        <w:t>The default baud rate for the DC-4E/GEDC-6E/AHRS</w:t>
      </w:r>
      <w:r>
        <w:t xml:space="preserve">-8 is 115200 bps.  The user can change the default baud rate at power up by installing the inertial system in the NDS-1 evaluation kit and selecting the desired baud rate before installing in the end user equipment. </w:t>
      </w:r>
      <w:r w:rsidR="00DB02ED">
        <w:t xml:space="preserve"> </w:t>
      </w:r>
      <w:r>
        <w:t>Additionally the baud rate may be changed with NMEA (“$PSPA,BAUD=4&lt;CR&gt;&lt;LF&gt;”) or NorthTek (“baud 4 set&lt;CR&gt;”).</w:t>
      </w:r>
    </w:p>
    <w:p w:rsidR="00B25E06" w:rsidRDefault="00B25E06" w:rsidP="00B25E06"/>
    <w:p w:rsidR="00B25E06" w:rsidRDefault="00B25E06" w:rsidP="00B25E06">
      <w:pPr>
        <w:pStyle w:val="Subheading"/>
      </w:pPr>
      <w:r>
        <w:t>TIA RS232 Signal Levels</w:t>
      </w:r>
    </w:p>
    <w:p w:rsidR="00B25E06" w:rsidRDefault="00B25E06" w:rsidP="00B25E06"/>
    <w:p w:rsidR="00B25E06" w:rsidRDefault="00B25E06" w:rsidP="00B25E06">
      <w:pPr>
        <w:jc w:val="both"/>
      </w:pPr>
      <w:r>
        <w:lastRenderedPageBreak/>
        <w:t xml:space="preserve">The DC-4E/GEDC-6E/AHRS-8 inertial systems only receive and transmit logic level serial signals (3.3V).  To use the new inertial systems the user will have to provide the appropriate level (and polarity) signals to the DC-4E/GEDC-6E/AHRS-8 for logic level serial communication.  It should be remembered that logic level serial signals are at different signal levels and polarity than the same EIA232 level signals, e.g. an EIA232 “mark” is -12 volts, but a logic level “mark” is 3.3 volts. </w:t>
      </w:r>
      <w:r w:rsidR="00DB02ED">
        <w:t xml:space="preserve"> </w:t>
      </w:r>
      <w:r>
        <w:t>Similarly the EIA232 “space” signal level is +12 volts and the logic level “space” voltage is 0 volts.</w:t>
      </w:r>
    </w:p>
    <w:p w:rsidR="00B25E06" w:rsidRDefault="00B25E06" w:rsidP="00B25E06"/>
    <w:p w:rsidR="00B25E06" w:rsidRDefault="00B25E06" w:rsidP="00B25E06">
      <w:pPr>
        <w:pStyle w:val="Subheading"/>
      </w:pPr>
      <w:r>
        <w:t>Field Calibration</w:t>
      </w:r>
    </w:p>
    <w:p w:rsidR="00B25E06" w:rsidRDefault="00B25E06" w:rsidP="00B25E06"/>
    <w:p w:rsidR="00B25E06" w:rsidRDefault="00B25E06" w:rsidP="00B25E06">
      <w:pPr>
        <w:jc w:val="both"/>
      </w:pPr>
      <w:r>
        <w:t xml:space="preserve">Both the legacy and new products provide a method for field calibration.  The procedures are similar, but different enough to deserve consideration. </w:t>
      </w:r>
      <w:r w:rsidR="00DB02ED">
        <w:t xml:space="preserve"> </w:t>
      </w:r>
      <w:r>
        <w:t xml:space="preserve">The new calibration procedure is described in the Software Interface User’s Manual.  Calibration in the new inertial systems may be performed using NMEA commands but when interacting with the inertial system manually, it is generally easier using the NorthTek calibration program shown below. </w:t>
      </w:r>
      <w:r w:rsidR="00DB02ED">
        <w:t xml:space="preserve"> </w:t>
      </w:r>
      <w:r>
        <w:t>The NorthTek</w:t>
      </w:r>
      <w:r>
        <w:rPr>
          <w:rFonts w:cstheme="minorHAnsi"/>
        </w:rPr>
        <w:t>™</w:t>
      </w:r>
      <w:r>
        <w:t xml:space="preserve"> script is interactive and prompts the user at each stage and provides the magnetic error feedback during the calibration process.  Either the NMEA or NorthTek</w:t>
      </w:r>
      <w:r>
        <w:rPr>
          <w:rFonts w:cstheme="minorHAnsi"/>
        </w:rPr>
        <w:t>™</w:t>
      </w:r>
      <w:r>
        <w:t xml:space="preserve"> method generates the same accuracy in heading readings.  A separate application note describes this NorthTek</w:t>
      </w:r>
      <w:r>
        <w:rPr>
          <w:rFonts w:cstheme="minorHAnsi"/>
        </w:rPr>
        <w:t>™</w:t>
      </w:r>
      <w:r>
        <w:t xml:space="preserve"> program in detail.  For users that have an automated procedure for calibration using NMEA commands, some changes will be required in both message syntax and algorithm.</w:t>
      </w:r>
    </w:p>
    <w:p w:rsidR="00B25E06" w:rsidRDefault="00B25E06" w:rsidP="00B25E06"/>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NorthTek Script for 3d calibration.</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This erases this script should it be reloaded.</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forget cal3D</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This is the actual calibration program.</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cal3D</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roofErr w:type="spellStart"/>
      <w:r w:rsidRPr="00C964FC">
        <w:rPr>
          <w:rFonts w:ascii="Courier New" w:hAnsi="Courier New" w:cs="Courier New"/>
          <w:sz w:val="16"/>
          <w:szCs w:val="16"/>
        </w:rPr>
        <w:t>Init</w:t>
      </w:r>
      <w:proofErr w:type="spellEnd"/>
      <w:r w:rsidRPr="00C964FC">
        <w:rPr>
          <w:rFonts w:ascii="Courier New" w:hAnsi="Courier New" w:cs="Courier New"/>
          <w:sz w:val="16"/>
          <w:szCs w:val="16"/>
        </w:rPr>
        <w:t xml:space="preserve"> the calibration process by setting calmode to 1.</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calmode 1 set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Give the user a heads up that we are starting.</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Calibration starting" cr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Tell the calibration logic to start calibration</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calCommand </w:t>
      </w:r>
      <w:proofErr w:type="spellStart"/>
      <w:r w:rsidRPr="00C964FC">
        <w:rPr>
          <w:rFonts w:ascii="Courier New" w:hAnsi="Courier New" w:cs="Courier New"/>
          <w:sz w:val="16"/>
          <w:szCs w:val="16"/>
        </w:rPr>
        <w:t>cal_start</w:t>
      </w:r>
      <w:proofErr w:type="spellEnd"/>
      <w:r w:rsidRPr="00C964FC">
        <w:rPr>
          <w:rFonts w:ascii="Courier New" w:hAnsi="Courier New" w:cs="Courier New"/>
          <w:sz w:val="16"/>
          <w:szCs w:val="16"/>
        </w:rPr>
        <w:t xml:space="preserve"> set        // cal start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lastRenderedPageBreak/>
        <w:t xml:space="preserve">  // Give the user some instructions</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Press any key to take next point, ESC to finish" cr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The code now grabs a point, the user changes the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compass position and repeats the cal3DState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from 4-12 times total.</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sit in a loop, taking points until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the user hits escape.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User hits spacebar to take a point, ESC to quit.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begin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key 27 = 0=                         // until user enters ESC</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while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capture a point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calCommand </w:t>
      </w:r>
      <w:proofErr w:type="spellStart"/>
      <w:r w:rsidRPr="00C964FC">
        <w:rPr>
          <w:rFonts w:ascii="Courier New" w:hAnsi="Courier New" w:cs="Courier New"/>
          <w:sz w:val="16"/>
          <w:szCs w:val="16"/>
        </w:rPr>
        <w:t>cal_capture</w:t>
      </w:r>
      <w:proofErr w:type="spellEnd"/>
      <w:r w:rsidRPr="00C964FC">
        <w:rPr>
          <w:rFonts w:ascii="Courier New" w:hAnsi="Courier New" w:cs="Courier New"/>
          <w:sz w:val="16"/>
          <w:szCs w:val="16"/>
        </w:rPr>
        <w:t xml:space="preserve"> set          // take another point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200 delay                           // give compass time to capture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Print out the current point number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calNumPoints di.</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repeat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Now the points are captured,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Issue the command to start computing</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the real time cal values</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calCommand </w:t>
      </w:r>
      <w:proofErr w:type="spellStart"/>
      <w:r w:rsidRPr="00C964FC">
        <w:rPr>
          <w:rFonts w:ascii="Courier New" w:hAnsi="Courier New" w:cs="Courier New"/>
          <w:sz w:val="16"/>
          <w:szCs w:val="16"/>
        </w:rPr>
        <w:t>cal_end_capture</w:t>
      </w:r>
      <w:proofErr w:type="spellEnd"/>
      <w:r w:rsidRPr="00C964FC">
        <w:rPr>
          <w:rFonts w:ascii="Courier New" w:hAnsi="Courier New" w:cs="Courier New"/>
          <w:sz w:val="16"/>
          <w:szCs w:val="16"/>
        </w:rPr>
        <w:t xml:space="preserve"> set        // cal computation</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Some more user instructions</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Starting error settling" cr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Press any key to terminate" cr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The user observes magErr to watch it settle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r>
        <w:rPr>
          <w:rFonts w:ascii="Courier New" w:hAnsi="Courier New" w:cs="Courier New"/>
          <w:sz w:val="16"/>
          <w:szCs w:val="16"/>
        </w:rPr>
        <w:t>/ at a minimum value (NDS-1</w:t>
      </w:r>
      <w:r w:rsidRPr="00C964FC">
        <w:rPr>
          <w:rFonts w:ascii="Courier New" w:hAnsi="Courier New" w:cs="Courier New"/>
          <w:sz w:val="16"/>
          <w:szCs w:val="16"/>
        </w:rPr>
        <w:t xml:space="preserve"> can display every sec or so):</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This runs until the user has decided that the value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has converged. See Software Interface </w:t>
      </w:r>
      <w:proofErr w:type="spellStart"/>
      <w:r w:rsidRPr="00C964FC">
        <w:rPr>
          <w:rFonts w:ascii="Courier New" w:hAnsi="Courier New" w:cs="Courier New"/>
          <w:sz w:val="16"/>
          <w:szCs w:val="16"/>
        </w:rPr>
        <w:t>Users Manual</w:t>
      </w:r>
      <w:proofErr w:type="spellEnd"/>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regarding the calibration process.</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begin                   // keep printing magErr at .250 sec intervals</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?key 0=               // till user hits a keystroke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while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magErr di.</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250 delay</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repeat</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key drop               // read and remove the key used</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to stop the loop</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Let the user know that we are all done.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Calibration done!" cr</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lastRenderedPageBreak/>
        <w:t xml:space="preserve">  // Send the </w:t>
      </w:r>
      <w:proofErr w:type="spellStart"/>
      <w:r w:rsidRPr="00C964FC">
        <w:rPr>
          <w:rFonts w:ascii="Courier New" w:hAnsi="Courier New" w:cs="Courier New"/>
          <w:sz w:val="16"/>
          <w:szCs w:val="16"/>
        </w:rPr>
        <w:t>cal_end</w:t>
      </w:r>
      <w:proofErr w:type="spellEnd"/>
      <w:r w:rsidRPr="00C964FC">
        <w:rPr>
          <w:rFonts w:ascii="Courier New" w:hAnsi="Courier New" w:cs="Courier New"/>
          <w:sz w:val="16"/>
          <w:szCs w:val="16"/>
        </w:rPr>
        <w:t xml:space="preserve"> command.</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calCommand </w:t>
      </w:r>
      <w:proofErr w:type="spellStart"/>
      <w:r w:rsidRPr="00C964FC">
        <w:rPr>
          <w:rFonts w:ascii="Courier New" w:hAnsi="Courier New" w:cs="Courier New"/>
          <w:sz w:val="16"/>
          <w:szCs w:val="16"/>
        </w:rPr>
        <w:t>cal_end</w:t>
      </w:r>
      <w:proofErr w:type="spellEnd"/>
      <w:r w:rsidRPr="00C964FC">
        <w:rPr>
          <w:rFonts w:ascii="Courier New" w:hAnsi="Courier New" w:cs="Courier New"/>
          <w:sz w:val="16"/>
          <w:szCs w:val="16"/>
        </w:rPr>
        <w:t xml:space="preserve"> set        // cal computation</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End calibration mode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 ************************************************************</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 xml:space="preserve">  calmode 0 set          // terminate calibration mode.</w:t>
      </w:r>
    </w:p>
    <w:p w:rsidR="00B25E06" w:rsidRPr="00C964FC"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C964FC">
        <w:rPr>
          <w:rFonts w:ascii="Courier New" w:hAnsi="Courier New" w:cs="Courier New"/>
          <w:sz w:val="16"/>
          <w:szCs w:val="16"/>
        </w:rPr>
        <w:t>;</w:t>
      </w:r>
    </w:p>
    <w:p w:rsidR="00B25E06" w:rsidRDefault="00B25E06" w:rsidP="00B25E06"/>
    <w:p w:rsidR="00B25E06" w:rsidRDefault="00B25E06" w:rsidP="00B25E06"/>
    <w:p w:rsidR="00B25E06" w:rsidRDefault="00B25E06" w:rsidP="00B25E06"/>
    <w:p w:rsidR="00B25E06" w:rsidRDefault="00B25E06" w:rsidP="00B25E06"/>
    <w:p w:rsidR="00B25E06" w:rsidRDefault="00B25E06" w:rsidP="00B25E06">
      <w:pPr>
        <w:pStyle w:val="Subheading"/>
      </w:pPr>
      <w:r>
        <w:t>Mounting Orientation</w:t>
      </w:r>
    </w:p>
    <w:p w:rsidR="00B25E06" w:rsidRDefault="00B25E06" w:rsidP="00B25E06"/>
    <w:p w:rsidR="00162013" w:rsidRDefault="00B25E06" w:rsidP="00B25E06">
      <w:pPr>
        <w:jc w:val="both"/>
      </w:pPr>
      <w:r>
        <w:t xml:space="preserve">The SP300X </w:t>
      </w:r>
      <w:r w:rsidRPr="000B0B55">
        <w:t>compasses</w:t>
      </w:r>
      <w:r w:rsidR="00162013" w:rsidRPr="000B0B55">
        <w:t xml:space="preserve"> are</w:t>
      </w:r>
      <w:r w:rsidRPr="000B0B55">
        <w:t xml:space="preserve"> only allowed two</w:t>
      </w:r>
      <w:r>
        <w:t xml:space="preserve"> mounting configurations, horizontal and vertical.  The </w:t>
      </w:r>
    </w:p>
    <w:p w:rsidR="00B25E06" w:rsidRDefault="00B25E06" w:rsidP="00B25E06">
      <w:pPr>
        <w:jc w:val="both"/>
      </w:pPr>
      <w:r>
        <w:t>DC-4E/GEDC-6E/AHRS-8 inertial systems allow any arbitrary orientation in the user’s</w:t>
      </w:r>
      <w:r w:rsidR="00162013">
        <w:t xml:space="preserve"> product. </w:t>
      </w:r>
      <w:r w:rsidR="00DB02ED">
        <w:t xml:space="preserve"> </w:t>
      </w:r>
      <w:r>
        <w:t xml:space="preserve">Standard orthogonal configurations may be chosen.  In addition, there is a command called </w:t>
      </w:r>
      <w:proofErr w:type="spellStart"/>
      <w:r>
        <w:t>InvokeTare</w:t>
      </w:r>
      <w:proofErr w:type="spellEnd"/>
      <w:r>
        <w:t xml:space="preserve"> that implements an algorithm to calculate a Rotation Matrix between the User’s system orientation and the inertial system’s reference orientation. </w:t>
      </w:r>
      <w:r w:rsidR="00DB02ED">
        <w:t xml:space="preserve"> </w:t>
      </w:r>
      <w:r>
        <w:t xml:space="preserve">There is a third method which we call </w:t>
      </w:r>
      <w:proofErr w:type="spellStart"/>
      <w:r>
        <w:t>sat_tare</w:t>
      </w:r>
      <w:proofErr w:type="spellEnd"/>
      <w:r>
        <w:t xml:space="preserve"> which gives the user the ability to point there host system towards a known Azimuth at a known elevation (with zero roll) and calculate the Rotation Matrix. </w:t>
      </w:r>
      <w:r w:rsidR="00DB02ED">
        <w:t xml:space="preserve"> </w:t>
      </w:r>
      <w:r>
        <w:t>As with other NorthTek</w:t>
      </w:r>
      <w:r>
        <w:rPr>
          <w:rFonts w:cstheme="minorHAnsi"/>
        </w:rPr>
        <w:t>™</w:t>
      </w:r>
      <w:r>
        <w:t xml:space="preserve"> programs in this document, this program is also described in detail in another application note.</w:t>
      </w:r>
      <w:r w:rsidR="00DB02ED">
        <w:t xml:space="preserve"> </w:t>
      </w:r>
      <w:r>
        <w:t xml:space="preserve"> It is important to note that this method requires the user to have an absolute zero roll in their environment. </w:t>
      </w:r>
      <w:r w:rsidR="00DB02ED">
        <w:t xml:space="preserve"> </w:t>
      </w:r>
      <w:r>
        <w:t>This is a one-time mechanical alignment procedure and therefore any errors associated with its use will show up as errors in the final solution.</w:t>
      </w:r>
    </w:p>
    <w:p w:rsidR="00B25E06" w:rsidRDefault="00B25E06" w:rsidP="00B25E06"/>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If the macro gets reloaded in the same session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Forget the previous version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Needs revision 2.1.1 or later.</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This forgets the </w:t>
      </w:r>
      <w:r>
        <w:rPr>
          <w:rFonts w:ascii="Courier New" w:hAnsi="Courier New" w:cs="Courier New"/>
          <w:sz w:val="16"/>
          <w:szCs w:val="16"/>
        </w:rPr>
        <w:t>following</w:t>
      </w:r>
      <w:r w:rsidRPr="004C4417">
        <w:rPr>
          <w:rFonts w:ascii="Courier New" w:hAnsi="Courier New" w:cs="Courier New"/>
          <w:sz w:val="16"/>
          <w:szCs w:val="16"/>
        </w:rPr>
        <w:t xml:space="preserve"> from a previous load of the macro</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this is standard practice with NorthTek for debugging</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so as to not overflow the wordlist space.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When this file is reloaded with a terminal a second time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this removes the previous </w:t>
      </w:r>
      <w:r>
        <w:rPr>
          <w:rFonts w:ascii="Courier New" w:hAnsi="Courier New" w:cs="Courier New"/>
          <w:sz w:val="16"/>
          <w:szCs w:val="16"/>
        </w:rPr>
        <w:t xml:space="preserve">variables and </w:t>
      </w:r>
      <w:r w:rsidRPr="004C4417">
        <w:rPr>
          <w:rFonts w:ascii="Courier New" w:hAnsi="Courier New" w:cs="Courier New"/>
          <w:sz w:val="16"/>
          <w:szCs w:val="16"/>
        </w:rPr>
        <w:t>program.</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forget </w:t>
      </w:r>
      <w:proofErr w:type="spellStart"/>
      <w:r w:rsidRPr="004C4417">
        <w:rPr>
          <w:rFonts w:ascii="Courier New" w:hAnsi="Courier New" w:cs="Courier New"/>
          <w:sz w:val="16"/>
          <w:szCs w:val="16"/>
        </w:rPr>
        <w:t>comp_rot_matrix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Declare a few working variables.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comp_rot_matrix</w:t>
      </w:r>
      <w:proofErr w:type="spellEnd"/>
      <w:r w:rsidRPr="004C4417">
        <w:rPr>
          <w:rFonts w:ascii="Courier New" w:hAnsi="Courier New" w:cs="Courier New"/>
          <w:sz w:val="16"/>
          <w:szCs w:val="16"/>
        </w:rPr>
        <w:t xml:space="preserve"> 9 allot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9 allot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9 allot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variable azimuth</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variable pitch1</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cosine_theta</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sine_theta</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cosine_psi</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sine_psi</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variable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5 allot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lastRenderedPageBreak/>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Function (aka NorthTek word): index!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Shorthand to compute an array index into the variable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and write the given value to that index position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Inputs: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TOS-1: value to be written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TOS: index into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Modifies: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NorthTek variable: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This word takes a value and an index and stores that element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in that position in the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4C4417">
        <w:rPr>
          <w:rFonts w:ascii="Courier New" w:hAnsi="Courier New" w:cs="Courier New"/>
          <w:sz w:val="16"/>
          <w:szCs w:val="16"/>
        </w:rPr>
        <w:t>( value</w:t>
      </w:r>
      <w:proofErr w:type="gramEnd"/>
      <w:r w:rsidRPr="004C4417">
        <w:rPr>
          <w:rFonts w:ascii="Courier New" w:hAnsi="Courier New" w:cs="Courier New"/>
          <w:sz w:val="16"/>
          <w:szCs w:val="16"/>
        </w:rPr>
        <w:t xml:space="preserve"> index --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index</w:t>
      </w:r>
      <w:proofErr w:type="gramEnd"/>
      <w:r w:rsidRPr="004C4417">
        <w:rPr>
          <w:rFonts w:ascii="Courier New" w:hAnsi="Courier New" w:cs="Courier New"/>
          <w:sz w:val="16"/>
          <w:szCs w:val="16"/>
        </w:rPr>
        <w:t xml:space="preserve">! 4 *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 !</w:t>
      </w:r>
      <w:proofErr w:type="gram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Function (aka NorthTek word): </w:t>
      </w:r>
      <w:proofErr w:type="spellStart"/>
      <w:r w:rsidRPr="004C4417">
        <w:rPr>
          <w:rFonts w:ascii="Courier New" w:hAnsi="Courier New" w:cs="Courier New"/>
          <w:sz w:val="16"/>
          <w:szCs w:val="16"/>
        </w:rPr>
        <w:t>cp</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array</w:t>
      </w:r>
      <w:proofErr w:type="gramEnd"/>
      <w:r w:rsidRPr="004C4417">
        <w:rPr>
          <w:rFonts w:ascii="Courier New" w:hAnsi="Courier New" w:cs="Courier New"/>
          <w:sz w:val="16"/>
          <w:szCs w:val="16"/>
        </w:rPr>
        <w:t>_ptr</w:t>
      </w:r>
      <w:proofErr w:type="spellEnd"/>
      <w:r w:rsidRPr="004C4417">
        <w:rPr>
          <w:rFonts w:ascii="Courier New" w:hAnsi="Courier New" w:cs="Courier New"/>
          <w:sz w:val="16"/>
          <w:szCs w:val="16"/>
        </w:rPr>
        <w:t xml:space="preserve"> -- )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copies a 3 element array into the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ends up with 0 2 V1 V2 V3 which is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the right form for setting in the database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Inputs: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TOS: </w:t>
      </w:r>
      <w:proofErr w:type="spellStart"/>
      <w:r w:rsidRPr="004C4417">
        <w:rPr>
          <w:rFonts w:ascii="Courier New" w:hAnsi="Courier New" w:cs="Courier New"/>
          <w:sz w:val="16"/>
          <w:szCs w:val="16"/>
        </w:rPr>
        <w:t>ptr</w:t>
      </w:r>
      <w:proofErr w:type="spellEnd"/>
      <w:r w:rsidRPr="004C4417">
        <w:rPr>
          <w:rFonts w:ascii="Courier New" w:hAnsi="Courier New" w:cs="Courier New"/>
          <w:sz w:val="16"/>
          <w:szCs w:val="16"/>
        </w:rPr>
        <w:t xml:space="preserve"> to source array</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Modifies: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NorthTek variable: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cp</w:t>
      </w:r>
      <w:proofErr w:type="spell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0 0 index!             // store 0 in position 0 of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2 1 index!             // 2 in position 1, therefore we set items 0</w:t>
      </w:r>
      <w:proofErr w:type="gramStart"/>
      <w:r w:rsidRPr="004C4417">
        <w:rPr>
          <w:rFonts w:ascii="Courier New" w:hAnsi="Courier New" w:cs="Courier New"/>
          <w:sz w:val="16"/>
          <w:szCs w:val="16"/>
        </w:rPr>
        <w:t>..2</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dup</w:t>
      </w:r>
      <w:proofErr w:type="gramEnd"/>
      <w:r w:rsidRPr="004C4417">
        <w:rPr>
          <w:rFonts w:ascii="Courier New" w:hAnsi="Courier New" w:cs="Courier New"/>
          <w:sz w:val="16"/>
          <w:szCs w:val="16"/>
        </w:rPr>
        <w:t xml:space="preserve"> @ 2 index!         // make copy of </w:t>
      </w:r>
      <w:proofErr w:type="spellStart"/>
      <w:r w:rsidRPr="004C4417">
        <w:rPr>
          <w:rFonts w:ascii="Courier New" w:hAnsi="Courier New" w:cs="Courier New"/>
          <w:sz w:val="16"/>
          <w:szCs w:val="16"/>
        </w:rPr>
        <w:t>pointer</w:t>
      </w:r>
      <w:proofErr w:type="gramStart"/>
      <w:r w:rsidRPr="004C4417">
        <w:rPr>
          <w:rFonts w:ascii="Courier New" w:hAnsi="Courier New" w:cs="Courier New"/>
          <w:sz w:val="16"/>
          <w:szCs w:val="16"/>
        </w:rPr>
        <w:t>,for</w:t>
      </w:r>
      <w:proofErr w:type="spellEnd"/>
      <w:proofErr w:type="gramEnd"/>
      <w:r w:rsidRPr="004C4417">
        <w:rPr>
          <w:rFonts w:ascii="Courier New" w:hAnsi="Courier New" w:cs="Courier New"/>
          <w:sz w:val="16"/>
          <w:szCs w:val="16"/>
        </w:rPr>
        <w:t xml:space="preserve"> next index, store 1st element.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4 + dup @ 3 </w:t>
      </w:r>
      <w:proofErr w:type="gramStart"/>
      <w:r w:rsidRPr="004C4417">
        <w:rPr>
          <w:rFonts w:ascii="Courier New" w:hAnsi="Courier New" w:cs="Courier New"/>
          <w:sz w:val="16"/>
          <w:szCs w:val="16"/>
        </w:rPr>
        <w:t>index</w:t>
      </w:r>
      <w:proofErr w:type="gramEnd"/>
      <w:r w:rsidRPr="004C4417">
        <w:rPr>
          <w:rFonts w:ascii="Courier New" w:hAnsi="Courier New" w:cs="Courier New"/>
          <w:sz w:val="16"/>
          <w:szCs w:val="16"/>
        </w:rPr>
        <w:t>!     // move to second element, make copy, store value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4 + @ 4 index!         // move to third element, store it.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compute_vars</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ab/>
        <w:t xml:space="preserve">pitch1 @ d&gt;r cos </w:t>
      </w:r>
      <w:proofErr w:type="spellStart"/>
      <w:r w:rsidRPr="004C4417">
        <w:rPr>
          <w:rFonts w:ascii="Courier New" w:hAnsi="Courier New" w:cs="Courier New"/>
          <w:sz w:val="16"/>
          <w:szCs w:val="16"/>
        </w:rPr>
        <w:t>cosine_</w:t>
      </w:r>
      <w:proofErr w:type="gramStart"/>
      <w:r w:rsidRPr="004C4417">
        <w:rPr>
          <w:rFonts w:ascii="Courier New" w:hAnsi="Courier New" w:cs="Courier New"/>
          <w:sz w:val="16"/>
          <w:szCs w:val="16"/>
        </w:rPr>
        <w:t>theta</w:t>
      </w:r>
      <w:proofErr w:type="spellEnd"/>
      <w:r w:rsidRPr="004C4417">
        <w:rPr>
          <w:rFonts w:ascii="Courier New" w:hAnsi="Courier New" w:cs="Courier New"/>
          <w:sz w:val="16"/>
          <w:szCs w:val="16"/>
        </w:rPr>
        <w:t xml:space="preserve">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ab/>
        <w:t xml:space="preserve">pitch1 @ d&gt;r sin </w:t>
      </w:r>
      <w:proofErr w:type="spellStart"/>
      <w:r w:rsidRPr="004C4417">
        <w:rPr>
          <w:rFonts w:ascii="Courier New" w:hAnsi="Courier New" w:cs="Courier New"/>
          <w:sz w:val="16"/>
          <w:szCs w:val="16"/>
        </w:rPr>
        <w:t>sine_</w:t>
      </w:r>
      <w:proofErr w:type="gramStart"/>
      <w:r w:rsidRPr="004C4417">
        <w:rPr>
          <w:rFonts w:ascii="Courier New" w:hAnsi="Courier New" w:cs="Courier New"/>
          <w:sz w:val="16"/>
          <w:szCs w:val="16"/>
        </w:rPr>
        <w:t>theta</w:t>
      </w:r>
      <w:proofErr w:type="spellEnd"/>
      <w:r w:rsidRPr="004C4417">
        <w:rPr>
          <w:rFonts w:ascii="Courier New" w:hAnsi="Courier New" w:cs="Courier New"/>
          <w:sz w:val="16"/>
          <w:szCs w:val="16"/>
        </w:rPr>
        <w:t xml:space="preserve">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ab/>
      </w:r>
      <w:proofErr w:type="gramStart"/>
      <w:r w:rsidRPr="004C4417">
        <w:rPr>
          <w:rFonts w:ascii="Courier New" w:hAnsi="Courier New" w:cs="Courier New"/>
          <w:sz w:val="16"/>
          <w:szCs w:val="16"/>
        </w:rPr>
        <w:t>azimuth</w:t>
      </w:r>
      <w:proofErr w:type="gramEnd"/>
      <w:r w:rsidRPr="004C4417">
        <w:rPr>
          <w:rFonts w:ascii="Courier New" w:hAnsi="Courier New" w:cs="Courier New"/>
          <w:sz w:val="16"/>
          <w:szCs w:val="16"/>
        </w:rPr>
        <w:t xml:space="preserve"> @ d&gt;r cos </w:t>
      </w:r>
      <w:proofErr w:type="spellStart"/>
      <w:r w:rsidRPr="004C4417">
        <w:rPr>
          <w:rFonts w:ascii="Courier New" w:hAnsi="Courier New" w:cs="Courier New"/>
          <w:sz w:val="16"/>
          <w:szCs w:val="16"/>
        </w:rPr>
        <w:t>cosine_psi</w:t>
      </w:r>
      <w:proofErr w:type="spell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ab/>
      </w:r>
      <w:proofErr w:type="gramStart"/>
      <w:r w:rsidRPr="004C4417">
        <w:rPr>
          <w:rFonts w:ascii="Courier New" w:hAnsi="Courier New" w:cs="Courier New"/>
          <w:sz w:val="16"/>
          <w:szCs w:val="16"/>
        </w:rPr>
        <w:t>azimuth</w:t>
      </w:r>
      <w:proofErr w:type="gramEnd"/>
      <w:r w:rsidRPr="004C4417">
        <w:rPr>
          <w:rFonts w:ascii="Courier New" w:hAnsi="Courier New" w:cs="Courier New"/>
          <w:sz w:val="16"/>
          <w:szCs w:val="16"/>
        </w:rPr>
        <w:t xml:space="preserve"> @ d&gt;r sin </w:t>
      </w:r>
      <w:proofErr w:type="spellStart"/>
      <w:r w:rsidRPr="004C4417">
        <w:rPr>
          <w:rFonts w:ascii="Courier New" w:hAnsi="Courier New" w:cs="Courier New"/>
          <w:sz w:val="16"/>
          <w:szCs w:val="16"/>
        </w:rPr>
        <w:t>sine_psi</w:t>
      </w:r>
      <w:proofErr w:type="spell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Functions (aka NorthTek words): row0, row1, row2</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some convenient shorthand for matrices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Inputs: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roofErr w:type="gramStart"/>
      <w:r w:rsidRPr="004C4417">
        <w:rPr>
          <w:rFonts w:ascii="Courier New" w:hAnsi="Courier New" w:cs="Courier New"/>
          <w:sz w:val="16"/>
          <w:szCs w:val="16"/>
        </w:rPr>
        <w:t>/  TOS</w:t>
      </w:r>
      <w:proofErr w:type="gram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Ptr</w:t>
      </w:r>
      <w:proofErr w:type="spellEnd"/>
      <w:r w:rsidRPr="004C4417">
        <w:rPr>
          <w:rFonts w:ascii="Courier New" w:hAnsi="Courier New" w:cs="Courier New"/>
          <w:sz w:val="16"/>
          <w:szCs w:val="16"/>
        </w:rPr>
        <w:t xml:space="preserve"> to start of a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Outputs: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roofErr w:type="gramStart"/>
      <w:r w:rsidRPr="004C4417">
        <w:rPr>
          <w:rFonts w:ascii="Courier New" w:hAnsi="Courier New" w:cs="Courier New"/>
          <w:sz w:val="16"/>
          <w:szCs w:val="16"/>
        </w:rPr>
        <w:t>/  TOS</w:t>
      </w:r>
      <w:proofErr w:type="gram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Ptr</w:t>
      </w:r>
      <w:proofErr w:type="spellEnd"/>
      <w:r w:rsidRPr="004C4417">
        <w:rPr>
          <w:rFonts w:ascii="Courier New" w:hAnsi="Courier New" w:cs="Courier New"/>
          <w:sz w:val="16"/>
          <w:szCs w:val="16"/>
        </w:rPr>
        <w:t>. to start of a row within the given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Since in Forth you must do matrix/array index calculations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explicitly, these operators just make it easy to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get to rows 1 and 2 of a 3x3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row0 0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row1 12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row2 24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Function (aka NorthTek word): compute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The actual computation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This stack diagram indicates that there are no </w:t>
      </w:r>
      <w:proofErr w:type="spellStart"/>
      <w:r w:rsidRPr="004C4417">
        <w:rPr>
          <w:rFonts w:ascii="Courier New" w:hAnsi="Courier New" w:cs="Courier New"/>
          <w:sz w:val="16"/>
          <w:szCs w:val="16"/>
        </w:rPr>
        <w:t>params</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and no explicit results.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This function uses the global variables </w:t>
      </w:r>
      <w:proofErr w:type="spellStart"/>
      <w:r w:rsidRPr="004C4417">
        <w:rPr>
          <w:rFonts w:ascii="Courier New" w:hAnsi="Courier New" w:cs="Courier New"/>
          <w:sz w:val="16"/>
          <w:szCs w:val="16"/>
        </w:rPr>
        <w:t>comp_rot_matrix</w:t>
      </w:r>
      <w:proofErr w:type="spellEnd"/>
      <w:r w:rsidRPr="004C4417">
        <w:rPr>
          <w:rFonts w:ascii="Courier New" w:hAnsi="Courier New" w:cs="Courier New"/>
          <w:sz w:val="16"/>
          <w:szCs w:val="16"/>
        </w:rPr>
        <w:t xml:space="preserve"> and </w:t>
      </w:r>
      <w:proofErr w:type="spellStart"/>
      <w:r w:rsidRPr="004C4417">
        <w:rPr>
          <w:rFonts w:ascii="Courier New" w:hAnsi="Courier New" w:cs="Courier New"/>
          <w:sz w:val="16"/>
          <w:szCs w:val="16"/>
        </w:rPr>
        <w:t>sat_rot_matrix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Uses: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Database variables: cp2, cp1, </w:t>
      </w:r>
      <w:proofErr w:type="spellStart"/>
      <w:r w:rsidRPr="004C4417">
        <w:rPr>
          <w:rFonts w:ascii="Courier New" w:hAnsi="Courier New" w:cs="Courier New"/>
          <w:sz w:val="16"/>
          <w:szCs w:val="16"/>
        </w:rPr>
        <w:t>accelEst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lastRenderedPageBreak/>
        <w:t>// Modifies: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NorthTek variable: </w:t>
      </w:r>
      <w:proofErr w:type="spellStart"/>
      <w:r w:rsidRPr="004C4417">
        <w:rPr>
          <w:rFonts w:ascii="Courier New" w:hAnsi="Courier New" w:cs="Courier New"/>
          <w:sz w:val="16"/>
          <w:szCs w:val="16"/>
        </w:rPr>
        <w:t>comp_rot_matrix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compute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compute_vars</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cp2</w:t>
      </w:r>
      <w:proofErr w:type="gramEnd"/>
      <w:r w:rsidRPr="004C4417">
        <w:rPr>
          <w:rFonts w:ascii="Courier New" w:hAnsi="Courier New" w:cs="Courier New"/>
          <w:sz w:val="16"/>
          <w:szCs w:val="16"/>
        </w:rPr>
        <w:t xml:space="preserve"> di@ cp1 di@ </w:t>
      </w:r>
      <w:proofErr w:type="spellStart"/>
      <w:r w:rsidRPr="004C4417">
        <w:rPr>
          <w:rFonts w:ascii="Courier New" w:hAnsi="Courier New" w:cs="Courier New"/>
          <w:sz w:val="16"/>
          <w:szCs w:val="16"/>
        </w:rPr>
        <w:t>accelEst</w:t>
      </w:r>
      <w:proofErr w:type="spellEnd"/>
      <w:r w:rsidRPr="004C4417">
        <w:rPr>
          <w:rFonts w:ascii="Courier New" w:hAnsi="Courier New" w:cs="Courier New"/>
          <w:sz w:val="16"/>
          <w:szCs w:val="16"/>
        </w:rPr>
        <w:t xml:space="preserve"> di@  // get the three desired columns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comp_rot_matrix</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buildMatrix</w:t>
      </w:r>
      <w:proofErr w:type="spellEnd"/>
      <w:r w:rsidRPr="004C4417">
        <w:rPr>
          <w:rFonts w:ascii="Courier New" w:hAnsi="Courier New" w:cs="Courier New"/>
          <w:sz w:val="16"/>
          <w:szCs w:val="16"/>
        </w:rPr>
        <w:t xml:space="preserve">            // build the </w:t>
      </w:r>
      <w:proofErr w:type="spellStart"/>
      <w:r w:rsidRPr="004C4417">
        <w:rPr>
          <w:rFonts w:ascii="Courier New" w:hAnsi="Courier New" w:cs="Courier New"/>
          <w:sz w:val="16"/>
          <w:szCs w:val="16"/>
        </w:rPr>
        <w:t>comp_rot_matrix</w:t>
      </w:r>
      <w:proofErr w:type="spellEnd"/>
      <w:r w:rsidRPr="004C4417">
        <w:rPr>
          <w:rFonts w:ascii="Courier New" w:hAnsi="Courier New" w:cs="Courier New"/>
          <w:sz w:val="16"/>
          <w:szCs w:val="16"/>
        </w:rPr>
        <w:t xml:space="preserve"> with rows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cosine_theta</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cosine_psi</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row0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cosine_theta</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sine_psi</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row0 4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f0.0 </w:t>
      </w:r>
      <w:proofErr w:type="spellStart"/>
      <w:r w:rsidRPr="004C4417">
        <w:rPr>
          <w:rFonts w:ascii="Courier New" w:hAnsi="Courier New" w:cs="Courier New"/>
          <w:sz w:val="16"/>
          <w:szCs w:val="16"/>
        </w:rPr>
        <w:t>sine_theta</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row0 8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f0.0 </w:t>
      </w:r>
      <w:proofErr w:type="spellStart"/>
      <w:r w:rsidRPr="004C4417">
        <w:rPr>
          <w:rFonts w:ascii="Courier New" w:hAnsi="Courier New" w:cs="Courier New"/>
          <w:sz w:val="16"/>
          <w:szCs w:val="16"/>
        </w:rPr>
        <w:t>sine_psi</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row1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cosine_psi</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row1 4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f0.0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row1 8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cosine_psi</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sine_theta</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row2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sine_theta</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sine_psi</w:t>
      </w:r>
      <w:proofErr w:type="spellEnd"/>
      <w:r w:rsidRPr="004C4417">
        <w:rPr>
          <w:rFonts w:ascii="Courier New" w:hAnsi="Courier New" w:cs="Courier New"/>
          <w:sz w:val="16"/>
          <w:szCs w:val="16"/>
        </w:rPr>
        <w:t xml:space="preserve"> @ f*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row2 4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cosine_theta</w:t>
      </w:r>
      <w:proofErr w:type="spellEnd"/>
      <w:r w:rsidRPr="004C4417">
        <w:rPr>
          <w:rFonts w:ascii="Courier New" w:hAnsi="Courier New" w:cs="Courier New"/>
          <w:sz w:val="16"/>
          <w:szCs w:val="16"/>
        </w:rPr>
        <w:t xml:space="preserve"> @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row2 8 </w:t>
      </w:r>
      <w:proofErr w:type="gramStart"/>
      <w:r w:rsidRPr="004C4417">
        <w:rPr>
          <w:rFonts w:ascii="Courier New" w:hAnsi="Courier New" w:cs="Courier New"/>
          <w:sz w:val="16"/>
          <w:szCs w:val="16"/>
        </w:rPr>
        <w:t>+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sat_rot_matrix</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comp_rot_matrix</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m*m&gt;r</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Function (aka NorthTek word): </w:t>
      </w:r>
      <w:proofErr w:type="spellStart"/>
      <w:r w:rsidRPr="004C4417">
        <w:rPr>
          <w:rFonts w:ascii="Courier New" w:hAnsi="Courier New" w:cs="Courier New"/>
          <w:sz w:val="16"/>
          <w:szCs w:val="16"/>
        </w:rPr>
        <w:t>copyit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Copy each row of the matrix into the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The corresponding row of the boresight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Uses: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NorthTek variable: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Modifies: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Database variables: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boresightMatrixZ</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copyit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row0 </w:t>
      </w:r>
      <w:proofErr w:type="spellStart"/>
      <w:r w:rsidRPr="004C4417">
        <w:rPr>
          <w:rFonts w:ascii="Courier New" w:hAnsi="Courier New" w:cs="Courier New"/>
          <w:sz w:val="16"/>
          <w:szCs w:val="16"/>
        </w:rPr>
        <w:t>cp</w:t>
      </w:r>
      <w:proofErr w:type="spellEnd"/>
      <w:r w:rsidRPr="004C4417">
        <w:rPr>
          <w:rFonts w:ascii="Courier New" w:hAnsi="Courier New" w:cs="Courier New"/>
          <w:sz w:val="16"/>
          <w:szCs w:val="16"/>
        </w:rPr>
        <w:t xml:space="preserve">                    // Copy row 0 of matrix to</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   the </w:t>
      </w:r>
      <w:proofErr w:type="spellStart"/>
      <w:r w:rsidRPr="004C4417">
        <w:rPr>
          <w:rFonts w:ascii="Courier New" w:hAnsi="Courier New" w:cs="Courier New"/>
          <w:sz w:val="16"/>
          <w:szCs w:val="16"/>
        </w:rPr>
        <w:t>copyarray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boresightMatrixX</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 Set the database with the row</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set drop                          //   and then drop the result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   from the stack</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row1 </w:t>
      </w:r>
      <w:proofErr w:type="spellStart"/>
      <w:r w:rsidRPr="004C4417">
        <w:rPr>
          <w:rFonts w:ascii="Courier New" w:hAnsi="Courier New" w:cs="Courier New"/>
          <w:sz w:val="16"/>
          <w:szCs w:val="16"/>
        </w:rPr>
        <w:t>cp</w:t>
      </w:r>
      <w:proofErr w:type="spellEnd"/>
      <w:r w:rsidRPr="004C4417">
        <w:rPr>
          <w:rFonts w:ascii="Courier New" w:hAnsi="Courier New" w:cs="Courier New"/>
          <w:sz w:val="16"/>
          <w:szCs w:val="16"/>
        </w:rPr>
        <w:t xml:space="preserve">                    // same as before, Y row</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boresightMatrixY</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set drop</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row2 </w:t>
      </w:r>
      <w:proofErr w:type="spellStart"/>
      <w:r w:rsidRPr="004C4417">
        <w:rPr>
          <w:rFonts w:ascii="Courier New" w:hAnsi="Courier New" w:cs="Courier New"/>
          <w:sz w:val="16"/>
          <w:szCs w:val="16"/>
        </w:rPr>
        <w:t>cp</w:t>
      </w:r>
      <w:proofErr w:type="spellEnd"/>
      <w:r w:rsidRPr="004C4417">
        <w:rPr>
          <w:rFonts w:ascii="Courier New" w:hAnsi="Courier New" w:cs="Courier New"/>
          <w:sz w:val="16"/>
          <w:szCs w:val="16"/>
        </w:rPr>
        <w:t xml:space="preserve">                    // same as before Z row</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boresightMatrixZ</w:t>
      </w:r>
      <w:proofErr w:type="spellEnd"/>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copyarray</w:t>
      </w:r>
      <w:proofErr w:type="spell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set drop</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Function (aka NorthTek word): </w:t>
      </w:r>
      <w:proofErr w:type="spellStart"/>
      <w:r w:rsidRPr="004C4417">
        <w:rPr>
          <w:rFonts w:ascii="Courier New" w:hAnsi="Courier New" w:cs="Courier New"/>
          <w:sz w:val="16"/>
          <w:szCs w:val="16"/>
        </w:rPr>
        <w:t>printit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Printout the computed </w:t>
      </w:r>
      <w:proofErr w:type="spellStart"/>
      <w:r w:rsidRPr="004C4417">
        <w:rPr>
          <w:rFonts w:ascii="Courier New" w:hAnsi="Courier New" w:cs="Courier New"/>
          <w:sz w:val="16"/>
          <w:szCs w:val="16"/>
        </w:rPr>
        <w:t>tare_rot_matrix</w:t>
      </w:r>
      <w:proofErr w:type="spellEnd"/>
      <w:r w:rsidRPr="004C4417">
        <w:rPr>
          <w:rFonts w:ascii="Courier New" w:hAnsi="Courier New" w:cs="Courier New"/>
          <w:sz w:val="16"/>
          <w:szCs w:val="16"/>
        </w:rPr>
        <w:t xml:space="preserve"> and the current boresight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printit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proofErr w:type="gramStart"/>
      <w:r w:rsidRPr="004C4417">
        <w:rPr>
          <w:rFonts w:ascii="Courier New" w:hAnsi="Courier New" w:cs="Courier New"/>
          <w:sz w:val="16"/>
          <w:szCs w:val="16"/>
        </w:rPr>
        <w:t>tare_rot_matrix</w:t>
      </w:r>
      <w:proofErr w:type="spellEnd"/>
      <w:proofErr w:type="gramEnd"/>
      <w:r w:rsidRPr="004C4417">
        <w:rPr>
          <w:rFonts w:ascii="Courier New" w:hAnsi="Courier New" w:cs="Courier New"/>
          <w:sz w:val="16"/>
          <w:szCs w:val="16"/>
        </w:rPr>
        <w:t xml:space="preserve"> cr m.                  // Use the matrix print function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proofErr w:type="gramStart"/>
      <w:r w:rsidRPr="004C4417">
        <w:rPr>
          <w:rFonts w:ascii="Courier New" w:hAnsi="Courier New" w:cs="Courier New"/>
          <w:sz w:val="16"/>
          <w:szCs w:val="16"/>
        </w:rPr>
        <w:t>boresightMatrixX</w:t>
      </w:r>
      <w:proofErr w:type="spellEnd"/>
      <w:r w:rsidRPr="004C4417">
        <w:rPr>
          <w:rFonts w:ascii="Courier New" w:hAnsi="Courier New" w:cs="Courier New"/>
          <w:sz w:val="16"/>
          <w:szCs w:val="16"/>
        </w:rPr>
        <w:t xml:space="preserve">  di</w:t>
      </w:r>
      <w:proofErr w:type="gramEnd"/>
      <w:r w:rsidRPr="004C4417">
        <w:rPr>
          <w:rFonts w:ascii="Courier New" w:hAnsi="Courier New" w:cs="Courier New"/>
          <w:sz w:val="16"/>
          <w:szCs w:val="16"/>
        </w:rPr>
        <w:t>.         // Use the database print function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proofErr w:type="gramStart"/>
      <w:r w:rsidRPr="004C4417">
        <w:rPr>
          <w:rFonts w:ascii="Courier New" w:hAnsi="Courier New" w:cs="Courier New"/>
          <w:sz w:val="16"/>
          <w:szCs w:val="16"/>
        </w:rPr>
        <w:t>boresightMatrixY</w:t>
      </w:r>
      <w:proofErr w:type="spellEnd"/>
      <w:r w:rsidRPr="004C4417">
        <w:rPr>
          <w:rFonts w:ascii="Courier New" w:hAnsi="Courier New" w:cs="Courier New"/>
          <w:sz w:val="16"/>
          <w:szCs w:val="16"/>
        </w:rPr>
        <w:t xml:space="preserve">  di</w:t>
      </w:r>
      <w:proofErr w:type="gram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proofErr w:type="gramStart"/>
      <w:r w:rsidRPr="004C4417">
        <w:rPr>
          <w:rFonts w:ascii="Courier New" w:hAnsi="Courier New" w:cs="Courier New"/>
          <w:sz w:val="16"/>
          <w:szCs w:val="16"/>
        </w:rPr>
        <w:t>boresightMatrixZ</w:t>
      </w:r>
      <w:proofErr w:type="spellEnd"/>
      <w:r w:rsidRPr="004C4417">
        <w:rPr>
          <w:rFonts w:ascii="Courier New" w:hAnsi="Courier New" w:cs="Courier New"/>
          <w:sz w:val="16"/>
          <w:szCs w:val="16"/>
        </w:rPr>
        <w:t xml:space="preserve">  di</w:t>
      </w:r>
      <w:proofErr w:type="gramEnd"/>
      <w:r w:rsidRPr="004C4417">
        <w:rPr>
          <w:rFonts w:ascii="Courier New" w:hAnsi="Courier New" w:cs="Courier New"/>
          <w:sz w:val="16"/>
          <w:szCs w:val="16"/>
        </w:rPr>
        <w:t xml:space="preserv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Function (aka NorthTek word): tare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lastRenderedPageBreak/>
        <w:t>// Create a small program to perform the Tare function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Uses: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Database variables (used by compute): cp2, cp1, </w:t>
      </w:r>
      <w:proofErr w:type="spellStart"/>
      <w:r w:rsidRPr="004C4417">
        <w:rPr>
          <w:rFonts w:ascii="Courier New" w:hAnsi="Courier New" w:cs="Courier New"/>
          <w:sz w:val="16"/>
          <w:szCs w:val="16"/>
        </w:rPr>
        <w:t>accelEst</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Modifies:</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NorthTek variable: </w:t>
      </w:r>
      <w:proofErr w:type="spellStart"/>
      <w:r w:rsidRPr="004C4417">
        <w:rPr>
          <w:rFonts w:ascii="Courier New" w:hAnsi="Courier New" w:cs="Courier New"/>
          <w:sz w:val="16"/>
          <w:szCs w:val="16"/>
        </w:rPr>
        <w:t>tare_rot_matrix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Database variable: orientation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Database variables (set by </w:t>
      </w:r>
      <w:proofErr w:type="spellStart"/>
      <w:r w:rsidRPr="004C4417">
        <w:rPr>
          <w:rFonts w:ascii="Courier New" w:hAnsi="Courier New" w:cs="Courier New"/>
          <w:sz w:val="16"/>
          <w:szCs w:val="16"/>
        </w:rPr>
        <w:t>copyit</w:t>
      </w:r>
      <w:proofErr w:type="spellEnd"/>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boresightMatrixX</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boresightMatrixY</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boresightMatrixZ</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sat_tare</w:t>
      </w:r>
      <w:proofErr w:type="spell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pitch1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gramStart"/>
      <w:r w:rsidRPr="004C4417">
        <w:rPr>
          <w:rFonts w:ascii="Courier New" w:hAnsi="Courier New" w:cs="Courier New"/>
          <w:sz w:val="16"/>
          <w:szCs w:val="16"/>
        </w:rPr>
        <w:t>azimuth !</w:t>
      </w:r>
      <w:proofErr w:type="gramEnd"/>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proofErr w:type="gramStart"/>
      <w:r w:rsidRPr="004C4417">
        <w:rPr>
          <w:rFonts w:ascii="Courier New" w:hAnsi="Courier New" w:cs="Courier New"/>
          <w:sz w:val="16"/>
          <w:szCs w:val="16"/>
        </w:rPr>
        <w:t>tare_rot_matrix</w:t>
      </w:r>
      <w:proofErr w:type="spellEnd"/>
      <w:proofErr w:type="gramEnd"/>
      <w:r w:rsidRPr="004C4417">
        <w:rPr>
          <w:rFonts w:ascii="Courier New" w:hAnsi="Courier New" w:cs="Courier New"/>
          <w:sz w:val="16"/>
          <w:szCs w:val="16"/>
        </w:rPr>
        <w:t xml:space="preserve"> clear(m)       // clear the matrix we declared</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orientation 0 set     // setup to default orientation, required.</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1000 delay            // Wait 5 seconds for this to settle in computation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compute </w:t>
      </w:r>
      <w:proofErr w:type="spellStart"/>
      <w:r w:rsidRPr="004C4417">
        <w:rPr>
          <w:rFonts w:ascii="Courier New" w:hAnsi="Courier New" w:cs="Courier New"/>
          <w:sz w:val="16"/>
          <w:szCs w:val="16"/>
        </w:rPr>
        <w:t>copyit</w:t>
      </w:r>
      <w:proofErr w:type="spellEnd"/>
      <w:r w:rsidRPr="004C4417">
        <w:rPr>
          <w:rFonts w:ascii="Courier New" w:hAnsi="Courier New" w:cs="Courier New"/>
          <w:sz w:val="16"/>
          <w:szCs w:val="16"/>
        </w:rPr>
        <w:t xml:space="preserve">        // compute the matrix and copy to the boresight matrix.</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w:t>
      </w:r>
      <w:proofErr w:type="spellStart"/>
      <w:r w:rsidRPr="004C4417">
        <w:rPr>
          <w:rFonts w:ascii="Courier New" w:hAnsi="Courier New" w:cs="Courier New"/>
          <w:sz w:val="16"/>
          <w:szCs w:val="16"/>
        </w:rPr>
        <w:t>printit</w:t>
      </w:r>
      <w:proofErr w:type="spellEnd"/>
      <w:r w:rsidRPr="004C4417">
        <w:rPr>
          <w:rFonts w:ascii="Courier New" w:hAnsi="Courier New" w:cs="Courier New"/>
          <w:sz w:val="16"/>
          <w:szCs w:val="16"/>
        </w:rPr>
        <w:t xml:space="preserve">               // Print it for verification.</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Function (aka NorthTek word): bye</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bye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Boresight adjustment complete</w:t>
      </w:r>
      <w:proofErr w:type="gramStart"/>
      <w:r w:rsidRPr="004C4417">
        <w:rPr>
          <w:rFonts w:ascii="Courier New" w:hAnsi="Courier New" w:cs="Courier New"/>
          <w:sz w:val="16"/>
          <w:szCs w:val="16"/>
        </w:rPr>
        <w:t>!\</w:t>
      </w:r>
      <w:proofErr w:type="gramEnd"/>
      <w:r w:rsidRPr="004C4417">
        <w:rPr>
          <w:rFonts w:ascii="Courier New" w:hAnsi="Courier New" w:cs="Courier New"/>
          <w:sz w:val="16"/>
          <w:szCs w:val="16"/>
        </w:rPr>
        <w:t xml:space="preserve">r\n" </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w:t>
      </w: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25E06" w:rsidRPr="004C4417"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Input format is azimuth pitch1 </w:t>
      </w:r>
      <w:proofErr w:type="spellStart"/>
      <w:r w:rsidRPr="004C4417">
        <w:rPr>
          <w:rFonts w:ascii="Courier New" w:hAnsi="Courier New" w:cs="Courier New"/>
          <w:sz w:val="16"/>
          <w:szCs w:val="16"/>
        </w:rPr>
        <w:t>sat_tare</w:t>
      </w:r>
      <w:proofErr w:type="spellEnd"/>
      <w:r w:rsidRPr="004C4417">
        <w:rPr>
          <w:rFonts w:ascii="Courier New" w:hAnsi="Courier New" w:cs="Courier New"/>
          <w:sz w:val="16"/>
          <w:szCs w:val="16"/>
        </w:rPr>
        <w:t xml:space="preserve"> CRLF</w:t>
      </w:r>
    </w:p>
    <w:p w:rsidR="00B25E06" w:rsidRPr="00E056D4" w:rsidRDefault="00B25E06" w:rsidP="00B25E0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4C4417">
        <w:rPr>
          <w:rFonts w:ascii="Courier New" w:hAnsi="Courier New" w:cs="Courier New"/>
          <w:sz w:val="16"/>
          <w:szCs w:val="16"/>
        </w:rPr>
        <w:t xml:space="preserve">//    ex. f191.4 f49.5 </w:t>
      </w:r>
      <w:proofErr w:type="spellStart"/>
      <w:r w:rsidRPr="004C4417">
        <w:rPr>
          <w:rFonts w:ascii="Courier New" w:hAnsi="Courier New" w:cs="Courier New"/>
          <w:sz w:val="16"/>
          <w:szCs w:val="16"/>
        </w:rPr>
        <w:t>sat_tare</w:t>
      </w:r>
      <w:proofErr w:type="spellEnd"/>
      <w:r w:rsidRPr="004C4417">
        <w:rPr>
          <w:rFonts w:ascii="Courier New" w:hAnsi="Courier New" w:cs="Courier New"/>
          <w:sz w:val="16"/>
          <w:szCs w:val="16"/>
        </w:rPr>
        <w:t xml:space="preserve"> [ENTER]</w:t>
      </w:r>
    </w:p>
    <w:p w:rsidR="00B25E06" w:rsidRDefault="00B25E06" w:rsidP="00B25E06"/>
    <w:p w:rsidR="00B25E06" w:rsidRDefault="00B25E06" w:rsidP="00B25E06"/>
    <w:p w:rsidR="00B25E06" w:rsidRDefault="00B25E06" w:rsidP="00B25E06"/>
    <w:p w:rsidR="00B25E06" w:rsidRDefault="00B25E06" w:rsidP="00B25E06">
      <w:pPr>
        <w:rPr>
          <w:rFonts w:ascii="Calibri" w:hAnsi="Calibri" w:cs="Calibri"/>
          <w:b/>
          <w:i/>
        </w:rPr>
      </w:pPr>
      <w:r>
        <w:br w:type="page"/>
      </w:r>
    </w:p>
    <w:p w:rsidR="00B25E06" w:rsidRDefault="00B25E06" w:rsidP="00B25E06">
      <w:pPr>
        <w:pStyle w:val="Subheading"/>
      </w:pPr>
      <w:r>
        <w:lastRenderedPageBreak/>
        <w:t>Analog/Digital I/O Functions</w:t>
      </w:r>
    </w:p>
    <w:p w:rsidR="00B25E06" w:rsidRDefault="00B25E06" w:rsidP="00B25E06"/>
    <w:p w:rsidR="00B25E06" w:rsidRPr="000B0B55" w:rsidRDefault="00B25E06" w:rsidP="00B25E06">
      <w:pPr>
        <w:jc w:val="both"/>
      </w:pPr>
      <w:r>
        <w:t>The DC-4E/</w:t>
      </w:r>
      <w:r w:rsidRPr="000B0B55">
        <w:t>GE</w:t>
      </w:r>
      <w:r w:rsidR="00162013" w:rsidRPr="000B0B55">
        <w:t>DC</w:t>
      </w:r>
      <w:r w:rsidRPr="000B0B55">
        <w:t xml:space="preserve">-6E/AHRS-8 inertial systems do not have the extra input/output functions found in the SP300X family parts. </w:t>
      </w:r>
      <w:r w:rsidR="00DB02ED">
        <w:t xml:space="preserve"> </w:t>
      </w:r>
      <w:r w:rsidRPr="000B0B55">
        <w:t xml:space="preserve">There are no known workarounds for this.  </w:t>
      </w:r>
    </w:p>
    <w:p w:rsidR="00B25E06" w:rsidRPr="000B0B55" w:rsidRDefault="00B25E06" w:rsidP="00B25E06"/>
    <w:p w:rsidR="00B25E06" w:rsidRPr="000B0B55" w:rsidRDefault="00B25E06" w:rsidP="00B25E06">
      <w:pPr>
        <w:pStyle w:val="Subheading"/>
      </w:pPr>
      <w:r w:rsidRPr="000B0B55">
        <w:t>SPI Interface</w:t>
      </w:r>
    </w:p>
    <w:p w:rsidR="00B25E06" w:rsidRPr="000B0B55" w:rsidRDefault="00B25E06" w:rsidP="00B25E06"/>
    <w:p w:rsidR="00B25E06" w:rsidRDefault="00B25E06" w:rsidP="00B25E06">
      <w:pPr>
        <w:jc w:val="both"/>
      </w:pPr>
      <w:r w:rsidRPr="000B0B55">
        <w:t xml:space="preserve">There are no known workarounds for the lack of a SPI interface for the </w:t>
      </w:r>
      <w:r w:rsidR="00162013" w:rsidRPr="000B0B55">
        <w:t>DC-4E/GEDC</w:t>
      </w:r>
      <w:r w:rsidRPr="000B0B55">
        <w:t xml:space="preserve">-6E/AHRS-8. </w:t>
      </w:r>
      <w:r w:rsidR="00DB02ED">
        <w:t xml:space="preserve"> </w:t>
      </w:r>
      <w:r w:rsidRPr="000B0B55">
        <w:t>The end user should select one of the asynchronous serial protocols to utilize the DC-4E/GEDC-6E/AHRS-8 inertial</w:t>
      </w:r>
      <w:r>
        <w:t xml:space="preserve"> systems.</w:t>
      </w:r>
    </w:p>
    <w:p w:rsidR="00B25E06" w:rsidRDefault="00B25E06" w:rsidP="00B25E06"/>
    <w:p w:rsidR="00B25E06" w:rsidRDefault="00B25E06" w:rsidP="00B25E06">
      <w:pPr>
        <w:pStyle w:val="Subheading"/>
      </w:pPr>
      <w:r>
        <w:t>World Magnetic Model Update</w:t>
      </w:r>
    </w:p>
    <w:p w:rsidR="00B25E06" w:rsidRDefault="00B25E06" w:rsidP="00B25E06">
      <w:pPr>
        <w:pStyle w:val="Subheading"/>
      </w:pPr>
    </w:p>
    <w:p w:rsidR="00B25E06" w:rsidRDefault="00B25E06" w:rsidP="00B25E06">
      <w:pPr>
        <w:jc w:val="both"/>
      </w:pPr>
      <w:r>
        <w:t xml:space="preserve">The </w:t>
      </w:r>
      <w:r w:rsidRPr="004C4417">
        <w:t>DC-4E/GE</w:t>
      </w:r>
      <w:r>
        <w:t>DC</w:t>
      </w:r>
      <w:r w:rsidRPr="004C4417">
        <w:t xml:space="preserve">-6E/AHRS-8 </w:t>
      </w:r>
      <w:r>
        <w:t xml:space="preserve">inertial systems are shipped with a World Magnetic Model that is current at time of manufacture.  The World Magnetic Model may be updated in the field. </w:t>
      </w:r>
      <w:r w:rsidR="00DB02ED">
        <w:t xml:space="preserve"> </w:t>
      </w:r>
      <w:r>
        <w:t xml:space="preserve">This was also true of the SP300X products. </w:t>
      </w:r>
      <w:r w:rsidR="00DB02ED">
        <w:t xml:space="preserve"> </w:t>
      </w:r>
      <w:r>
        <w:t xml:space="preserve">However the previous generation products required the use of the evaluation kit software to download the World Magnetic Model.  The </w:t>
      </w:r>
      <w:r w:rsidRPr="004C4417">
        <w:t>DC-4E/GE</w:t>
      </w:r>
      <w:r>
        <w:t>DC</w:t>
      </w:r>
      <w:r w:rsidRPr="004C4417">
        <w:t xml:space="preserve">-6E/AHRS-8 </w:t>
      </w:r>
      <w:r>
        <w:t>inertial systems allow World Magnetic Model updates via a downloadable NorthTek</w:t>
      </w:r>
      <w:r>
        <w:rPr>
          <w:rFonts w:cstheme="minorHAnsi"/>
        </w:rPr>
        <w:t>™</w:t>
      </w:r>
      <w:r>
        <w:t xml:space="preserve"> program that can be sent to the inertial system over the user port in printable ASCII form.  The user should provide some type of user port bypass to an external PC to facilitate this update.  The user should also consider adding the necessary circuitry to perform field firmware updates as well. </w:t>
      </w:r>
      <w:r w:rsidR="00DB02ED">
        <w:t xml:space="preserve"> </w:t>
      </w:r>
      <w:r>
        <w:t xml:space="preserve">A firmware update will inherently contain a new World Magnetic Model.  The World Magnetic Model may also be updated with a file transfer using the Remote Function Select (RFS) protocol. </w:t>
      </w:r>
      <w:r w:rsidR="00DB02ED">
        <w:t xml:space="preserve"> </w:t>
      </w:r>
      <w:r>
        <w:t>A separate application note (AN1004) describes the minimal circuitry required to have both firmware and World Magnetic Model update capability in the user’s product.</w:t>
      </w:r>
    </w:p>
    <w:p w:rsidR="00B25E06" w:rsidRDefault="00B25E06" w:rsidP="00B25E06">
      <w:pPr>
        <w:pStyle w:val="Subheading"/>
      </w:pPr>
    </w:p>
    <w:p w:rsidR="00B25E06" w:rsidRDefault="00B25E06" w:rsidP="00B25E06">
      <w:pPr>
        <w:pStyle w:val="Subheading"/>
      </w:pPr>
      <w:r>
        <w:t>Digital Filter</w:t>
      </w:r>
    </w:p>
    <w:p w:rsidR="00B25E06" w:rsidRDefault="00B25E06" w:rsidP="00B25E06"/>
    <w:p w:rsidR="00B25E06" w:rsidRDefault="00B25E06" w:rsidP="00B25E06">
      <w:pPr>
        <w:jc w:val="both"/>
      </w:pPr>
      <w:r>
        <w:t xml:space="preserve">The new </w:t>
      </w:r>
      <w:r w:rsidRPr="004C4417">
        <w:t>DC-4E/GE</w:t>
      </w:r>
      <w:r>
        <w:t>DC</w:t>
      </w:r>
      <w:r w:rsidRPr="004C4417">
        <w:t xml:space="preserve">-6E/AHRS-8 </w:t>
      </w:r>
      <w:r>
        <w:t xml:space="preserve">inertial systems contain the </w:t>
      </w:r>
      <w:proofErr w:type="spellStart"/>
      <w:r>
        <w:t>AdaptNav</w:t>
      </w:r>
      <w:proofErr w:type="spellEnd"/>
      <w:r>
        <w:rPr>
          <w:rFonts w:cstheme="minorHAnsi"/>
        </w:rPr>
        <w:t>™</w:t>
      </w:r>
      <w:r>
        <w:t xml:space="preserve"> or other system fusion algorithms that supersede the digital filter in the SP300X products. </w:t>
      </w:r>
      <w:r w:rsidR="00DB02ED">
        <w:t xml:space="preserve"> </w:t>
      </w:r>
      <w:r>
        <w:t>The user should consult the Software Interface User’s Manual or other application notes regarding the settings required to get similar performance to the filtered output from the previous generation products.</w:t>
      </w:r>
    </w:p>
    <w:p w:rsidR="00B25E06" w:rsidRDefault="00B25E06" w:rsidP="00B25E06">
      <w:pPr>
        <w:pStyle w:val="Subheading"/>
      </w:pPr>
    </w:p>
    <w:p w:rsidR="00B25E06" w:rsidRDefault="00B25E06" w:rsidP="00B25E06">
      <w:pPr>
        <w:pStyle w:val="Subheading"/>
      </w:pPr>
      <w:r>
        <w:t>Code Update</w:t>
      </w:r>
    </w:p>
    <w:p w:rsidR="00B25E06" w:rsidRDefault="00B25E06" w:rsidP="00B25E06">
      <w:pPr>
        <w:rPr>
          <w:rFonts w:ascii="Calibri" w:hAnsi="Calibri" w:cs="Calibri"/>
          <w:b/>
          <w:i/>
        </w:rPr>
      </w:pPr>
    </w:p>
    <w:p w:rsidR="00B25E06" w:rsidRDefault="00B25E06" w:rsidP="00B25E06">
      <w:r>
        <w:t xml:space="preserve">The firmware in the </w:t>
      </w:r>
      <w:r w:rsidRPr="004C4417">
        <w:t>DC-4E/GE</w:t>
      </w:r>
      <w:r>
        <w:t>DC</w:t>
      </w:r>
      <w:r w:rsidRPr="004C4417">
        <w:t xml:space="preserve">-6E/AHRS-8 </w:t>
      </w:r>
      <w:r>
        <w:t xml:space="preserve">inertial systems is field upgradeable if the proper circuitry is built into the user product.  Consult the appropriate application note (AN1004) to obtain the necessary information to design this capability into the product.  This same circuitry can be used to update the World Magnetic Model should the case arise. </w:t>
      </w:r>
      <w:r w:rsidR="00DB02ED">
        <w:t xml:space="preserve"> </w:t>
      </w:r>
      <w:r>
        <w:t>The firmware upgrade procedure is also described in application note (AN1006).</w:t>
      </w:r>
    </w:p>
    <w:p w:rsidR="00162013" w:rsidRDefault="00162013" w:rsidP="00B25E06"/>
    <w:p w:rsidR="00162013" w:rsidRDefault="00162013" w:rsidP="00B25E06"/>
    <w:p w:rsidR="00162013" w:rsidRDefault="00162013" w:rsidP="00B25E06"/>
    <w:p w:rsidR="00162013" w:rsidRDefault="00162013" w:rsidP="00B25E06"/>
    <w:p w:rsidR="00B25E06" w:rsidRDefault="00B25E06" w:rsidP="00B25E06">
      <w:pPr>
        <w:rPr>
          <w:rFonts w:ascii="Calibri" w:hAnsi="Calibri" w:cs="Calibri"/>
          <w:b/>
          <w:szCs w:val="24"/>
        </w:rPr>
      </w:pPr>
      <w:r w:rsidRPr="00215E61">
        <w:rPr>
          <w:rFonts w:ascii="Calibri" w:hAnsi="Calibri" w:cs="Calibri"/>
          <w:b/>
          <w:szCs w:val="24"/>
        </w:rPr>
        <w:lastRenderedPageBreak/>
        <w:t>Want to know more?</w:t>
      </w:r>
    </w:p>
    <w:p w:rsidR="00B25E06" w:rsidRPr="00215E61" w:rsidRDefault="00B25E06" w:rsidP="00B25E06">
      <w:pPr>
        <w:rPr>
          <w:rFonts w:ascii="Calibri" w:hAnsi="Calibri" w:cs="Calibri"/>
          <w:b/>
          <w:szCs w:val="24"/>
        </w:rPr>
      </w:pPr>
    </w:p>
    <w:p w:rsidR="00B25E06" w:rsidRPr="00162013" w:rsidRDefault="00B25E06" w:rsidP="00162013">
      <w:pPr>
        <w:pStyle w:val="ListParagraph"/>
        <w:numPr>
          <w:ilvl w:val="0"/>
          <w:numId w:val="24"/>
        </w:numPr>
        <w:rPr>
          <w:rFonts w:ascii="Calibri" w:hAnsi="Calibri" w:cs="Calibri"/>
        </w:rPr>
      </w:pPr>
      <w:r w:rsidRPr="00162013">
        <w:rPr>
          <w:rFonts w:ascii="Calibri" w:hAnsi="Calibri" w:cs="Calibri"/>
        </w:rPr>
        <w:t xml:space="preserve">Check it out here: </w:t>
      </w:r>
      <w:hyperlink r:id="rId9" w:history="1">
        <w:r w:rsidRPr="00162013">
          <w:rPr>
            <w:rStyle w:val="Hyperlink"/>
            <w:rFonts w:ascii="Calibri" w:hAnsi="Calibri" w:cs="Calibri"/>
          </w:rPr>
          <w:t>www.spartonnavex.com</w:t>
        </w:r>
      </w:hyperlink>
      <w:r w:rsidRPr="00162013">
        <w:rPr>
          <w:rFonts w:ascii="Calibri" w:hAnsi="Calibri" w:cs="Calibri"/>
        </w:rPr>
        <w:t xml:space="preserve"> </w:t>
      </w:r>
    </w:p>
    <w:p w:rsidR="001809BA" w:rsidRPr="00BB3032" w:rsidRDefault="001809BA" w:rsidP="00BB3032">
      <w:pPr>
        <w:rPr>
          <w:sz w:val="20"/>
        </w:rPr>
      </w:pPr>
    </w:p>
    <w:sectPr w:rsidR="001809BA" w:rsidRPr="00BB3032" w:rsidSect="0034721C">
      <w:headerReference w:type="default" r:id="rId10"/>
      <w:footerReference w:type="even" r:id="rId11"/>
      <w:footerReference w:type="default" r:id="rId12"/>
      <w:headerReference w:type="first" r:id="rId13"/>
      <w:footerReference w:type="first" r:id="rId14"/>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1A" w:rsidRDefault="00CD331A">
      <w:r>
        <w:separator/>
      </w:r>
    </w:p>
  </w:endnote>
  <w:endnote w:type="continuationSeparator" w:id="0">
    <w:p w:rsidR="00CD331A" w:rsidRDefault="00CD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673" w:rsidRDefault="00951673">
    <w:pPr>
      <w:pStyle w:val="Footer"/>
    </w:pPr>
    <w:r w:rsidRPr="003D280C">
      <w:rPr>
        <w:noProof/>
      </w:rPr>
      <w:drawing>
        <wp:anchor distT="0" distB="0" distL="114300" distR="114300" simplePos="0" relativeHeight="251668480" behindDoc="0" locked="0" layoutInCell="1" allowOverlap="1" wp14:anchorId="600C2D95" wp14:editId="4E3D8817">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951673" w:rsidRDefault="00951673">
        <w:pPr>
          <w:pStyle w:val="Footer"/>
          <w:jc w:val="center"/>
        </w:pPr>
        <w:r>
          <w:rPr>
            <w:noProof/>
          </w:rPr>
          <w:drawing>
            <wp:anchor distT="0" distB="0" distL="114300" distR="114300" simplePos="0" relativeHeight="251670528" behindDoc="1" locked="0" layoutInCell="1" allowOverlap="1" wp14:anchorId="61FF7C41" wp14:editId="214EA21B">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fldChar w:fldCharType="begin"/>
        </w:r>
        <w:r>
          <w:instrText xml:space="preserve"> PAGE   \* MERGEFORMAT </w:instrText>
        </w:r>
        <w:r>
          <w:fldChar w:fldCharType="separate"/>
        </w:r>
        <w:r w:rsidR="00F96DBE">
          <w:rPr>
            <w:noProof/>
          </w:rPr>
          <w:t>2</w:t>
        </w:r>
        <w:r>
          <w:rPr>
            <w:noProof/>
          </w:rPr>
          <w:fldChar w:fldCharType="end"/>
        </w:r>
        <w:r>
          <w:t xml:space="preserve"> (Rev 4.1)</w:t>
        </w:r>
      </w:p>
    </w:sdtContent>
  </w:sdt>
  <w:p w:rsidR="00951673" w:rsidRDefault="00951673"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673" w:rsidRDefault="00951673">
    <w:pPr>
      <w:pStyle w:val="Footer"/>
    </w:pPr>
    <w:r w:rsidRPr="00266218">
      <w:rPr>
        <w:noProof/>
      </w:rPr>
      <w:drawing>
        <wp:anchor distT="0" distB="0" distL="114300" distR="114300" simplePos="0" relativeHeight="251680768" behindDoc="1" locked="0" layoutInCell="1" allowOverlap="1" wp14:anchorId="4056571E" wp14:editId="4B58FAA1">
          <wp:simplePos x="0" y="0"/>
          <wp:positionH relativeFrom="page">
            <wp:posOffset>0</wp:posOffset>
          </wp:positionH>
          <wp:positionV relativeFrom="page">
            <wp:posOffset>8629650</wp:posOffset>
          </wp:positionV>
          <wp:extent cx="7886700"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86700" cy="1428750"/>
                  </a:xfrm>
                  <a:prstGeom prst="rect">
                    <a:avLst/>
                  </a:prstGeom>
                </pic:spPr>
              </pic:pic>
            </a:graphicData>
          </a:graphic>
          <wp14:sizeRelH relativeFrom="margin">
            <wp14:pctWidth>0</wp14:pctWidth>
          </wp14:sizeRelH>
        </wp:anchor>
      </w:drawing>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1A" w:rsidRDefault="00CD331A">
      <w:r>
        <w:separator/>
      </w:r>
    </w:p>
  </w:footnote>
  <w:footnote w:type="continuationSeparator" w:id="0">
    <w:p w:rsidR="00CD331A" w:rsidRDefault="00CD3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673" w:rsidRDefault="00951673"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0D5E37F9" wp14:editId="7296005B">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F988609" wp14:editId="195B0587">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Pr>
        <w:rFonts w:ascii="Calibri" w:hAnsi="Calibri" w:cs="Calibri"/>
        <w:sz w:val="48"/>
        <w:szCs w:val="48"/>
      </w:rPr>
      <w:t>AN1001</w:t>
    </w:r>
  </w:p>
  <w:p w:rsidR="00951673" w:rsidRDefault="00951673"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673" w:rsidRDefault="00951673" w:rsidP="001C4B0B">
    <w:pPr>
      <w:pStyle w:val="Header"/>
      <w:spacing w:after="240"/>
      <w:jc w:val="right"/>
    </w:pPr>
    <w:r>
      <w:rPr>
        <w:noProof/>
      </w:rPr>
      <w:drawing>
        <wp:anchor distT="0" distB="0" distL="114300" distR="114300" simplePos="0" relativeHeight="251678720" behindDoc="0" locked="0" layoutInCell="1" allowOverlap="1" wp14:anchorId="6DFDF431" wp14:editId="428DF8C8">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5B8DE998" wp14:editId="6E475D5C">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Pr>
        <w:rFonts w:ascii="Calibri" w:hAnsi="Calibri" w:cs="Calibri"/>
        <w:sz w:val="48"/>
        <w:szCs w:val="48"/>
      </w:rPr>
      <w:t>AN1001</w:t>
    </w:r>
    <w:r w:rsidR="00F96DBE">
      <w:rPr>
        <w:rFonts w:ascii="Calibri" w:hAnsi="Calibri" w:cs="Calibri"/>
        <w:sz w:val="48"/>
        <w:szCs w:val="48"/>
      </w:rPr>
      <w:t>E</w:t>
    </w:r>
  </w:p>
  <w:p w:rsidR="00951673" w:rsidRPr="001C4B0B" w:rsidRDefault="00951673"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33C0"/>
    <w:multiLevelType w:val="hybridMultilevel"/>
    <w:tmpl w:val="34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11483"/>
    <w:multiLevelType w:val="singleLevel"/>
    <w:tmpl w:val="04090001"/>
    <w:lvl w:ilvl="0">
      <w:start w:val="1"/>
      <w:numFmt w:val="bullet"/>
      <w:lvlText w:val=""/>
      <w:lvlJc w:val="left"/>
      <w:pPr>
        <w:ind w:left="720" w:hanging="360"/>
      </w:pPr>
      <w:rPr>
        <w:rFonts w:ascii="Symbol" w:hAnsi="Symbol" w:hint="default"/>
      </w:rPr>
    </w:lvl>
  </w:abstractNum>
  <w:num w:numId="1">
    <w:abstractNumId w:val="5"/>
  </w:num>
  <w:num w:numId="2">
    <w:abstractNumId w:val="23"/>
  </w:num>
  <w:num w:numId="3">
    <w:abstractNumId w:val="4"/>
  </w:num>
  <w:num w:numId="4">
    <w:abstractNumId w:val="15"/>
  </w:num>
  <w:num w:numId="5">
    <w:abstractNumId w:val="22"/>
  </w:num>
  <w:num w:numId="6">
    <w:abstractNumId w:val="16"/>
  </w:num>
  <w:num w:numId="7">
    <w:abstractNumId w:val="12"/>
  </w:num>
  <w:num w:numId="8">
    <w:abstractNumId w:val="13"/>
  </w:num>
  <w:num w:numId="9">
    <w:abstractNumId w:val="21"/>
  </w:num>
  <w:num w:numId="10">
    <w:abstractNumId w:val="0"/>
  </w:num>
  <w:num w:numId="11">
    <w:abstractNumId w:val="9"/>
  </w:num>
  <w:num w:numId="12">
    <w:abstractNumId w:val="6"/>
  </w:num>
  <w:num w:numId="13">
    <w:abstractNumId w:val="14"/>
  </w:num>
  <w:num w:numId="14">
    <w:abstractNumId w:val="19"/>
  </w:num>
  <w:num w:numId="15">
    <w:abstractNumId w:val="2"/>
  </w:num>
  <w:num w:numId="16">
    <w:abstractNumId w:val="7"/>
  </w:num>
  <w:num w:numId="17">
    <w:abstractNumId w:val="20"/>
  </w:num>
  <w:num w:numId="18">
    <w:abstractNumId w:val="3"/>
  </w:num>
  <w:num w:numId="19">
    <w:abstractNumId w:val="8"/>
  </w:num>
  <w:num w:numId="20">
    <w:abstractNumId w:val="17"/>
  </w:num>
  <w:num w:numId="21">
    <w:abstractNumId w:val="10"/>
  </w:num>
  <w:num w:numId="22">
    <w:abstractNumId w:val="18"/>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3570C"/>
    <w:rsid w:val="00044247"/>
    <w:rsid w:val="00057024"/>
    <w:rsid w:val="000632BC"/>
    <w:rsid w:val="000717A8"/>
    <w:rsid w:val="00076C9E"/>
    <w:rsid w:val="0008389A"/>
    <w:rsid w:val="00087CE2"/>
    <w:rsid w:val="00090C31"/>
    <w:rsid w:val="00092DC4"/>
    <w:rsid w:val="00096CDB"/>
    <w:rsid w:val="00096CE1"/>
    <w:rsid w:val="000B0B55"/>
    <w:rsid w:val="000B347D"/>
    <w:rsid w:val="000B3F5B"/>
    <w:rsid w:val="000C5768"/>
    <w:rsid w:val="000D0D89"/>
    <w:rsid w:val="000D3EF4"/>
    <w:rsid w:val="000E24A9"/>
    <w:rsid w:val="000E5443"/>
    <w:rsid w:val="000E62D2"/>
    <w:rsid w:val="000E63D1"/>
    <w:rsid w:val="000F14A5"/>
    <w:rsid w:val="000F7425"/>
    <w:rsid w:val="00103CCB"/>
    <w:rsid w:val="0010632F"/>
    <w:rsid w:val="00114374"/>
    <w:rsid w:val="00114D34"/>
    <w:rsid w:val="00117C13"/>
    <w:rsid w:val="00130D96"/>
    <w:rsid w:val="0013198F"/>
    <w:rsid w:val="00145B95"/>
    <w:rsid w:val="00162013"/>
    <w:rsid w:val="001625F5"/>
    <w:rsid w:val="00174996"/>
    <w:rsid w:val="00175A84"/>
    <w:rsid w:val="0017667E"/>
    <w:rsid w:val="001809BA"/>
    <w:rsid w:val="00186D81"/>
    <w:rsid w:val="001908A9"/>
    <w:rsid w:val="001910B6"/>
    <w:rsid w:val="001A1664"/>
    <w:rsid w:val="001A26E0"/>
    <w:rsid w:val="001B23D1"/>
    <w:rsid w:val="001C069F"/>
    <w:rsid w:val="001C0A89"/>
    <w:rsid w:val="001C4B0B"/>
    <w:rsid w:val="001C5649"/>
    <w:rsid w:val="001E1435"/>
    <w:rsid w:val="001F1C10"/>
    <w:rsid w:val="001F462C"/>
    <w:rsid w:val="00201EDC"/>
    <w:rsid w:val="00204ADE"/>
    <w:rsid w:val="00215E61"/>
    <w:rsid w:val="00241283"/>
    <w:rsid w:val="00243733"/>
    <w:rsid w:val="0025362F"/>
    <w:rsid w:val="00253D10"/>
    <w:rsid w:val="00261674"/>
    <w:rsid w:val="002618EF"/>
    <w:rsid w:val="002660F3"/>
    <w:rsid w:val="00284178"/>
    <w:rsid w:val="00284D58"/>
    <w:rsid w:val="002932DA"/>
    <w:rsid w:val="002942DC"/>
    <w:rsid w:val="00295014"/>
    <w:rsid w:val="002A4417"/>
    <w:rsid w:val="002A54CC"/>
    <w:rsid w:val="002B1D8E"/>
    <w:rsid w:val="002C0A90"/>
    <w:rsid w:val="002C391D"/>
    <w:rsid w:val="002D488D"/>
    <w:rsid w:val="002D5001"/>
    <w:rsid w:val="002D5E80"/>
    <w:rsid w:val="002E61CA"/>
    <w:rsid w:val="002F0A0C"/>
    <w:rsid w:val="002F33FE"/>
    <w:rsid w:val="00301268"/>
    <w:rsid w:val="00301CA3"/>
    <w:rsid w:val="00306A03"/>
    <w:rsid w:val="0031072C"/>
    <w:rsid w:val="00311C53"/>
    <w:rsid w:val="00320573"/>
    <w:rsid w:val="00322D88"/>
    <w:rsid w:val="00323313"/>
    <w:rsid w:val="00323DED"/>
    <w:rsid w:val="00326CB4"/>
    <w:rsid w:val="00334273"/>
    <w:rsid w:val="00334541"/>
    <w:rsid w:val="003368A6"/>
    <w:rsid w:val="003437F4"/>
    <w:rsid w:val="003461FB"/>
    <w:rsid w:val="003471DD"/>
    <w:rsid w:val="0034721C"/>
    <w:rsid w:val="003519E9"/>
    <w:rsid w:val="00355841"/>
    <w:rsid w:val="00355D68"/>
    <w:rsid w:val="00360B92"/>
    <w:rsid w:val="00363990"/>
    <w:rsid w:val="00374E44"/>
    <w:rsid w:val="0038381E"/>
    <w:rsid w:val="0038791C"/>
    <w:rsid w:val="003A58E5"/>
    <w:rsid w:val="003A7A84"/>
    <w:rsid w:val="003B493D"/>
    <w:rsid w:val="003B72D0"/>
    <w:rsid w:val="003B74F4"/>
    <w:rsid w:val="003C0A3F"/>
    <w:rsid w:val="003D120E"/>
    <w:rsid w:val="003D12CD"/>
    <w:rsid w:val="003D1756"/>
    <w:rsid w:val="003D280C"/>
    <w:rsid w:val="003D7A64"/>
    <w:rsid w:val="003D7D0A"/>
    <w:rsid w:val="003E3B4B"/>
    <w:rsid w:val="0040404F"/>
    <w:rsid w:val="00422472"/>
    <w:rsid w:val="0043687B"/>
    <w:rsid w:val="00443D7C"/>
    <w:rsid w:val="00447C40"/>
    <w:rsid w:val="00450A9C"/>
    <w:rsid w:val="004537AC"/>
    <w:rsid w:val="00460825"/>
    <w:rsid w:val="00460D1B"/>
    <w:rsid w:val="00473196"/>
    <w:rsid w:val="004874AF"/>
    <w:rsid w:val="004A30A6"/>
    <w:rsid w:val="004A4804"/>
    <w:rsid w:val="004A671A"/>
    <w:rsid w:val="004B35E3"/>
    <w:rsid w:val="004B4214"/>
    <w:rsid w:val="004B44DF"/>
    <w:rsid w:val="004C0BA2"/>
    <w:rsid w:val="004C2F2A"/>
    <w:rsid w:val="004D1044"/>
    <w:rsid w:val="004E7A5B"/>
    <w:rsid w:val="004F22BC"/>
    <w:rsid w:val="004F4FE5"/>
    <w:rsid w:val="004F79DD"/>
    <w:rsid w:val="005029DB"/>
    <w:rsid w:val="00513738"/>
    <w:rsid w:val="00521A6C"/>
    <w:rsid w:val="00523DFF"/>
    <w:rsid w:val="0053434A"/>
    <w:rsid w:val="00535084"/>
    <w:rsid w:val="00551B1E"/>
    <w:rsid w:val="00553C63"/>
    <w:rsid w:val="00556030"/>
    <w:rsid w:val="00570B5E"/>
    <w:rsid w:val="00574BA8"/>
    <w:rsid w:val="00575DCF"/>
    <w:rsid w:val="005877A9"/>
    <w:rsid w:val="00591225"/>
    <w:rsid w:val="0059399F"/>
    <w:rsid w:val="005C32D5"/>
    <w:rsid w:val="005C7BE1"/>
    <w:rsid w:val="005D2589"/>
    <w:rsid w:val="005D5D71"/>
    <w:rsid w:val="005E2338"/>
    <w:rsid w:val="005F017A"/>
    <w:rsid w:val="005F456E"/>
    <w:rsid w:val="0060542B"/>
    <w:rsid w:val="0061035F"/>
    <w:rsid w:val="006139E4"/>
    <w:rsid w:val="006140EA"/>
    <w:rsid w:val="00621FC6"/>
    <w:rsid w:val="00634A71"/>
    <w:rsid w:val="00637D66"/>
    <w:rsid w:val="00653C1D"/>
    <w:rsid w:val="006633B1"/>
    <w:rsid w:val="006643E6"/>
    <w:rsid w:val="0067262F"/>
    <w:rsid w:val="00672656"/>
    <w:rsid w:val="00681DAC"/>
    <w:rsid w:val="00687754"/>
    <w:rsid w:val="006879FB"/>
    <w:rsid w:val="006962D4"/>
    <w:rsid w:val="006972E4"/>
    <w:rsid w:val="006A3ABD"/>
    <w:rsid w:val="006B0E79"/>
    <w:rsid w:val="006B11AF"/>
    <w:rsid w:val="006B2B32"/>
    <w:rsid w:val="006B6A92"/>
    <w:rsid w:val="006C03BF"/>
    <w:rsid w:val="006D149D"/>
    <w:rsid w:val="006D4A08"/>
    <w:rsid w:val="006D7257"/>
    <w:rsid w:val="006E4BD9"/>
    <w:rsid w:val="006E5DF8"/>
    <w:rsid w:val="006E7C9A"/>
    <w:rsid w:val="006F0538"/>
    <w:rsid w:val="006F6227"/>
    <w:rsid w:val="006F7D20"/>
    <w:rsid w:val="00710420"/>
    <w:rsid w:val="0071431D"/>
    <w:rsid w:val="00715DF4"/>
    <w:rsid w:val="00716EC3"/>
    <w:rsid w:val="00735B55"/>
    <w:rsid w:val="00736DD4"/>
    <w:rsid w:val="00740046"/>
    <w:rsid w:val="0074505A"/>
    <w:rsid w:val="007450A9"/>
    <w:rsid w:val="00747C80"/>
    <w:rsid w:val="0075712C"/>
    <w:rsid w:val="00757EF3"/>
    <w:rsid w:val="007600F5"/>
    <w:rsid w:val="00761A6D"/>
    <w:rsid w:val="007654E5"/>
    <w:rsid w:val="00773B4D"/>
    <w:rsid w:val="0077515B"/>
    <w:rsid w:val="007A7011"/>
    <w:rsid w:val="007B4F1E"/>
    <w:rsid w:val="007B5800"/>
    <w:rsid w:val="007C2D1E"/>
    <w:rsid w:val="007C61E6"/>
    <w:rsid w:val="007E30A0"/>
    <w:rsid w:val="007E3BDC"/>
    <w:rsid w:val="007E3F32"/>
    <w:rsid w:val="007F31EA"/>
    <w:rsid w:val="007F7D61"/>
    <w:rsid w:val="00804636"/>
    <w:rsid w:val="008264DB"/>
    <w:rsid w:val="00837874"/>
    <w:rsid w:val="00843A04"/>
    <w:rsid w:val="00844EC4"/>
    <w:rsid w:val="00847735"/>
    <w:rsid w:val="00864DB4"/>
    <w:rsid w:val="00873563"/>
    <w:rsid w:val="0088235A"/>
    <w:rsid w:val="00891296"/>
    <w:rsid w:val="008947C4"/>
    <w:rsid w:val="00894FC5"/>
    <w:rsid w:val="008A68A5"/>
    <w:rsid w:val="008B2FCD"/>
    <w:rsid w:val="008B3D44"/>
    <w:rsid w:val="008B74BA"/>
    <w:rsid w:val="008C6EAE"/>
    <w:rsid w:val="008D1B4E"/>
    <w:rsid w:val="008E3490"/>
    <w:rsid w:val="008E359D"/>
    <w:rsid w:val="008E4117"/>
    <w:rsid w:val="00900410"/>
    <w:rsid w:val="009004C5"/>
    <w:rsid w:val="00913051"/>
    <w:rsid w:val="00943E12"/>
    <w:rsid w:val="00945220"/>
    <w:rsid w:val="00951673"/>
    <w:rsid w:val="009576AA"/>
    <w:rsid w:val="009656FE"/>
    <w:rsid w:val="00967411"/>
    <w:rsid w:val="00970F17"/>
    <w:rsid w:val="00977B26"/>
    <w:rsid w:val="0099655E"/>
    <w:rsid w:val="009A396C"/>
    <w:rsid w:val="009B05B1"/>
    <w:rsid w:val="009B2C0E"/>
    <w:rsid w:val="009B4B9E"/>
    <w:rsid w:val="009C27DA"/>
    <w:rsid w:val="009C48A5"/>
    <w:rsid w:val="009D2E53"/>
    <w:rsid w:val="009E021E"/>
    <w:rsid w:val="009E0CDC"/>
    <w:rsid w:val="009E1538"/>
    <w:rsid w:val="009E4F0F"/>
    <w:rsid w:val="009F7237"/>
    <w:rsid w:val="00A00A5C"/>
    <w:rsid w:val="00A04B7D"/>
    <w:rsid w:val="00A27960"/>
    <w:rsid w:val="00A314F3"/>
    <w:rsid w:val="00A50F04"/>
    <w:rsid w:val="00A5365F"/>
    <w:rsid w:val="00A54738"/>
    <w:rsid w:val="00A556BA"/>
    <w:rsid w:val="00A6002F"/>
    <w:rsid w:val="00A63B43"/>
    <w:rsid w:val="00A73049"/>
    <w:rsid w:val="00A74248"/>
    <w:rsid w:val="00A77C7C"/>
    <w:rsid w:val="00A8513E"/>
    <w:rsid w:val="00A85DAB"/>
    <w:rsid w:val="00AA10C2"/>
    <w:rsid w:val="00AB1891"/>
    <w:rsid w:val="00AB74ED"/>
    <w:rsid w:val="00AD265A"/>
    <w:rsid w:val="00AD5CD2"/>
    <w:rsid w:val="00AE52BE"/>
    <w:rsid w:val="00AE6EFE"/>
    <w:rsid w:val="00AF1423"/>
    <w:rsid w:val="00AF7472"/>
    <w:rsid w:val="00B00133"/>
    <w:rsid w:val="00B0441F"/>
    <w:rsid w:val="00B153DB"/>
    <w:rsid w:val="00B16159"/>
    <w:rsid w:val="00B25E06"/>
    <w:rsid w:val="00B33179"/>
    <w:rsid w:val="00B34D35"/>
    <w:rsid w:val="00B403A2"/>
    <w:rsid w:val="00B41549"/>
    <w:rsid w:val="00B53CA0"/>
    <w:rsid w:val="00B54DA6"/>
    <w:rsid w:val="00B57B25"/>
    <w:rsid w:val="00B60A98"/>
    <w:rsid w:val="00B87230"/>
    <w:rsid w:val="00B9296C"/>
    <w:rsid w:val="00B939C0"/>
    <w:rsid w:val="00B94923"/>
    <w:rsid w:val="00BA55DD"/>
    <w:rsid w:val="00BB1583"/>
    <w:rsid w:val="00BB246C"/>
    <w:rsid w:val="00BB3032"/>
    <w:rsid w:val="00BB3A05"/>
    <w:rsid w:val="00BB783C"/>
    <w:rsid w:val="00BC0A7E"/>
    <w:rsid w:val="00BF63C5"/>
    <w:rsid w:val="00C01BF8"/>
    <w:rsid w:val="00C20917"/>
    <w:rsid w:val="00C235C0"/>
    <w:rsid w:val="00C36E56"/>
    <w:rsid w:val="00C454E8"/>
    <w:rsid w:val="00C52C40"/>
    <w:rsid w:val="00C6473A"/>
    <w:rsid w:val="00C73A4D"/>
    <w:rsid w:val="00C760FA"/>
    <w:rsid w:val="00C87807"/>
    <w:rsid w:val="00C964FC"/>
    <w:rsid w:val="00CA6FE3"/>
    <w:rsid w:val="00CB047B"/>
    <w:rsid w:val="00CB438E"/>
    <w:rsid w:val="00CB7B0A"/>
    <w:rsid w:val="00CC0040"/>
    <w:rsid w:val="00CC2471"/>
    <w:rsid w:val="00CC5393"/>
    <w:rsid w:val="00CD0829"/>
    <w:rsid w:val="00CD331A"/>
    <w:rsid w:val="00CD4C5E"/>
    <w:rsid w:val="00CE77B5"/>
    <w:rsid w:val="00CF2AD9"/>
    <w:rsid w:val="00CF2FDD"/>
    <w:rsid w:val="00CF6929"/>
    <w:rsid w:val="00D044D2"/>
    <w:rsid w:val="00D05DEE"/>
    <w:rsid w:val="00D10C7A"/>
    <w:rsid w:val="00D1744D"/>
    <w:rsid w:val="00D218DD"/>
    <w:rsid w:val="00D25A0E"/>
    <w:rsid w:val="00D319C4"/>
    <w:rsid w:val="00D36611"/>
    <w:rsid w:val="00D377AB"/>
    <w:rsid w:val="00D45B2B"/>
    <w:rsid w:val="00D4609F"/>
    <w:rsid w:val="00D47C05"/>
    <w:rsid w:val="00D5194D"/>
    <w:rsid w:val="00D527C6"/>
    <w:rsid w:val="00D5608D"/>
    <w:rsid w:val="00D568C3"/>
    <w:rsid w:val="00D60C8F"/>
    <w:rsid w:val="00D644D1"/>
    <w:rsid w:val="00D6667D"/>
    <w:rsid w:val="00D66AF8"/>
    <w:rsid w:val="00D70CBD"/>
    <w:rsid w:val="00D70FD0"/>
    <w:rsid w:val="00D85753"/>
    <w:rsid w:val="00D85FA9"/>
    <w:rsid w:val="00D95EE3"/>
    <w:rsid w:val="00DA2AEC"/>
    <w:rsid w:val="00DA69BB"/>
    <w:rsid w:val="00DB02ED"/>
    <w:rsid w:val="00DB2F2D"/>
    <w:rsid w:val="00DB6019"/>
    <w:rsid w:val="00DB7B1B"/>
    <w:rsid w:val="00DC46DE"/>
    <w:rsid w:val="00DC5948"/>
    <w:rsid w:val="00DC6641"/>
    <w:rsid w:val="00DC6EB4"/>
    <w:rsid w:val="00DC7E2D"/>
    <w:rsid w:val="00DD70CA"/>
    <w:rsid w:val="00DF60A1"/>
    <w:rsid w:val="00E056D4"/>
    <w:rsid w:val="00E12999"/>
    <w:rsid w:val="00E14567"/>
    <w:rsid w:val="00E21C37"/>
    <w:rsid w:val="00E22106"/>
    <w:rsid w:val="00E24248"/>
    <w:rsid w:val="00E34D80"/>
    <w:rsid w:val="00E40E96"/>
    <w:rsid w:val="00E460CC"/>
    <w:rsid w:val="00E526C7"/>
    <w:rsid w:val="00E72A82"/>
    <w:rsid w:val="00E76D65"/>
    <w:rsid w:val="00E82402"/>
    <w:rsid w:val="00E83073"/>
    <w:rsid w:val="00E83D0D"/>
    <w:rsid w:val="00E90B62"/>
    <w:rsid w:val="00E93051"/>
    <w:rsid w:val="00E97D83"/>
    <w:rsid w:val="00EA43A9"/>
    <w:rsid w:val="00EB1CE2"/>
    <w:rsid w:val="00EB329F"/>
    <w:rsid w:val="00EC4871"/>
    <w:rsid w:val="00EC50C3"/>
    <w:rsid w:val="00ED171E"/>
    <w:rsid w:val="00ED6581"/>
    <w:rsid w:val="00EE14BC"/>
    <w:rsid w:val="00EF163D"/>
    <w:rsid w:val="00EF182E"/>
    <w:rsid w:val="00F034F0"/>
    <w:rsid w:val="00F03BDD"/>
    <w:rsid w:val="00F106E5"/>
    <w:rsid w:val="00F14E83"/>
    <w:rsid w:val="00F227D0"/>
    <w:rsid w:val="00F257E5"/>
    <w:rsid w:val="00F26D4D"/>
    <w:rsid w:val="00F317FF"/>
    <w:rsid w:val="00F34278"/>
    <w:rsid w:val="00F43837"/>
    <w:rsid w:val="00F50C54"/>
    <w:rsid w:val="00F5402B"/>
    <w:rsid w:val="00F54522"/>
    <w:rsid w:val="00F550FF"/>
    <w:rsid w:val="00F6048A"/>
    <w:rsid w:val="00F70A85"/>
    <w:rsid w:val="00F90DCD"/>
    <w:rsid w:val="00F96DBE"/>
    <w:rsid w:val="00FA042F"/>
    <w:rsid w:val="00FA092D"/>
    <w:rsid w:val="00FA12A3"/>
    <w:rsid w:val="00FC417D"/>
    <w:rsid w:val="00FC685A"/>
    <w:rsid w:val="00FC79AC"/>
    <w:rsid w:val="00FD1183"/>
    <w:rsid w:val="00FD7C6D"/>
    <w:rsid w:val="00FE02DD"/>
    <w:rsid w:val="00FE5A2D"/>
    <w:rsid w:val="00FF43A0"/>
    <w:rsid w:val="00FF50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partonnavex.com"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CE071-C41C-48F1-9F0A-F73D1BB7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3439</Words>
  <Characters>22055</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25444</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Stephen Wheatley</cp:lastModifiedBy>
  <cp:revision>8</cp:revision>
  <cp:lastPrinted>2013-04-02T12:43:00Z</cp:lastPrinted>
  <dcterms:created xsi:type="dcterms:W3CDTF">2013-12-12T20:15:00Z</dcterms:created>
  <dcterms:modified xsi:type="dcterms:W3CDTF">2016-09-06T15:17:00Z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