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B906" w14:textId="4C12DB4F" w:rsidR="00573BE6" w:rsidRDefault="00000000">
      <w:pPr>
        <w:spacing w:after="0" w:line="259" w:lineRule="auto"/>
        <w:ind w:left="0" w:firstLine="0"/>
        <w:jc w:val="center"/>
      </w:pPr>
      <w:r>
        <w:rPr>
          <w:b/>
          <w:color w:val="1A1A2E"/>
          <w:sz w:val="30"/>
        </w:rPr>
        <w:t xml:space="preserve">E-Commerce Conversion Prediction </w:t>
      </w:r>
      <w:r w:rsidR="007D09B5">
        <w:rPr>
          <w:b/>
          <w:color w:val="1A1A2E"/>
          <w:sz w:val="30"/>
        </w:rPr>
        <w:t>-</w:t>
      </w:r>
      <w:r>
        <w:rPr>
          <w:b/>
          <w:color w:val="1A1A2E"/>
          <w:sz w:val="30"/>
        </w:rPr>
        <w:t xml:space="preserve"> Methodology Report</w:t>
      </w:r>
    </w:p>
    <w:p w14:paraId="185CFB8A" w14:textId="77777777" w:rsidR="00573BE6" w:rsidRDefault="00000000">
      <w:pPr>
        <w:spacing w:after="0" w:line="259" w:lineRule="auto"/>
        <w:ind w:left="0" w:firstLine="0"/>
        <w:jc w:val="center"/>
      </w:pPr>
      <w:r>
        <w:rPr>
          <w:color w:val="555555"/>
          <w:sz w:val="18"/>
        </w:rPr>
        <w:t>Summer Analytics 2026 | Week 2 Mini-Hackathon | IIT Guwahati CAC</w:t>
      </w:r>
    </w:p>
    <w:p w14:paraId="422AA73D" w14:textId="77777777" w:rsidR="00573BE6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F2A786" wp14:editId="661190FA">
                <wp:extent cx="6431281" cy="19050"/>
                <wp:effectExtent l="0" t="0" r="0" b="0"/>
                <wp:docPr id="2469" name="Group 2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1281" cy="19050"/>
                          <a:chOff x="0" y="0"/>
                          <a:chExt cx="6431281" cy="1905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431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1281">
                                <a:moveTo>
                                  <a:pt x="0" y="0"/>
                                </a:moveTo>
                                <a:lnTo>
                                  <a:pt x="643128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1A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9" style="width:506.4pt;height:1.5pt;mso-position-horizontal-relative:char;mso-position-vertical-relative:line" coordsize="64312,190">
                <v:shape id="Shape 8" style="position:absolute;width:64312;height:0;left:0;top:0;" coordsize="6431281,0" path="m0,0l6431281,0">
                  <v:stroke weight="1.5pt" endcap="round" joinstyle="miter" miterlimit="10" on="true" color="#1a1a2e"/>
                  <v:fill on="false" color="#000000" opacity="0"/>
                </v:shape>
              </v:group>
            </w:pict>
          </mc:Fallback>
        </mc:AlternateContent>
      </w:r>
    </w:p>
    <w:p w14:paraId="795E9B49" w14:textId="77777777" w:rsidR="00573BE6" w:rsidRDefault="00000000">
      <w:pPr>
        <w:pStyle w:val="Heading1"/>
        <w:ind w:left="207" w:hanging="222"/>
      </w:pPr>
      <w:r>
        <w:t>Problem Statement</w:t>
      </w:r>
    </w:p>
    <w:p w14:paraId="3D782E57" w14:textId="77777777" w:rsidR="00573BE6" w:rsidRDefault="00000000">
      <w:pPr>
        <w:spacing w:after="211"/>
        <w:ind w:left="-5"/>
      </w:pPr>
      <w:r>
        <w:t>Binary classification task: predict whether an e-commerce user converts (1) or not (0), evaluated on F1 Score. Dataset contains 13,000 labelled records (train + public_test) and 3,000 unlabelled private_test records across 12 input features covering user demographics, browsing behaviour, traffic source, device, and marketing context.</w:t>
      </w:r>
    </w:p>
    <w:p w14:paraId="46968BF5" w14:textId="77777777" w:rsidR="00573BE6" w:rsidRDefault="00000000">
      <w:pPr>
        <w:pStyle w:val="Heading1"/>
        <w:ind w:left="207" w:hanging="222"/>
      </w:pPr>
      <w:r>
        <w:t>Exploratory Data Analysis</w:t>
      </w:r>
    </w:p>
    <w:p w14:paraId="1884135E" w14:textId="77777777" w:rsidR="00573BE6" w:rsidRDefault="00000000">
      <w:pPr>
        <w:spacing w:after="190" w:line="295" w:lineRule="auto"/>
        <w:ind w:left="0" w:firstLine="0"/>
        <w:jc w:val="left"/>
      </w:pPr>
      <w:r>
        <w:t xml:space="preserve">Class distribution is imbalanced at 30.5% positive (converted). Missing values were present in Age (11.4%), Income (7.6%), and Time_On_Site (14.2%). Correlation analysis revealed </w:t>
      </w:r>
      <w:r>
        <w:rPr>
          <w:b/>
        </w:rPr>
        <w:t>Pages_Viewed</w:t>
      </w:r>
      <w:r>
        <w:t xml:space="preserve"> (r=0.308) and </w:t>
      </w:r>
      <w:r>
        <w:rPr>
          <w:b/>
        </w:rPr>
        <w:t>Products_Viewed</w:t>
      </w:r>
      <w:r>
        <w:t xml:space="preserve"> (r=0.306) as the strongest predictors. Discount_Seen (r=0.112) and Previous_Purchases (r=0.105) provided secondary signal. Browser_Version, Campaign_Code, and Age showed near-zero raw correlation with the target.</w:t>
      </w:r>
    </w:p>
    <w:p w14:paraId="1DE7BD11" w14:textId="77777777" w:rsidR="00573BE6" w:rsidRDefault="00000000">
      <w:pPr>
        <w:pStyle w:val="Heading1"/>
        <w:ind w:left="207" w:hanging="222"/>
      </w:pPr>
      <w:r>
        <w:t>Data Preprocessing</w:t>
      </w:r>
    </w:p>
    <w:p w14:paraId="5E4CE654" w14:textId="77777777" w:rsidR="00573BE6" w:rsidRDefault="00000000">
      <w:pPr>
        <w:spacing w:after="105"/>
        <w:ind w:left="-5"/>
      </w:pPr>
      <w:r>
        <w:t>Key steps applied consistently across train and test:</w:t>
      </w:r>
    </w:p>
    <w:p w14:paraId="472D0459" w14:textId="6BC94688" w:rsidR="00573BE6" w:rsidRDefault="00000000">
      <w:pPr>
        <w:numPr>
          <w:ilvl w:val="0"/>
          <w:numId w:val="1"/>
        </w:numPr>
        <w:ind w:hanging="107"/>
      </w:pPr>
      <w:r>
        <w:t>Merged train.csv and public</w:t>
      </w:r>
      <w:r w:rsidR="00EB6BB1">
        <w:t>_</w:t>
      </w:r>
      <w:r>
        <w:t>test.csv (labeled) into a 13,000-row training set.</w:t>
      </w:r>
    </w:p>
    <w:p w14:paraId="250CB063" w14:textId="77777777" w:rsidR="00573BE6" w:rsidRDefault="00000000">
      <w:pPr>
        <w:numPr>
          <w:ilvl w:val="0"/>
          <w:numId w:val="1"/>
        </w:numPr>
        <w:ind w:hanging="107"/>
      </w:pPr>
      <w:r>
        <w:t>Label-encoded Device_Type and Traffic_Source after fitting on all data to prevent unseen labels.</w:t>
      </w:r>
    </w:p>
    <w:p w14:paraId="72D78893" w14:textId="77777777" w:rsidR="00573BE6" w:rsidRDefault="00000000">
      <w:pPr>
        <w:numPr>
          <w:ilvl w:val="0"/>
          <w:numId w:val="1"/>
        </w:numPr>
        <w:ind w:hanging="107"/>
      </w:pPr>
      <w:r>
        <w:t xml:space="preserve">Imputed missing values using column-wise </w:t>
      </w:r>
      <w:r>
        <w:rPr>
          <w:b/>
        </w:rPr>
        <w:t>median</w:t>
      </w:r>
      <w:r>
        <w:t xml:space="preserve"> (robust to outliers); fitted on train only.</w:t>
      </w:r>
    </w:p>
    <w:p w14:paraId="519F5B99" w14:textId="21A8FBB8" w:rsidR="00573BE6" w:rsidRDefault="00000000">
      <w:pPr>
        <w:numPr>
          <w:ilvl w:val="0"/>
          <w:numId w:val="1"/>
        </w:numPr>
        <w:spacing w:after="195"/>
        <w:ind w:hanging="107"/>
      </w:pPr>
      <w:r>
        <w:t xml:space="preserve">No standard scaling applied </w:t>
      </w:r>
      <w:r w:rsidR="00EB6BB1">
        <w:t>-</w:t>
      </w:r>
      <w:r>
        <w:t xml:space="preserve"> tree-based models are scale-invariant.</w:t>
      </w:r>
    </w:p>
    <w:p w14:paraId="6989E182" w14:textId="77777777" w:rsidR="00573BE6" w:rsidRDefault="00000000">
      <w:pPr>
        <w:pStyle w:val="Heading1"/>
        <w:ind w:left="207" w:hanging="222"/>
      </w:pPr>
      <w:r>
        <w:t>Feature Engineering</w:t>
      </w:r>
    </w:p>
    <w:p w14:paraId="699D2BC4" w14:textId="77777777" w:rsidR="00573BE6" w:rsidRDefault="00000000">
      <w:pPr>
        <w:spacing w:after="865"/>
        <w:ind w:left="-5"/>
      </w:pPr>
      <w:r>
        <w:t>19 new features were derived from the original 12, totalling 31 features:</w:t>
      </w:r>
    </w:p>
    <w:tbl>
      <w:tblPr>
        <w:tblStyle w:val="TableGrid"/>
        <w:tblpPr w:vertAnchor="text" w:tblpX="600" w:tblpY="-822"/>
        <w:tblOverlap w:val="never"/>
        <w:tblW w:w="8928" w:type="dxa"/>
        <w:tblInd w:w="0" w:type="dxa"/>
        <w:tblCellMar>
          <w:top w:w="0" w:type="dxa"/>
          <w:left w:w="0" w:type="dxa"/>
          <w:bottom w:w="0" w:type="dxa"/>
          <w:right w:w="11" w:type="dxa"/>
        </w:tblCellMar>
        <w:tblLook w:val="04A0" w:firstRow="1" w:lastRow="0" w:firstColumn="1" w:lastColumn="0" w:noHBand="0" w:noVBand="1"/>
      </w:tblPr>
      <w:tblGrid>
        <w:gridCol w:w="1872"/>
        <w:gridCol w:w="4032"/>
        <w:gridCol w:w="3024"/>
      </w:tblGrid>
      <w:tr w:rsidR="00573BE6" w14:paraId="4FF57524" w14:textId="77777777">
        <w:trPr>
          <w:trHeight w:val="36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A1A2E"/>
            <w:vAlign w:val="center"/>
          </w:tcPr>
          <w:p w14:paraId="4DA4DB7D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color w:val="FFFFFF"/>
                <w:sz w:val="15"/>
              </w:rPr>
              <w:t>Feature Group</w:t>
            </w:r>
          </w:p>
        </w:tc>
        <w:tc>
          <w:tcPr>
            <w:tcW w:w="403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A1A2E"/>
            <w:vAlign w:val="center"/>
          </w:tcPr>
          <w:p w14:paraId="488529B8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color w:val="FFFFFF"/>
                <w:sz w:val="15"/>
              </w:rPr>
              <w:t>Features Created</w:t>
            </w:r>
          </w:p>
        </w:tc>
        <w:tc>
          <w:tcPr>
            <w:tcW w:w="302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A1A2E"/>
            <w:vAlign w:val="center"/>
          </w:tcPr>
          <w:p w14:paraId="379E537B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color w:val="FFFFFF"/>
                <w:sz w:val="15"/>
              </w:rPr>
              <w:t>Rationale</w:t>
            </w:r>
          </w:p>
        </w:tc>
      </w:tr>
      <w:tr w:rsidR="00573BE6" w14:paraId="5C725DD8" w14:textId="77777777">
        <w:trPr>
          <w:trHeight w:val="36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169BCFA8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Engagement Interactions</w:t>
            </w:r>
          </w:p>
        </w:tc>
        <w:tc>
          <w:tcPr>
            <w:tcW w:w="403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727A10E2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Pages_x_Products, Pages_sq, Products_sq, Total_Engag</w:t>
            </w:r>
          </w:p>
        </w:tc>
        <w:tc>
          <w:tcPr>
            <w:tcW w:w="302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4FE6986D" w14:textId="77777777" w:rsidR="00573BE6" w:rsidRDefault="00000000">
            <w:pPr>
              <w:spacing w:after="0" w:line="259" w:lineRule="auto"/>
              <w:ind w:left="-52" w:firstLine="0"/>
              <w:jc w:val="left"/>
            </w:pPr>
            <w:r>
              <w:rPr>
                <w:sz w:val="15"/>
              </w:rPr>
              <w:t>ementCapture non-linear browsing depth</w:t>
            </w:r>
          </w:p>
        </w:tc>
      </w:tr>
      <w:tr w:rsidR="00573BE6" w14:paraId="76ED21E7" w14:textId="77777777">
        <w:trPr>
          <w:trHeight w:val="36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A8715EA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Discount Amplification</w:t>
            </w:r>
          </w:p>
        </w:tc>
        <w:tc>
          <w:tcPr>
            <w:tcW w:w="403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B6081CF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Discount_x_Pages, Discount_x_Products, Discount_x_Pre</w:t>
            </w:r>
          </w:p>
        </w:tc>
        <w:tc>
          <w:tcPr>
            <w:tcW w:w="302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060A6D5" w14:textId="77777777" w:rsidR="00573BE6" w:rsidRDefault="00000000">
            <w:pPr>
              <w:spacing w:after="0" w:line="259" w:lineRule="auto"/>
              <w:ind w:left="-19" w:firstLine="0"/>
            </w:pPr>
            <w:r>
              <w:rPr>
                <w:sz w:val="15"/>
              </w:rPr>
              <w:t>v Discount effectiveness by engagement leve</w:t>
            </w:r>
          </w:p>
        </w:tc>
      </w:tr>
      <w:tr w:rsidR="00573BE6" w14:paraId="4D4E5686" w14:textId="77777777">
        <w:trPr>
          <w:trHeight w:val="36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023A83AC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Time Depth</w:t>
            </w:r>
          </w:p>
        </w:tc>
        <w:tc>
          <w:tcPr>
            <w:tcW w:w="403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19DA0E91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Time_per_Page, Time_per_Product</w:t>
            </w:r>
          </w:p>
        </w:tc>
        <w:tc>
          <w:tcPr>
            <w:tcW w:w="302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5D6D832E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Session quality indicators</w:t>
            </w:r>
          </w:p>
        </w:tc>
      </w:tr>
      <w:tr w:rsidR="00573BE6" w14:paraId="47FED19C" w14:textId="77777777">
        <w:trPr>
          <w:trHeight w:val="36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15A3236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Loyalty Flags</w:t>
            </w:r>
          </w:p>
        </w:tc>
        <w:tc>
          <w:tcPr>
            <w:tcW w:w="403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C45322A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Loyal_User (&gt;2 purchases), New_User (0 purchases)</w:t>
            </w:r>
          </w:p>
        </w:tc>
        <w:tc>
          <w:tcPr>
            <w:tcW w:w="302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5A221FD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Purchase history segmentation</w:t>
            </w:r>
          </w:p>
        </w:tc>
      </w:tr>
      <w:tr w:rsidR="00573BE6" w14:paraId="323A358C" w14:textId="77777777">
        <w:trPr>
          <w:trHeight w:val="36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15BC1A54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Channel Flags</w:t>
            </w:r>
          </w:p>
        </w:tc>
        <w:tc>
          <w:tcPr>
            <w:tcW w:w="403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6C4AB505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Is_Paid, Is_Email, Is_Social, Is_Mobile, Is_Desktop</w:t>
            </w:r>
          </w:p>
        </w:tc>
        <w:tc>
          <w:tcPr>
            <w:tcW w:w="302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090F7CFA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One-hot of top channels</w:t>
            </w:r>
          </w:p>
        </w:tc>
      </w:tr>
      <w:tr w:rsidR="00573BE6" w14:paraId="5AEDAD00" w14:textId="77777777">
        <w:trPr>
          <w:trHeight w:val="36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E251492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Threshold Flags</w:t>
            </w:r>
          </w:p>
        </w:tc>
        <w:tc>
          <w:tcPr>
            <w:tcW w:w="403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F9327A3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High_Pages (&gt;=10), High_Products (&gt;=5)</w:t>
            </w:r>
          </w:p>
        </w:tc>
        <w:tc>
          <w:tcPr>
            <w:tcW w:w="302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B648921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Binary engagement thresholds</w:t>
            </w:r>
          </w:p>
        </w:tc>
      </w:tr>
      <w:tr w:rsidR="00573BE6" w14:paraId="159B3A77" w14:textId="77777777">
        <w:trPr>
          <w:trHeight w:val="360"/>
        </w:trPr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6B12B622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Geographic</w:t>
            </w:r>
          </w:p>
        </w:tc>
        <w:tc>
          <w:tcPr>
            <w:tcW w:w="403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47E22E16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Tier1_High_Income</w:t>
            </w:r>
          </w:p>
        </w:tc>
        <w:tc>
          <w:tcPr>
            <w:tcW w:w="302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4B0EE605" w14:textId="77777777" w:rsidR="00573BE6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5"/>
              </w:rPr>
              <w:t>High-value city-income interaction</w:t>
            </w:r>
          </w:p>
        </w:tc>
      </w:tr>
    </w:tbl>
    <w:p w14:paraId="7F1EA93D" w14:textId="77777777" w:rsidR="00573BE6" w:rsidRDefault="00000000">
      <w:pPr>
        <w:spacing w:after="2244" w:line="259" w:lineRule="auto"/>
        <w:ind w:left="0" w:right="578" w:firstLine="0"/>
        <w:jc w:val="right"/>
      </w:pPr>
      <w:r>
        <w:rPr>
          <w:sz w:val="15"/>
        </w:rPr>
        <w:t>l</w:t>
      </w:r>
    </w:p>
    <w:p w14:paraId="564F8A56" w14:textId="77777777" w:rsidR="00573BE6" w:rsidRDefault="00000000">
      <w:pPr>
        <w:pStyle w:val="Heading1"/>
        <w:ind w:left="207" w:hanging="222"/>
      </w:pPr>
      <w:r>
        <w:t>Model Development &amp; Ensemble</w:t>
      </w:r>
    </w:p>
    <w:p w14:paraId="447AE4C7" w14:textId="77777777" w:rsidR="00573BE6" w:rsidRDefault="00000000">
      <w:pPr>
        <w:spacing w:after="0"/>
        <w:ind w:left="-5"/>
      </w:pPr>
      <w:r>
        <w:t xml:space="preserve">Three tree-based classifiers were selected for their suitability with tabular data and class imbalance. Class imbalance was addressed via </w:t>
      </w:r>
      <w:r>
        <w:rPr>
          <w:b/>
        </w:rPr>
        <w:t>scale_pos_weight</w:t>
      </w:r>
      <w:r>
        <w:t xml:space="preserve"> (XGBoost), </w:t>
      </w:r>
      <w:r>
        <w:rPr>
          <w:b/>
        </w:rPr>
        <w:t>is_unbalance=True</w:t>
      </w:r>
      <w:r>
        <w:t xml:space="preserve"> (LightGBM), and </w:t>
      </w:r>
      <w:r>
        <w:rPr>
          <w:b/>
        </w:rPr>
        <w:t>class_weight='balanced'</w:t>
      </w:r>
      <w:r>
        <w:t xml:space="preserve"> (RandomForest). Final predictions used a weighted soft-vote ensemble:</w:t>
      </w:r>
    </w:p>
    <w:tbl>
      <w:tblPr>
        <w:tblStyle w:val="TableGrid"/>
        <w:tblW w:w="8928" w:type="dxa"/>
        <w:tblInd w:w="60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88"/>
        <w:gridCol w:w="3168"/>
        <w:gridCol w:w="1872"/>
      </w:tblGrid>
      <w:tr w:rsidR="00573BE6" w14:paraId="5545D1E3" w14:textId="77777777">
        <w:trPr>
          <w:trHeight w:val="360"/>
        </w:trPr>
        <w:tc>
          <w:tcPr>
            <w:tcW w:w="38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A1A2E"/>
            <w:vAlign w:val="center"/>
          </w:tcPr>
          <w:p w14:paraId="39A77079" w14:textId="77777777" w:rsidR="00573B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w="31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A1A2E"/>
            <w:vAlign w:val="center"/>
          </w:tcPr>
          <w:p w14:paraId="6792A50D" w14:textId="77777777" w:rsidR="00573B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5"/>
              </w:rPr>
              <w:t>5-Fold CV F1 (mean ± std)</w:t>
            </w:r>
          </w:p>
        </w:tc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A1A2E"/>
            <w:vAlign w:val="center"/>
          </w:tcPr>
          <w:p w14:paraId="7FD2CE6B" w14:textId="77777777" w:rsidR="00573B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5"/>
              </w:rPr>
              <w:t>Weight in Ensemble</w:t>
            </w:r>
          </w:p>
        </w:tc>
      </w:tr>
      <w:tr w:rsidR="00573BE6" w14:paraId="03BE1137" w14:textId="77777777">
        <w:trPr>
          <w:trHeight w:val="360"/>
        </w:trPr>
        <w:tc>
          <w:tcPr>
            <w:tcW w:w="38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7291C468" w14:textId="77777777" w:rsidR="00573B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XGBoost (n=600, depth=6, lr=0.04)</w:t>
            </w:r>
          </w:p>
        </w:tc>
        <w:tc>
          <w:tcPr>
            <w:tcW w:w="31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5D28CCE8" w14:textId="77777777" w:rsidR="00573B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0.5236 ± 0.0121</w:t>
            </w:r>
          </w:p>
        </w:tc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0149B554" w14:textId="77777777" w:rsidR="00573B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35%</w:t>
            </w:r>
          </w:p>
        </w:tc>
      </w:tr>
      <w:tr w:rsidR="00573BE6" w14:paraId="1220DB6E" w14:textId="77777777">
        <w:trPr>
          <w:trHeight w:val="360"/>
        </w:trPr>
        <w:tc>
          <w:tcPr>
            <w:tcW w:w="38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DA71937" w14:textId="77777777" w:rsidR="00573B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LightGBM (n=600, depth=6, lr=0.04)</w:t>
            </w:r>
          </w:p>
        </w:tc>
        <w:tc>
          <w:tcPr>
            <w:tcW w:w="31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E7F14B9" w14:textId="77777777" w:rsidR="00573B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0.5296 ± 0.0060</w:t>
            </w:r>
          </w:p>
        </w:tc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C4AF188" w14:textId="77777777" w:rsidR="00573B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35%</w:t>
            </w:r>
          </w:p>
        </w:tc>
      </w:tr>
      <w:tr w:rsidR="00573BE6" w14:paraId="512CD1CC" w14:textId="77777777">
        <w:trPr>
          <w:trHeight w:val="360"/>
        </w:trPr>
        <w:tc>
          <w:tcPr>
            <w:tcW w:w="38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118EC987" w14:textId="77777777" w:rsidR="00573B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RandomForest (n=400, depth=10)</w:t>
            </w:r>
          </w:p>
        </w:tc>
        <w:tc>
          <w:tcPr>
            <w:tcW w:w="31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2DD60D38" w14:textId="77777777" w:rsidR="00573B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0.5471 ± 0.0098</w:t>
            </w:r>
          </w:p>
        </w:tc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vAlign w:val="center"/>
          </w:tcPr>
          <w:p w14:paraId="07C5FAA2" w14:textId="77777777" w:rsidR="00573B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30%</w:t>
            </w:r>
          </w:p>
        </w:tc>
      </w:tr>
      <w:tr w:rsidR="00573BE6" w14:paraId="647A5536" w14:textId="77777777">
        <w:trPr>
          <w:trHeight w:val="360"/>
        </w:trPr>
        <w:tc>
          <w:tcPr>
            <w:tcW w:w="388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vAlign w:val="center"/>
          </w:tcPr>
          <w:p w14:paraId="3F795ABF" w14:textId="77777777" w:rsidR="00573B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Ensemble (OOF threshold-tuned)</w:t>
            </w:r>
          </w:p>
        </w:tc>
        <w:tc>
          <w:tcPr>
            <w:tcW w:w="31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vAlign w:val="center"/>
          </w:tcPr>
          <w:p w14:paraId="2D9B30D9" w14:textId="77777777" w:rsidR="00573B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0.5577</w:t>
            </w:r>
          </w:p>
        </w:tc>
        <w:tc>
          <w:tcPr>
            <w:tcW w:w="187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4EDDA"/>
            <w:vAlign w:val="center"/>
          </w:tcPr>
          <w:p w14:paraId="35ADB80B" w14:textId="1239490D" w:rsidR="00573BE6" w:rsidRDefault="00C92E4E">
            <w:pPr>
              <w:spacing w:after="0" w:line="259" w:lineRule="auto"/>
              <w:ind w:left="0" w:firstLine="0"/>
              <w:jc w:val="left"/>
            </w:pPr>
            <w:r>
              <w:t>----</w:t>
            </w:r>
          </w:p>
        </w:tc>
      </w:tr>
    </w:tbl>
    <w:p w14:paraId="4423E2F1" w14:textId="77777777" w:rsidR="00573BE6" w:rsidRDefault="00000000">
      <w:pPr>
        <w:pStyle w:val="Heading1"/>
        <w:ind w:left="207" w:hanging="222"/>
      </w:pPr>
      <w:r>
        <w:t>Threshold Optimisation</w:t>
      </w:r>
    </w:p>
    <w:p w14:paraId="2FC607BA" w14:textId="77777777" w:rsidR="00573BE6" w:rsidRDefault="00000000">
      <w:pPr>
        <w:spacing w:after="240"/>
        <w:ind w:left="-5"/>
      </w:pPr>
      <w:r>
        <w:t xml:space="preserve">Default classification threshold of 0.5 is suboptimal for imbalanced datasets. Out-of-fold (OOF) ensemble probabilities were used to sweep thresholds from 0.30 to 0.70 (step 0.01) and select the value maximising F1 on the training distribution. The optimal threshold was </w:t>
      </w:r>
      <w:r>
        <w:rPr>
          <w:b/>
        </w:rPr>
        <w:t>0.40</w:t>
      </w:r>
      <w:r>
        <w:t>, reflecting the class imbalance and improving recall on the minority (converted) class. Final private test prediction distribution: 1,596 converted (53.2%) and 1,404 not converted (46.8%).</w:t>
      </w:r>
    </w:p>
    <w:p w14:paraId="5B232BAF" w14:textId="77777777" w:rsidR="00573BE6" w:rsidRDefault="00000000">
      <w:pPr>
        <w:pStyle w:val="Heading1"/>
        <w:ind w:left="207" w:hanging="222"/>
      </w:pPr>
      <w:r>
        <w:lastRenderedPageBreak/>
        <w:t>Summary</w:t>
      </w:r>
    </w:p>
    <w:p w14:paraId="6F4FAC7E" w14:textId="25324A2B" w:rsidR="00573BE6" w:rsidRDefault="00000000">
      <w:pPr>
        <w:ind w:left="-5"/>
      </w:pPr>
      <w:r>
        <w:t xml:space="preserve">The pipeline combines labeled public_test data into training, engineers 19 interaction features focused on browsing depth and discount engagement, and applies a three-model soft-vote ensemble with threshold tuning </w:t>
      </w:r>
      <w:r w:rsidR="00D5557B">
        <w:t>-</w:t>
      </w:r>
      <w:r>
        <w:t xml:space="preserve"> achieving an OOF F1 of 0.5577. All steps are reproducible in notebook.ipynb.</w:t>
      </w:r>
    </w:p>
    <w:p w14:paraId="5E994865" w14:textId="77777777" w:rsidR="00573BE6" w:rsidRDefault="00000000">
      <w:pPr>
        <w:spacing w:after="12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F3A3BB" wp14:editId="7FDD1FC3">
                <wp:extent cx="6431281" cy="6350"/>
                <wp:effectExtent l="0" t="0" r="0" b="0"/>
                <wp:docPr id="1825" name="Group 1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1281" cy="6350"/>
                          <a:chOff x="0" y="0"/>
                          <a:chExt cx="6431281" cy="635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64312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1281">
                                <a:moveTo>
                                  <a:pt x="0" y="0"/>
                                </a:moveTo>
                                <a:lnTo>
                                  <a:pt x="643128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AAAA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5" style="width:506.4pt;height:0.5pt;mso-position-horizontal-relative:char;mso-position-vertical-relative:line" coordsize="64312,63">
                <v:shape id="Shape 154" style="position:absolute;width:64312;height:0;left:0;top:0;" coordsize="6431281,0" path="m0,0l6431281,0">
                  <v:stroke weight="0.5pt" endcap="round" joinstyle="miter" miterlimit="10" on="true" color="#aaaaaa"/>
                  <v:fill on="false" color="#000000" opacity="0"/>
                </v:shape>
              </v:group>
            </w:pict>
          </mc:Fallback>
        </mc:AlternateContent>
      </w:r>
    </w:p>
    <w:p w14:paraId="397B36D0" w14:textId="77777777" w:rsidR="00573BE6" w:rsidRDefault="00000000">
      <w:pPr>
        <w:spacing w:after="0" w:line="259" w:lineRule="auto"/>
        <w:ind w:left="0" w:firstLine="0"/>
        <w:jc w:val="center"/>
      </w:pPr>
      <w:r>
        <w:rPr>
          <w:color w:val="808080"/>
          <w:sz w:val="15"/>
        </w:rPr>
        <w:t>Summer Analytics 2026 | Consulting &amp; Analytics Club, IIT Guwahati</w:t>
      </w:r>
    </w:p>
    <w:sectPr w:rsidR="00573BE6">
      <w:pgSz w:w="12240" w:h="15840"/>
      <w:pgMar w:top="888" w:right="1056" w:bottom="925" w:left="10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E4FC3"/>
    <w:multiLevelType w:val="hybridMultilevel"/>
    <w:tmpl w:val="EFC88F4C"/>
    <w:lvl w:ilvl="0" w:tplc="D09EBE8E">
      <w:start w:val="1"/>
      <w:numFmt w:val="bullet"/>
      <w:lvlText w:val="•"/>
      <w:lvlJc w:val="left"/>
      <w:pPr>
        <w:ind w:left="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2D4E2D8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2D2C635A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9F2DB8E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5B0C4E00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3D290EE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71402D64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EE2C2C4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5B81D50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0966D1"/>
    <w:multiLevelType w:val="hybridMultilevel"/>
    <w:tmpl w:val="6B087ACC"/>
    <w:lvl w:ilvl="0" w:tplc="5042432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A2DF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8C8DA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FAA5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EE93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EA17F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9889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2EDE7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A0674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7844128">
    <w:abstractNumId w:val="0"/>
  </w:num>
  <w:num w:numId="2" w16cid:durableId="1740710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BE6"/>
    <w:rsid w:val="00573BE6"/>
    <w:rsid w:val="007D09B5"/>
    <w:rsid w:val="00C92E4E"/>
    <w:rsid w:val="00CC7D16"/>
    <w:rsid w:val="00D5557B"/>
    <w:rsid w:val="00EB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5869"/>
  <w15:docId w15:val="{DEDA09E9-C98B-4149-962D-6603A6B25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" w:line="265" w:lineRule="auto"/>
      <w:ind w:left="10" w:hanging="10"/>
      <w:jc w:val="both"/>
    </w:pPr>
    <w:rPr>
      <w:rFonts w:ascii="Arial" w:eastAsia="Arial" w:hAnsi="Arial" w:cs="Arial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42" w:line="259" w:lineRule="auto"/>
      <w:ind w:left="10" w:hanging="10"/>
      <w:outlineLvl w:val="0"/>
    </w:pPr>
    <w:rPr>
      <w:rFonts w:ascii="Arial" w:eastAsia="Arial" w:hAnsi="Arial" w:cs="Arial"/>
      <w:b/>
      <w:color w:val="1A1A2E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1A2E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Shubham Soni</cp:lastModifiedBy>
  <cp:revision>5</cp:revision>
  <dcterms:created xsi:type="dcterms:W3CDTF">2026-06-14T08:45:00Z</dcterms:created>
  <dcterms:modified xsi:type="dcterms:W3CDTF">2026-06-14T08:47:00Z</dcterms:modified>
</cp:coreProperties>
</file>