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media/image2.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w:spacing w:after="0"/>
        <w:jc w:val="center"/>
        <w:rPr>
          <w:rFonts w:ascii="Calibri" w:cs="Calibri" w:hAnsi="Calibri" w:eastAsia="Calibri"/>
          <w:b w:val="1"/>
          <w:bCs w:val="1"/>
          <w:sz w:val="28"/>
          <w:szCs w:val="28"/>
          <w:u w:val="single"/>
        </w:rPr>
      </w:pPr>
      <w:r>
        <w:rPr>
          <w:rFonts w:ascii="Calibri" w:cs="Calibri" w:hAnsi="Calibri" w:eastAsia="Calibri"/>
          <w:b w:val="1"/>
          <w:bCs w:val="1"/>
          <w:sz w:val="28"/>
          <w:szCs w:val="28"/>
          <w:u w:val="single"/>
          <w:rtl w:val="0"/>
          <w:lang w:val="en-US"/>
        </w:rPr>
        <w:t>Topics: Descriptive Statistics and Probability</w:t>
      </w:r>
    </w:p>
    <w:p>
      <w:pPr>
        <w:pStyle w:val="Body"/>
        <w:spacing w:after="0"/>
        <w:rPr>
          <w:b w:val="1"/>
          <w:bCs w:val="1"/>
        </w:rPr>
      </w:pPr>
    </w:p>
    <w:p>
      <w:pPr>
        <w:pStyle w:val="Body"/>
        <w:spacing w:after="0"/>
      </w:pPr>
    </w:p>
    <w:p>
      <w:pPr>
        <w:pStyle w:val="List Paragraph"/>
        <w:numPr>
          <w:ilvl w:val="0"/>
          <w:numId w:val="2"/>
        </w:numPr>
        <w:spacing w:after="0"/>
        <w:rPr>
          <w:color w:val="000000"/>
          <w:sz w:val="22"/>
          <w:lang w:val="en-US"/>
        </w:rPr>
      </w:pPr>
      <w:r>
        <w:rPr>
          <w:rtl w:val="0"/>
          <w:lang w:val="en-US"/>
        </w:rPr>
        <w:t xml:space="preserve">Look at the data given below. Plot the data, find the outliers and find out  </w:t>
      </w:r>
      <m:oMath>
        <m:r>
          <w:rPr xmlns:w="http://schemas.openxmlformats.org/wordprocessingml/2006/main">
            <w:rFonts w:ascii="Cambria Math" w:hAnsi="Cambria Math"/>
            <w:i/>
            <w:color w:val="000000"/>
            <w:sz w:val="22"/>
            <w:szCs w:val="22"/>
          </w:rPr>
          <m:t>μ</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
        </m:r>
        <m:r>
          <w:rPr xmlns:w="http://schemas.openxmlformats.org/wordprocessingml/2006/main">
            <w:rFonts w:ascii="Cambria Math" w:hAnsi="Cambria Math"/>
            <w:i/>
            <w:color w:val="000000"/>
            <w:sz w:val="22"/>
            <w:szCs w:val="22"/>
          </w:rPr>
          <m:t>σ</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
        </m:r>
        <m:sSup>
          <m:e>
            <m:r>
              <w:rPr xmlns:w="http://schemas.openxmlformats.org/wordprocessingml/2006/main">
                <w:rFonts w:ascii="Cambria Math" w:hAnsi="Cambria Math"/>
                <w:i/>
                <w:color w:val="000000"/>
                <w:sz w:val="22"/>
                <w:szCs w:val="22"/>
              </w:rPr>
              <m:t>σ</m:t>
            </m:r>
          </m:e>
          <m:sup>
            <m:r>
              <w:rPr xmlns:w="http://schemas.openxmlformats.org/wordprocessingml/2006/main">
                <w:rFonts w:ascii="Cambria Math" w:hAnsi="Cambria Math"/>
                <w:i/>
                <w:color w:val="000000"/>
                <w:sz w:val="22"/>
                <w:szCs w:val="22"/>
              </w:rPr>
              <m:t>2</m:t>
            </m:r>
          </m:sup>
        </m:sSup>
      </m:oMath>
    </w:p>
    <w:p>
      <w:pPr>
        <w:pStyle w:val="List Paragraph"/>
        <w:spacing w:after="0"/>
      </w:pPr>
    </w:p>
    <w:tbl>
      <w:tblPr>
        <w:tblW w:w="3826" w:type="dxa"/>
        <w:jc w:val="center"/>
        <w:tblInd w:w="109"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476"/>
        <w:gridCol w:w="1350"/>
      </w:tblGrid>
      <w:tr>
        <w:tblPrEx>
          <w:shd w:val="clear" w:color="auto" w:fill="ced7e7"/>
        </w:tblPrEx>
        <w:trPr>
          <w:trHeight w:val="250" w:hRule="atLeast"/>
        </w:trPr>
        <w:tc>
          <w:tcPr>
            <w:tcW w:type="dxa" w:w="24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b w:val="1"/>
                <w:bCs w:val="1"/>
                <w:rtl w:val="0"/>
                <w:lang w:val="en-US"/>
              </w:rPr>
              <w:t>Name of company</w:t>
            </w: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right"/>
            </w:pPr>
            <w:r>
              <w:rPr>
                <w:b w:val="1"/>
                <w:bCs w:val="1"/>
                <w:rtl w:val="0"/>
                <w:lang w:val="en-US"/>
              </w:rPr>
              <w:t>Measure X</w:t>
            </w:r>
          </w:p>
        </w:tc>
      </w:tr>
      <w:tr>
        <w:tblPrEx>
          <w:shd w:val="clear" w:color="auto" w:fill="ced7e7"/>
        </w:tblPrEx>
        <w:trPr>
          <w:trHeight w:val="250" w:hRule="atLeast"/>
        </w:trPr>
        <w:tc>
          <w:tcPr>
            <w:tcW w:type="dxa" w:w="24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Allied Signal</w:t>
            </w: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right"/>
            </w:pPr>
            <w:r>
              <w:rPr>
                <w:rtl w:val="0"/>
                <w:lang w:val="en-US"/>
              </w:rPr>
              <w:t>24.23%</w:t>
            </w:r>
          </w:p>
        </w:tc>
      </w:tr>
      <w:tr>
        <w:tblPrEx>
          <w:shd w:val="clear" w:color="auto" w:fill="ced7e7"/>
        </w:tblPrEx>
        <w:trPr>
          <w:trHeight w:val="250" w:hRule="atLeast"/>
        </w:trPr>
        <w:tc>
          <w:tcPr>
            <w:tcW w:type="dxa" w:w="24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Bankers Trust</w:t>
            </w: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right"/>
            </w:pPr>
            <w:r>
              <w:rPr>
                <w:rtl w:val="0"/>
                <w:lang w:val="en-US"/>
              </w:rPr>
              <w:t>25.53%</w:t>
            </w:r>
          </w:p>
        </w:tc>
      </w:tr>
      <w:tr>
        <w:tblPrEx>
          <w:shd w:val="clear" w:color="auto" w:fill="ced7e7"/>
        </w:tblPrEx>
        <w:trPr>
          <w:trHeight w:val="250" w:hRule="atLeast"/>
        </w:trPr>
        <w:tc>
          <w:tcPr>
            <w:tcW w:type="dxa" w:w="24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General Mills</w:t>
            </w: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right"/>
            </w:pPr>
            <w:r>
              <w:rPr>
                <w:rtl w:val="0"/>
                <w:lang w:val="en-US"/>
              </w:rPr>
              <w:t>25.41%</w:t>
            </w:r>
          </w:p>
        </w:tc>
      </w:tr>
      <w:tr>
        <w:tblPrEx>
          <w:shd w:val="clear" w:color="auto" w:fill="ced7e7"/>
        </w:tblPrEx>
        <w:trPr>
          <w:trHeight w:val="250" w:hRule="atLeast"/>
        </w:trPr>
        <w:tc>
          <w:tcPr>
            <w:tcW w:type="dxa" w:w="24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ITT Industries</w:t>
            </w: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right"/>
            </w:pPr>
            <w:r>
              <w:rPr>
                <w:rtl w:val="0"/>
                <w:lang w:val="en-US"/>
              </w:rPr>
              <w:t>24.14%</w:t>
            </w:r>
          </w:p>
        </w:tc>
      </w:tr>
      <w:tr>
        <w:tblPrEx>
          <w:shd w:val="clear" w:color="auto" w:fill="ced7e7"/>
        </w:tblPrEx>
        <w:trPr>
          <w:trHeight w:val="250" w:hRule="atLeast"/>
        </w:trPr>
        <w:tc>
          <w:tcPr>
            <w:tcW w:type="dxa" w:w="24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J.P.Morgan &amp; Co.</w:t>
            </w: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right"/>
            </w:pPr>
            <w:r>
              <w:rPr>
                <w:rtl w:val="0"/>
                <w:lang w:val="en-US"/>
              </w:rPr>
              <w:t>29.62%</w:t>
            </w:r>
          </w:p>
        </w:tc>
      </w:tr>
      <w:tr>
        <w:tblPrEx>
          <w:shd w:val="clear" w:color="auto" w:fill="ced7e7"/>
        </w:tblPrEx>
        <w:trPr>
          <w:trHeight w:val="250" w:hRule="atLeast"/>
        </w:trPr>
        <w:tc>
          <w:tcPr>
            <w:tcW w:type="dxa" w:w="24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Lehman Brothers</w:t>
            </w: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right"/>
            </w:pPr>
            <w:r>
              <w:rPr>
                <w:rtl w:val="0"/>
                <w:lang w:val="en-US"/>
              </w:rPr>
              <w:t>28.25%</w:t>
            </w:r>
          </w:p>
        </w:tc>
      </w:tr>
      <w:tr>
        <w:tblPrEx>
          <w:shd w:val="clear" w:color="auto" w:fill="ced7e7"/>
        </w:tblPrEx>
        <w:trPr>
          <w:trHeight w:val="250" w:hRule="atLeast"/>
        </w:trPr>
        <w:tc>
          <w:tcPr>
            <w:tcW w:type="dxa" w:w="24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Marriott</w:t>
            </w: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right"/>
            </w:pPr>
            <w:r>
              <w:rPr>
                <w:rtl w:val="0"/>
                <w:lang w:val="en-US"/>
              </w:rPr>
              <w:t>25.81%</w:t>
            </w:r>
          </w:p>
        </w:tc>
      </w:tr>
      <w:tr>
        <w:tblPrEx>
          <w:shd w:val="clear" w:color="auto" w:fill="ced7e7"/>
        </w:tblPrEx>
        <w:trPr>
          <w:trHeight w:val="250" w:hRule="atLeast"/>
        </w:trPr>
        <w:tc>
          <w:tcPr>
            <w:tcW w:type="dxa" w:w="24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MCI</w:t>
            </w: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right"/>
            </w:pPr>
            <w:r>
              <w:rPr>
                <w:rtl w:val="0"/>
                <w:lang w:val="en-US"/>
              </w:rPr>
              <w:t>24.39%</w:t>
            </w:r>
          </w:p>
        </w:tc>
      </w:tr>
      <w:tr>
        <w:tblPrEx>
          <w:shd w:val="clear" w:color="auto" w:fill="ced7e7"/>
        </w:tblPrEx>
        <w:trPr>
          <w:trHeight w:val="250" w:hRule="atLeast"/>
        </w:trPr>
        <w:tc>
          <w:tcPr>
            <w:tcW w:type="dxa" w:w="24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Merrill Lynch</w:t>
            </w: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right"/>
            </w:pPr>
            <w:r>
              <w:rPr>
                <w:rtl w:val="0"/>
                <w:lang w:val="en-US"/>
              </w:rPr>
              <w:t>40.26%</w:t>
            </w:r>
          </w:p>
        </w:tc>
      </w:tr>
      <w:tr>
        <w:tblPrEx>
          <w:shd w:val="clear" w:color="auto" w:fill="ced7e7"/>
        </w:tblPrEx>
        <w:trPr>
          <w:trHeight w:val="250" w:hRule="atLeast"/>
        </w:trPr>
        <w:tc>
          <w:tcPr>
            <w:tcW w:type="dxa" w:w="24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Microsoft</w:t>
            </w: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right"/>
            </w:pPr>
            <w:r>
              <w:rPr>
                <w:rtl w:val="0"/>
                <w:lang w:val="en-US"/>
              </w:rPr>
              <w:t>32.95%</w:t>
            </w:r>
          </w:p>
        </w:tc>
      </w:tr>
      <w:tr>
        <w:tblPrEx>
          <w:shd w:val="clear" w:color="auto" w:fill="ced7e7"/>
        </w:tblPrEx>
        <w:trPr>
          <w:trHeight w:val="250" w:hRule="atLeast"/>
        </w:trPr>
        <w:tc>
          <w:tcPr>
            <w:tcW w:type="dxa" w:w="24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Morgan Stanley</w:t>
            </w: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right"/>
            </w:pPr>
            <w:r>
              <w:rPr>
                <w:rtl w:val="0"/>
                <w:lang w:val="en-US"/>
              </w:rPr>
              <w:t>91.36%</w:t>
            </w:r>
          </w:p>
        </w:tc>
      </w:tr>
      <w:tr>
        <w:tblPrEx>
          <w:shd w:val="clear" w:color="auto" w:fill="ced7e7"/>
        </w:tblPrEx>
        <w:trPr>
          <w:trHeight w:val="250" w:hRule="atLeast"/>
        </w:trPr>
        <w:tc>
          <w:tcPr>
            <w:tcW w:type="dxa" w:w="24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Sun Microsystems</w:t>
            </w: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right"/>
            </w:pPr>
            <w:r>
              <w:rPr>
                <w:rtl w:val="0"/>
                <w:lang w:val="en-US"/>
              </w:rPr>
              <w:t>25.99%</w:t>
            </w:r>
          </w:p>
        </w:tc>
      </w:tr>
      <w:tr>
        <w:tblPrEx>
          <w:shd w:val="clear" w:color="auto" w:fill="ced7e7"/>
        </w:tblPrEx>
        <w:trPr>
          <w:trHeight w:val="250" w:hRule="atLeast"/>
        </w:trPr>
        <w:tc>
          <w:tcPr>
            <w:tcW w:type="dxa" w:w="24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Travelers</w:t>
            </w: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right"/>
            </w:pPr>
            <w:r>
              <w:rPr>
                <w:rtl w:val="0"/>
                <w:lang w:val="en-US"/>
              </w:rPr>
              <w:t>39.42%</w:t>
            </w:r>
          </w:p>
        </w:tc>
      </w:tr>
      <w:tr>
        <w:tblPrEx>
          <w:shd w:val="clear" w:color="auto" w:fill="ced7e7"/>
        </w:tblPrEx>
        <w:trPr>
          <w:trHeight w:val="250" w:hRule="atLeast"/>
        </w:trPr>
        <w:tc>
          <w:tcPr>
            <w:tcW w:type="dxa" w:w="24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US Airways</w:t>
            </w: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right"/>
            </w:pPr>
            <w:r>
              <w:rPr>
                <w:rtl w:val="0"/>
                <w:lang w:val="en-US"/>
              </w:rPr>
              <w:t>26.71%</w:t>
            </w:r>
          </w:p>
        </w:tc>
      </w:tr>
      <w:tr>
        <w:tblPrEx>
          <w:shd w:val="clear" w:color="auto" w:fill="ced7e7"/>
        </w:tblPrEx>
        <w:trPr>
          <w:trHeight w:val="250" w:hRule="atLeast"/>
        </w:trPr>
        <w:tc>
          <w:tcPr>
            <w:tcW w:type="dxa" w:w="24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Warner-Lambert</w:t>
            </w: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right"/>
            </w:pPr>
            <w:r>
              <w:rPr>
                <w:rtl w:val="0"/>
                <w:lang w:val="en-US"/>
              </w:rPr>
              <w:t>35.00%</w:t>
            </w:r>
          </w:p>
        </w:tc>
      </w:tr>
    </w:tbl>
    <w:p>
      <w:pPr>
        <w:pStyle w:val="List Paragraph"/>
        <w:widowControl w:val="0"/>
        <w:spacing w:after="0" w:line="240" w:lineRule="auto"/>
        <w:ind w:left="1" w:hanging="1"/>
        <w:jc w:val="center"/>
      </w:pPr>
    </w:p>
    <w:p>
      <w:pPr>
        <w:pStyle w:val="Body"/>
        <w:spacing w:after="0"/>
      </w:pPr>
    </w:p>
    <w:p>
      <w:pPr>
        <w:pStyle w:val="Body"/>
        <w:spacing w:after="0"/>
      </w:pPr>
    </w:p>
    <w:p>
      <w:pPr>
        <w:pStyle w:val="List Paragraph"/>
        <w:spacing w:after="0"/>
      </w:pPr>
      <w:r>
        <w:rPr>
          <w:rtl w:val="0"/>
          <w:lang w:val="en-US"/>
        </w:rPr>
        <w:t xml:space="preserve">Ans- </w:t>
      </w:r>
    </w:p>
    <w:p>
      <w:pPr>
        <w:pStyle w:val="List Paragraph"/>
        <w:spacing w:after="0"/>
      </w:pPr>
    </w:p>
    <w:p>
      <w:pPr>
        <w:pStyle w:val="List Paragraph"/>
        <w:spacing w:after="0"/>
        <w:rPr>
          <w:color w:val="c0504d"/>
        </w:rPr>
      </w:pPr>
    </w:p>
    <w:p>
      <w:pPr>
        <w:pStyle w:val="List Paragraph"/>
        <w:spacing w:after="0"/>
        <w:rPr>
          <w:color w:val="c0504d"/>
        </w:rPr>
      </w:pPr>
    </w:p>
    <w:p>
      <w:pPr>
        <w:pStyle w:val="List Paragraph"/>
        <w:spacing w:after="0"/>
        <w:rPr>
          <w:color w:val="c0504d"/>
        </w:rPr>
      </w:pPr>
      <w:r>
        <w:rPr>
          <w:color w:val="c0504d"/>
          <w:rtl w:val="0"/>
          <w:lang w:val="en-US"/>
        </w:rPr>
        <w:t xml:space="preserve">Mean = 0.3762933 </w:t>
      </w:r>
    </w:p>
    <w:p>
      <w:pPr>
        <w:pStyle w:val="List Paragraph"/>
        <w:spacing w:after="0"/>
        <w:rPr>
          <w:color w:val="c0504d"/>
        </w:rPr>
      </w:pPr>
      <w:r>
        <w:rPr>
          <w:color w:val="c0504d"/>
          <w:rtl w:val="0"/>
          <w:lang w:val="en-US"/>
        </w:rPr>
        <w:t xml:space="preserve">Standard Deviation= 0.2245065 </w:t>
      </w:r>
    </w:p>
    <w:p>
      <w:pPr>
        <w:pStyle w:val="List Paragraph"/>
        <w:spacing w:after="0"/>
        <w:rPr>
          <w:color w:val="c0504d"/>
        </w:rPr>
      </w:pPr>
      <w:r>
        <w:rPr>
          <w:color w:val="c0504d"/>
          <w:rtl w:val="0"/>
          <w:lang w:val="en-US"/>
        </w:rPr>
        <w:t xml:space="preserve">Variance= 0.05040318 </w:t>
      </w:r>
    </w:p>
    <w:p>
      <w:pPr>
        <w:pStyle w:val="List Paragraph"/>
        <w:spacing w:after="0"/>
        <w:rPr>
          <w:color w:val="c0504d"/>
        </w:rPr>
      </w:pPr>
      <w:r>
        <w:rPr>
          <w:color w:val="c0504d"/>
          <w:rtl w:val="0"/>
          <w:lang w:val="en-US"/>
        </w:rPr>
        <w:t>Outlier = 0.9136</w:t>
      </w:r>
    </w:p>
    <w:p>
      <w:pPr>
        <w:pStyle w:val="List Paragraph"/>
        <w:spacing w:after="0"/>
      </w:pPr>
    </w:p>
    <w:p>
      <w:pPr>
        <w:pStyle w:val="List Paragraph"/>
        <w:spacing w:after="0"/>
      </w:pPr>
    </w:p>
    <w:p>
      <w:pPr>
        <w:pStyle w:val="List Paragraph"/>
        <w:spacing w:after="0"/>
      </w:pPr>
    </w:p>
    <w:p>
      <w:pPr>
        <w:pStyle w:val="List Paragraph"/>
        <w:spacing w:after="0"/>
      </w:pPr>
    </w:p>
    <w:p>
      <w:pPr>
        <w:pStyle w:val="List Paragraph"/>
        <w:numPr>
          <w:ilvl w:val="0"/>
          <w:numId w:val="3"/>
        </w:numPr>
        <w:spacing w:after="0"/>
      </w:pPr>
    </w:p>
    <w:p>
      <w:pPr>
        <w:pStyle w:val="List Paragraph"/>
        <w:spacing w:after="0"/>
        <w:ind w:left="0" w:firstLine="0"/>
      </w:pPr>
      <w:r>
        <w:drawing>
          <wp:inline distT="0" distB="0" distL="0" distR="0">
            <wp:extent cx="5943600" cy="2600325"/>
            <wp:effectExtent l="0" t="0" r="0" b="0"/>
            <wp:docPr id="1073741825" name="officeArt object" descr="C:\Users\30644.ISBDOMAIN1\Dropbox\Ours\BA course\Our Era as TA's\Statistical Analysis 1-Estimation and Testing\Practice Problems\Boxplot Q1.jpeg"/>
            <wp:cNvGraphicFramePr/>
            <a:graphic xmlns:a="http://schemas.openxmlformats.org/drawingml/2006/main">
              <a:graphicData uri="http://schemas.openxmlformats.org/drawingml/2006/picture">
                <pic:pic xmlns:pic="http://schemas.openxmlformats.org/drawingml/2006/picture">
                  <pic:nvPicPr>
                    <pic:cNvPr id="1073741825" name="C:\Users\30644.ISBDOMAIN1\Dropbox\Ours\BA course\Our Era as TA's\Statistical Analysis 1-Estimation and Testing\Practice Problems\Boxplot Q1.jpeg" descr="C:\Users\30644.ISBDOMAIN1\Dropbox\Ours\BA course\Our Era as TA's\Statistical Analysis 1-Estimation and Testing\Practice Problems\Boxplot Q1.jpeg"/>
                    <pic:cNvPicPr>
                      <a:picLocks noChangeAspect="1"/>
                    </pic:cNvPicPr>
                  </pic:nvPicPr>
                  <pic:blipFill>
                    <a:blip r:embed="rId4">
                      <a:extLst/>
                    </a:blip>
                    <a:stretch>
                      <a:fillRect/>
                    </a:stretch>
                  </pic:blipFill>
                  <pic:spPr>
                    <a:xfrm>
                      <a:off x="0" y="0"/>
                      <a:ext cx="5943600" cy="2600325"/>
                    </a:xfrm>
                    <a:prstGeom prst="rect">
                      <a:avLst/>
                    </a:prstGeom>
                    <a:ln w="12700" cap="flat">
                      <a:noFill/>
                      <a:miter lim="400000"/>
                    </a:ln>
                    <a:effectLst/>
                  </pic:spPr>
                </pic:pic>
              </a:graphicData>
            </a:graphic>
          </wp:inline>
        </w:drawing>
      </w:r>
    </w:p>
    <w:p>
      <w:pPr>
        <w:pStyle w:val="List Paragraph"/>
        <w:spacing w:after="0"/>
      </w:pPr>
      <w:r>
        <w:rPr>
          <w:rtl w:val="0"/>
          <w:lang w:val="en-US"/>
        </w:rPr>
        <w:t>Answer the following three questions based on the box-plot above.</w:t>
      </w:r>
    </w:p>
    <w:p>
      <w:pPr>
        <w:pStyle w:val="List Paragraph"/>
        <w:numPr>
          <w:ilvl w:val="0"/>
          <w:numId w:val="5"/>
        </w:numPr>
        <w:spacing w:after="0"/>
        <w:rPr>
          <w:lang w:val="en-US"/>
        </w:rPr>
      </w:pPr>
      <w:r>
        <w:rPr>
          <w:rtl w:val="0"/>
          <w:lang w:val="en-US"/>
        </w:rPr>
        <w:t>What is inter-quartile range of this dataset? (please approximate the numbers) In one line, explain what this value implies.</w:t>
      </w:r>
    </w:p>
    <w:p>
      <w:pPr>
        <w:pStyle w:val="List Paragraph"/>
        <w:spacing w:after="0"/>
        <w:ind w:left="0" w:firstLine="0"/>
      </w:pPr>
      <w:r>
        <w:rPr>
          <w:rtl w:val="0"/>
          <w:lang w:val="en-US"/>
        </w:rPr>
        <w:t xml:space="preserve">Ans- </w:t>
      </w:r>
      <w:r>
        <w:rPr>
          <w:color w:val="c0504d"/>
          <w:rtl w:val="0"/>
          <w:lang w:val="en-US"/>
        </w:rPr>
        <w:t>IQR = 12-5 = 7, this represents the range which contains 50% of the data points.</w:t>
      </w:r>
    </w:p>
    <w:p>
      <w:pPr>
        <w:pStyle w:val="List Paragraph"/>
        <w:spacing w:after="0"/>
        <w:ind w:left="0" w:firstLine="0"/>
      </w:pPr>
    </w:p>
    <w:p>
      <w:pPr>
        <w:pStyle w:val="List Paragraph"/>
        <w:numPr>
          <w:ilvl w:val="0"/>
          <w:numId w:val="5"/>
        </w:numPr>
        <w:spacing w:after="0"/>
        <w:rPr>
          <w:lang w:val="en-US"/>
        </w:rPr>
      </w:pPr>
      <w:r>
        <w:rPr>
          <w:rtl w:val="0"/>
          <w:lang w:val="en-US"/>
        </w:rPr>
        <w:t>What can we say about the skewness of this dataset?</w:t>
      </w:r>
    </w:p>
    <w:p>
      <w:pPr>
        <w:pStyle w:val="List Paragraph"/>
        <w:spacing w:after="0"/>
        <w:ind w:left="0" w:firstLine="0"/>
        <w:rPr>
          <w:color w:val="c0504d"/>
        </w:rPr>
      </w:pPr>
      <w:r>
        <w:rPr>
          <w:rtl w:val="0"/>
          <w:lang w:val="en-US"/>
        </w:rPr>
        <w:t xml:space="preserve">Ans- </w:t>
      </w:r>
      <w:r>
        <w:rPr>
          <w:color w:val="c0504d"/>
          <w:rtl w:val="0"/>
          <w:lang w:val="en-US"/>
        </w:rPr>
        <w:t>Right skewed</w:t>
      </w:r>
    </w:p>
    <w:p>
      <w:pPr>
        <w:pStyle w:val="List Paragraph"/>
        <w:numPr>
          <w:ilvl w:val="0"/>
          <w:numId w:val="5"/>
        </w:numPr>
        <w:spacing w:after="0"/>
        <w:rPr>
          <w:lang w:val="en-US"/>
        </w:rPr>
      </w:pPr>
      <w:r>
        <w:rPr>
          <w:rtl w:val="0"/>
          <w:lang w:val="en-US"/>
        </w:rPr>
        <w:t>If it was found that the data point with the value 25 is actually 2.5, how would the new box-plot be affected?</w:t>
      </w:r>
    </w:p>
    <w:p>
      <w:pPr>
        <w:pStyle w:val="Body"/>
        <w:spacing w:after="0"/>
      </w:pPr>
      <w:r>
        <w:rPr>
          <w:rtl w:val="0"/>
          <w:lang w:val="en-US"/>
        </w:rPr>
        <w:t xml:space="preserve">Ans- </w:t>
      </w:r>
      <w:r>
        <w:rPr>
          <w:color w:val="c0504d"/>
          <w:rtl w:val="0"/>
          <w:lang w:val="en-US"/>
        </w:rPr>
        <w:t>2.5 will be not considered an outlier. The boxplot will start from 0 and send at 20 in representation</w:t>
      </w:r>
    </w:p>
    <w:p>
      <w:pPr>
        <w:pStyle w:val="List Paragraph"/>
        <w:numPr>
          <w:ilvl w:val="0"/>
          <w:numId w:val="6"/>
        </w:numPr>
        <w:spacing w:after="0"/>
      </w:pPr>
    </w:p>
    <w:p>
      <w:pPr>
        <w:pStyle w:val="List Paragraph"/>
        <w:numPr>
          <w:ilvl w:val="0"/>
          <w:numId w:val="6"/>
        </w:numPr>
        <w:spacing w:after="0"/>
      </w:pPr>
      <w:r>
        <w:drawing>
          <wp:inline distT="0" distB="0" distL="0" distR="0">
            <wp:extent cx="5940532" cy="4123426"/>
            <wp:effectExtent l="0" t="0" r="0" b="0"/>
            <wp:docPr id="1073741826" name="officeArt object" descr="C:\Users\30644.ISBDOMAIN1\Dropbox\Ours\BA course\Our Era as TA's\Statistical Analysis 1-Estimation and Testing\Practice Problems\Histogram Q2.jpeg"/>
            <wp:cNvGraphicFramePr/>
            <a:graphic xmlns:a="http://schemas.openxmlformats.org/drawingml/2006/main">
              <a:graphicData uri="http://schemas.openxmlformats.org/drawingml/2006/picture">
                <pic:pic xmlns:pic="http://schemas.openxmlformats.org/drawingml/2006/picture">
                  <pic:nvPicPr>
                    <pic:cNvPr id="1073741826" name="C:\Users\30644.ISBDOMAIN1\Dropbox\Ours\BA course\Our Era as TA's\Statistical Analysis 1-Estimation and Testing\Practice Problems\Histogram Q2.jpeg" descr="C:\Users\30644.ISBDOMAIN1\Dropbox\Ours\BA course\Our Era as TA's\Statistical Analysis 1-Estimation and Testing\Practice Problems\Histogram Q2.jpeg"/>
                    <pic:cNvPicPr>
                      <a:picLocks noChangeAspect="1"/>
                    </pic:cNvPicPr>
                  </pic:nvPicPr>
                  <pic:blipFill>
                    <a:blip r:embed="rId5">
                      <a:extLst/>
                    </a:blip>
                    <a:stretch>
                      <a:fillRect/>
                    </a:stretch>
                  </pic:blipFill>
                  <pic:spPr>
                    <a:xfrm>
                      <a:off x="0" y="0"/>
                      <a:ext cx="5940532" cy="4123426"/>
                    </a:xfrm>
                    <a:prstGeom prst="rect">
                      <a:avLst/>
                    </a:prstGeom>
                    <a:ln w="12700" cap="flat">
                      <a:noFill/>
                      <a:miter lim="400000"/>
                    </a:ln>
                    <a:effectLst/>
                  </pic:spPr>
                </pic:pic>
              </a:graphicData>
            </a:graphic>
          </wp:inline>
        </w:drawing>
      </w:r>
    </w:p>
    <w:p>
      <w:pPr>
        <w:pStyle w:val="List Paragraph"/>
        <w:spacing w:after="0"/>
      </w:pPr>
    </w:p>
    <w:p>
      <w:pPr>
        <w:pStyle w:val="List Paragraph"/>
        <w:spacing w:after="0"/>
      </w:pPr>
      <w:r>
        <w:rPr>
          <w:rtl w:val="0"/>
          <w:lang w:val="en-US"/>
        </w:rPr>
        <w:t>Answer the following three questions based on the histogram above.</w:t>
      </w:r>
    </w:p>
    <w:p>
      <w:pPr>
        <w:pStyle w:val="List Paragraph"/>
        <w:numPr>
          <w:ilvl w:val="0"/>
          <w:numId w:val="8"/>
        </w:numPr>
        <w:spacing w:after="0"/>
        <w:rPr>
          <w:lang w:val="en-US"/>
        </w:rPr>
      </w:pPr>
      <w:r>
        <w:rPr>
          <w:rtl w:val="0"/>
          <w:lang w:val="en-US"/>
        </w:rPr>
        <w:t>Where would the mode of this dataset lie?</w:t>
      </w:r>
    </w:p>
    <w:p>
      <w:pPr>
        <w:pStyle w:val="List Paragraph"/>
        <w:spacing w:after="0"/>
        <w:ind w:left="0" w:firstLine="0"/>
        <w:rPr>
          <w:color w:val="c0504d"/>
        </w:rPr>
      </w:pPr>
      <w:r>
        <w:rPr>
          <w:rtl w:val="0"/>
          <w:lang w:val="en-US"/>
        </w:rPr>
        <w:t xml:space="preserve">Ans- </w:t>
      </w:r>
      <w:r>
        <w:rPr>
          <w:color w:val="c0504d"/>
          <w:rtl w:val="0"/>
          <w:lang w:val="en-US"/>
        </w:rPr>
        <w:t>Mode lies between 4 and 8</w:t>
      </w:r>
    </w:p>
    <w:p>
      <w:pPr>
        <w:pStyle w:val="List Paragraph"/>
        <w:numPr>
          <w:ilvl w:val="0"/>
          <w:numId w:val="8"/>
        </w:numPr>
        <w:spacing w:after="0"/>
        <w:rPr>
          <w:lang w:val="en-US"/>
        </w:rPr>
      </w:pPr>
      <w:r>
        <w:rPr>
          <w:rtl w:val="0"/>
          <w:lang w:val="en-US"/>
        </w:rPr>
        <w:t>Comment on the skewness of the dataset.</w:t>
        <w:tab/>
      </w:r>
    </w:p>
    <w:p>
      <w:pPr>
        <w:pStyle w:val="List Paragraph"/>
        <w:spacing w:after="0"/>
        <w:ind w:left="0" w:firstLine="0"/>
      </w:pPr>
      <w:r>
        <w:rPr>
          <w:rtl w:val="0"/>
          <w:lang w:val="en-US"/>
        </w:rPr>
        <w:t xml:space="preserve">Ans- </w:t>
      </w:r>
      <w:r>
        <w:rPr>
          <w:color w:val="c0504d"/>
          <w:rtl w:val="0"/>
          <w:lang w:val="en-US"/>
        </w:rPr>
        <w:t xml:space="preserve">Dataset is right skewed </w:t>
      </w:r>
    </w:p>
    <w:p>
      <w:pPr>
        <w:pStyle w:val="List Paragraph"/>
        <w:numPr>
          <w:ilvl w:val="0"/>
          <w:numId w:val="8"/>
        </w:numPr>
        <w:spacing w:after="0"/>
        <w:rPr>
          <w:lang w:val="en-US"/>
        </w:rPr>
      </w:pPr>
      <w:r>
        <w:rPr>
          <w:rtl w:val="0"/>
          <w:lang w:val="en-US"/>
        </w:rPr>
        <w:t xml:space="preserve">Suppose that the above histogram and the box-plot in question 2 are plotted for the same dataset. Explain how these graphs complement each other in providing information about any dataset. </w:t>
      </w:r>
    </w:p>
    <w:p>
      <w:pPr>
        <w:pStyle w:val="List Paragraph"/>
        <w:spacing w:after="0"/>
        <w:ind w:left="0" w:firstLine="0"/>
        <w:rPr>
          <w:color w:val="c0504d"/>
        </w:rPr>
      </w:pPr>
      <w:r>
        <w:rPr>
          <w:rtl w:val="0"/>
          <w:lang w:val="en-US"/>
        </w:rPr>
        <w:t xml:space="preserve">Ans- </w:t>
      </w:r>
      <w:r>
        <w:rPr>
          <w:color w:val="c0504d"/>
          <w:rtl w:val="0"/>
          <w:lang w:val="en-US"/>
        </w:rPr>
        <w:t>Median in boxplot and Mode in histogram Histogram provides the frequency distribution so we can see how many times each data point is occurring however boxplot provides the quantile distribution i.e. 50% data lies between 5 and 12. Boxplot provides whisker length to identify outliers, no information from histogram. We can only guess looking at the gap that 25 may be an outlier.</w:t>
      </w:r>
    </w:p>
    <w:p>
      <w:pPr>
        <w:pStyle w:val="Body"/>
        <w:tabs>
          <w:tab w:val="left" w:pos="540"/>
        </w:tabs>
        <w:spacing w:after="0"/>
      </w:pPr>
    </w:p>
    <w:p>
      <w:pPr>
        <w:pStyle w:val="Body"/>
        <w:spacing w:after="0"/>
      </w:pPr>
    </w:p>
    <w:p>
      <w:pPr>
        <w:pStyle w:val="List Paragraph"/>
        <w:numPr>
          <w:ilvl w:val="0"/>
          <w:numId w:val="9"/>
        </w:numPr>
        <w:spacing w:after="0"/>
        <w:rPr>
          <w:lang w:val="en-US"/>
        </w:rPr>
      </w:pPr>
      <w:r>
        <w:rPr>
          <w:rtl w:val="0"/>
          <w:lang w:val="en-US"/>
        </w:rPr>
        <w:t xml:space="preserve">AT&amp;T was running commercials in 1990 aimed at luring back customers who had switched to one of the other long-distance phone service providers. One such commercial shows a businessman trying to reach Phoenix and mistakenly getting Fiji, where a half-naked native on a beach responds incomprehensibly in Polynesian. When asked about this advertisement, AT&amp;T admitted that the portrayed incident did not actually take place but added that this was an enactment of something that </w:t>
      </w:r>
      <w:r>
        <w:rPr>
          <w:rtl w:val="0"/>
          <w:lang w:val="en-US"/>
        </w:rPr>
        <w:t>“</w:t>
      </w:r>
      <w:r>
        <w:rPr>
          <w:rtl w:val="0"/>
          <w:lang w:val="en-US"/>
        </w:rPr>
        <w:t>could happen.</w:t>
      </w:r>
      <w:r>
        <w:rPr>
          <w:rtl w:val="0"/>
          <w:lang w:val="en-US"/>
        </w:rPr>
        <w:t xml:space="preserve">” </w:t>
      </w:r>
      <w:r>
        <w:rPr>
          <w:rtl w:val="0"/>
          <w:lang w:val="en-US"/>
        </w:rPr>
        <w:t>Suppose that one in 200 long-distance telephone calls is misdirected. What is the probability that at least one in five attempted telephone calls reaches the wrong number? (Assume independence of attempts.)</w:t>
      </w:r>
    </w:p>
    <w:p>
      <w:pPr>
        <w:pStyle w:val="List Paragraph"/>
        <w:spacing w:after="0"/>
        <w:ind w:left="0" w:firstLine="0"/>
        <w:rPr>
          <w:shd w:val="clear" w:color="auto" w:fill="ffffff"/>
        </w:rPr>
      </w:pPr>
      <w:r>
        <w:rPr>
          <w:rtl w:val="0"/>
          <w:lang w:val="en-US"/>
        </w:rPr>
        <w:t xml:space="preserve">Ans- </w:t>
      </w:r>
      <w:r>
        <w:rPr>
          <w:rtl w:val="0"/>
          <w:lang w:val="en-US"/>
        </w:rPr>
        <w:t>P =</w:t>
      </w:r>
      <w:r>
        <w:rPr>
          <w:rtl w:val="0"/>
          <w:lang w:val="en-US"/>
        </w:rPr>
        <w:t xml:space="preserve"> </w:t>
      </w:r>
      <w:r>
        <w:rPr>
          <w:rtl w:val="0"/>
          <w:lang w:val="en-US"/>
        </w:rPr>
        <w:t>0.028 (Using MonteCarlo Simulation for 1000 occurances)</w:t>
      </w:r>
    </w:p>
    <w:p>
      <w:pPr>
        <w:pStyle w:val="List Paragraph"/>
        <w:spacing w:after="0"/>
        <w:ind w:left="0" w:firstLine="0"/>
      </w:pPr>
    </w:p>
    <w:p>
      <w:pPr>
        <w:pStyle w:val="List Paragraph"/>
        <w:spacing w:after="0"/>
      </w:pPr>
    </w:p>
    <w:p>
      <w:pPr>
        <w:pStyle w:val="List Paragraph"/>
        <w:spacing w:after="0"/>
      </w:pPr>
    </w:p>
    <w:p>
      <w:pPr>
        <w:pStyle w:val="List Paragraph"/>
        <w:numPr>
          <w:ilvl w:val="0"/>
          <w:numId w:val="2"/>
        </w:numPr>
        <w:spacing w:after="0"/>
        <w:rPr>
          <w:lang w:val="en-US"/>
        </w:rPr>
      </w:pPr>
      <w:r>
        <w:rPr>
          <w:rtl w:val="0"/>
          <w:lang w:val="en-US"/>
        </w:rPr>
        <w:t>Returns on a certain business venture, to the nearest $1,000, are known to follow the following probability distribution</w:t>
      </w:r>
    </w:p>
    <w:tbl>
      <w:tblPr>
        <w:tblW w:w="4150" w:type="dxa"/>
        <w:jc w:val="center"/>
        <w:tblInd w:w="82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078"/>
        <w:gridCol w:w="2072"/>
      </w:tblGrid>
      <w:tr>
        <w:tblPrEx>
          <w:shd w:val="clear" w:color="auto" w:fill="ced7e7"/>
        </w:tblPrEx>
        <w:trPr>
          <w:trHeight w:val="250" w:hRule="atLeast"/>
        </w:trPr>
        <w:tc>
          <w:tcPr>
            <w:tcW w:type="dxa" w:w="20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ind w:left="0" w:firstLine="0"/>
              <w:jc w:val="center"/>
            </w:pPr>
            <w:r>
              <w:rPr>
                <w:rtl w:val="0"/>
                <w:lang w:val="en-US"/>
              </w:rPr>
              <w:t>x</w:t>
            </w:r>
          </w:p>
        </w:tc>
        <w:tc>
          <w:tcPr>
            <w:tcW w:type="dxa" w:w="20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jc w:val="center"/>
            </w:pPr>
            <w:r>
              <w:rPr>
                <w:rtl w:val="0"/>
                <w:lang w:val="en-US"/>
              </w:rPr>
              <w:t>P(x)</w:t>
            </w:r>
          </w:p>
        </w:tc>
      </w:tr>
      <w:tr>
        <w:tblPrEx>
          <w:shd w:val="clear" w:color="auto" w:fill="ced7e7"/>
        </w:tblPrEx>
        <w:trPr>
          <w:trHeight w:val="250" w:hRule="atLeast"/>
        </w:trPr>
        <w:tc>
          <w:tcPr>
            <w:tcW w:type="dxa" w:w="20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jc w:val="center"/>
            </w:pPr>
            <w:r>
              <w:rPr>
                <w:rtl w:val="0"/>
                <w:lang w:val="en-US"/>
              </w:rPr>
              <w:t>-2,000</w:t>
            </w:r>
          </w:p>
        </w:tc>
        <w:tc>
          <w:tcPr>
            <w:tcW w:type="dxa" w:w="20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jc w:val="center"/>
            </w:pPr>
            <w:r>
              <w:rPr>
                <w:rtl w:val="0"/>
                <w:lang w:val="en-US"/>
              </w:rPr>
              <w:t>0.1</w:t>
            </w:r>
          </w:p>
        </w:tc>
      </w:tr>
      <w:tr>
        <w:tblPrEx>
          <w:shd w:val="clear" w:color="auto" w:fill="ced7e7"/>
        </w:tblPrEx>
        <w:trPr>
          <w:trHeight w:val="250" w:hRule="atLeast"/>
        </w:trPr>
        <w:tc>
          <w:tcPr>
            <w:tcW w:type="dxa" w:w="20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jc w:val="center"/>
            </w:pPr>
            <w:r>
              <w:rPr>
                <w:rtl w:val="0"/>
                <w:lang w:val="en-US"/>
              </w:rPr>
              <w:t>-1,000</w:t>
            </w:r>
          </w:p>
        </w:tc>
        <w:tc>
          <w:tcPr>
            <w:tcW w:type="dxa" w:w="20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jc w:val="center"/>
            </w:pPr>
            <w:r>
              <w:rPr>
                <w:rtl w:val="0"/>
                <w:lang w:val="en-US"/>
              </w:rPr>
              <w:t>0.1</w:t>
            </w:r>
          </w:p>
        </w:tc>
      </w:tr>
      <w:tr>
        <w:tblPrEx>
          <w:shd w:val="clear" w:color="auto" w:fill="ced7e7"/>
        </w:tblPrEx>
        <w:trPr>
          <w:trHeight w:val="250" w:hRule="atLeast"/>
        </w:trPr>
        <w:tc>
          <w:tcPr>
            <w:tcW w:type="dxa" w:w="20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jc w:val="center"/>
            </w:pPr>
            <w:r>
              <w:rPr>
                <w:rtl w:val="0"/>
                <w:lang w:val="en-US"/>
              </w:rPr>
              <w:t>0</w:t>
            </w:r>
          </w:p>
        </w:tc>
        <w:tc>
          <w:tcPr>
            <w:tcW w:type="dxa" w:w="20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jc w:val="center"/>
            </w:pPr>
            <w:r>
              <w:rPr>
                <w:rtl w:val="0"/>
                <w:lang w:val="en-US"/>
              </w:rPr>
              <w:t>0.2</w:t>
            </w:r>
          </w:p>
        </w:tc>
      </w:tr>
      <w:tr>
        <w:tblPrEx>
          <w:shd w:val="clear" w:color="auto" w:fill="ced7e7"/>
        </w:tblPrEx>
        <w:trPr>
          <w:trHeight w:val="250" w:hRule="atLeast"/>
        </w:trPr>
        <w:tc>
          <w:tcPr>
            <w:tcW w:type="dxa" w:w="20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jc w:val="center"/>
            </w:pPr>
            <w:r>
              <w:rPr>
                <w:rtl w:val="0"/>
                <w:lang w:val="en-US"/>
              </w:rPr>
              <w:t>1000</w:t>
            </w:r>
          </w:p>
        </w:tc>
        <w:tc>
          <w:tcPr>
            <w:tcW w:type="dxa" w:w="20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jc w:val="center"/>
            </w:pPr>
            <w:r>
              <w:rPr>
                <w:rtl w:val="0"/>
                <w:lang w:val="en-US"/>
              </w:rPr>
              <w:t>0.2</w:t>
            </w:r>
          </w:p>
        </w:tc>
      </w:tr>
      <w:tr>
        <w:tblPrEx>
          <w:shd w:val="clear" w:color="auto" w:fill="ced7e7"/>
        </w:tblPrEx>
        <w:trPr>
          <w:trHeight w:val="250" w:hRule="atLeast"/>
        </w:trPr>
        <w:tc>
          <w:tcPr>
            <w:tcW w:type="dxa" w:w="20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jc w:val="center"/>
            </w:pPr>
            <w:r>
              <w:rPr>
                <w:rtl w:val="0"/>
                <w:lang w:val="en-US"/>
              </w:rPr>
              <w:t>2000</w:t>
            </w:r>
          </w:p>
        </w:tc>
        <w:tc>
          <w:tcPr>
            <w:tcW w:type="dxa" w:w="20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jc w:val="center"/>
            </w:pPr>
            <w:r>
              <w:rPr>
                <w:rtl w:val="0"/>
                <w:lang w:val="en-US"/>
              </w:rPr>
              <w:t>0.3</w:t>
            </w:r>
          </w:p>
        </w:tc>
      </w:tr>
      <w:tr>
        <w:tblPrEx>
          <w:shd w:val="clear" w:color="auto" w:fill="ced7e7"/>
        </w:tblPrEx>
        <w:trPr>
          <w:trHeight w:val="250" w:hRule="atLeast"/>
        </w:trPr>
        <w:tc>
          <w:tcPr>
            <w:tcW w:type="dxa" w:w="20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jc w:val="center"/>
            </w:pPr>
            <w:r>
              <w:rPr>
                <w:rtl w:val="0"/>
                <w:lang w:val="en-US"/>
              </w:rPr>
              <w:t>3000</w:t>
            </w:r>
          </w:p>
        </w:tc>
        <w:tc>
          <w:tcPr>
            <w:tcW w:type="dxa" w:w="20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jc w:val="center"/>
            </w:pPr>
            <w:r>
              <w:rPr>
                <w:rtl w:val="0"/>
                <w:lang w:val="en-US"/>
              </w:rPr>
              <w:t>0.1</w:t>
            </w:r>
          </w:p>
        </w:tc>
      </w:tr>
    </w:tbl>
    <w:p>
      <w:pPr>
        <w:pStyle w:val="List Paragraph"/>
        <w:widowControl w:val="0"/>
        <w:numPr>
          <w:ilvl w:val="0"/>
          <w:numId w:val="10"/>
        </w:numPr>
        <w:spacing w:after="0" w:line="240" w:lineRule="auto"/>
        <w:jc w:val="center"/>
      </w:pPr>
    </w:p>
    <w:p>
      <w:pPr>
        <w:pStyle w:val="List Paragraph"/>
        <w:spacing w:after="0"/>
      </w:pPr>
    </w:p>
    <w:p>
      <w:pPr>
        <w:pStyle w:val="List Paragraph"/>
        <w:numPr>
          <w:ilvl w:val="0"/>
          <w:numId w:val="12"/>
        </w:numPr>
        <w:spacing w:after="0"/>
        <w:rPr>
          <w:lang w:val="en-US"/>
        </w:rPr>
      </w:pPr>
      <w:r>
        <w:rPr>
          <w:rtl w:val="0"/>
          <w:lang w:val="en-US"/>
        </w:rPr>
        <w:t>What is the most likely monetary outcome of the business venture?</w:t>
      </w:r>
    </w:p>
    <w:p>
      <w:pPr>
        <w:pStyle w:val="List Paragraph"/>
        <w:spacing w:after="0"/>
        <w:ind w:left="0" w:firstLine="0"/>
        <w:rPr>
          <w:color w:val="c0504d"/>
        </w:rPr>
      </w:pPr>
      <w:r>
        <w:rPr>
          <w:rtl w:val="0"/>
          <w:lang w:val="en-US"/>
        </w:rPr>
        <w:t xml:space="preserve">Ans- </w:t>
      </w:r>
      <w:r>
        <w:rPr>
          <w:rtl w:val="0"/>
          <w:lang w:val="en-US"/>
        </w:rPr>
        <w:t xml:space="preserve"> </w:t>
      </w:r>
      <w:r>
        <w:rPr>
          <w:color w:val="c0504d"/>
          <w:rtl w:val="0"/>
          <w:lang w:val="en-US"/>
        </w:rPr>
        <w:t>Max. P = 0.3 for P(2000)</w:t>
      </w:r>
      <w:r>
        <w:rPr>
          <w:color w:val="c0504d"/>
          <w:rtl w:val="0"/>
          <w:lang w:val="en-US"/>
        </w:rPr>
        <w:t xml:space="preserve">. </w:t>
      </w:r>
      <w:r>
        <w:rPr>
          <w:color w:val="c0504d"/>
          <w:rtl w:val="0"/>
          <w:lang w:val="en-US"/>
        </w:rPr>
        <w:t xml:space="preserve"> So most likely outcome is 2000</w:t>
      </w:r>
    </w:p>
    <w:p>
      <w:pPr>
        <w:pStyle w:val="List Paragraph"/>
        <w:numPr>
          <w:ilvl w:val="0"/>
          <w:numId w:val="12"/>
        </w:numPr>
        <w:spacing w:after="0"/>
        <w:rPr>
          <w:lang w:val="en-US"/>
        </w:rPr>
      </w:pPr>
      <w:r>
        <w:rPr>
          <w:rtl w:val="0"/>
          <w:lang w:val="en-US"/>
        </w:rPr>
        <w:t>Is the venture likely to be successful? Explain</w:t>
      </w:r>
    </w:p>
    <w:p>
      <w:pPr>
        <w:pStyle w:val="List Paragraph"/>
        <w:spacing w:after="0"/>
        <w:ind w:left="0" w:firstLine="0"/>
        <w:rPr>
          <w:color w:val="c0504d"/>
        </w:rPr>
      </w:pPr>
      <w:r>
        <w:rPr>
          <w:rtl w:val="0"/>
          <w:lang w:val="en-US"/>
        </w:rPr>
        <w:t xml:space="preserve">Ans- </w:t>
      </w:r>
      <w:r>
        <w:rPr>
          <w:rtl w:val="0"/>
          <w:lang w:val="en-US"/>
        </w:rPr>
        <w:t xml:space="preserve"> </w:t>
      </w:r>
      <w:r>
        <w:rPr>
          <w:color w:val="c0504d"/>
          <w:rtl w:val="0"/>
          <w:lang w:val="en-US"/>
        </w:rPr>
        <w:t xml:space="preserve">P(x&gt;0) = 0.6, implies there is a 60% chance that the venture would yield profits or greater </w:t>
      </w:r>
      <w:r>
        <w:rPr>
          <w:color w:val="c0504d"/>
          <w:rtl w:val="0"/>
          <w:lang w:val="en-US"/>
        </w:rPr>
        <w:t xml:space="preserve"> </w:t>
      </w:r>
      <w:r>
        <w:rPr>
          <w:color w:val="c0504d"/>
          <w:rtl w:val="0"/>
          <w:lang w:val="en-US"/>
        </w:rPr>
        <w:t>than expected returns. P(Incurring losses) is only 0.2. So the venture is likely to be successfu</w:t>
      </w:r>
      <w:r>
        <w:rPr>
          <w:color w:val="c0504d"/>
          <w:rtl w:val="0"/>
          <w:lang w:val="en-US"/>
        </w:rPr>
        <w:t>l.</w:t>
      </w:r>
    </w:p>
    <w:p>
      <w:pPr>
        <w:pStyle w:val="List Paragraph"/>
        <w:numPr>
          <w:ilvl w:val="0"/>
          <w:numId w:val="12"/>
        </w:numPr>
        <w:spacing w:after="0"/>
        <w:rPr>
          <w:lang w:val="en-US"/>
        </w:rPr>
      </w:pPr>
      <w:r>
        <w:rPr>
          <w:rtl w:val="0"/>
          <w:lang w:val="en-US"/>
        </w:rPr>
        <w:t>What is the long-term average earning of business ventures of this kind? Explain</w:t>
      </w:r>
    </w:p>
    <w:p>
      <w:pPr>
        <w:pStyle w:val="List Paragraph"/>
        <w:spacing w:after="0"/>
        <w:ind w:left="0" w:firstLine="0"/>
        <w:rPr>
          <w:color w:val="c0504d"/>
        </w:rPr>
      </w:pPr>
      <w:r>
        <w:rPr>
          <w:rtl w:val="0"/>
          <w:lang w:val="en-US"/>
        </w:rPr>
        <w:t xml:space="preserve">Ans- </w:t>
      </w:r>
      <w:r>
        <w:rPr>
          <w:color w:val="c0504d"/>
          <w:rtl w:val="0"/>
          <w:lang w:val="en-US"/>
        </w:rPr>
        <w:t>Weighted average = x*P(x) = 800. This means the average expected earnings over a long period of time would be 800</w:t>
      </w:r>
    </w:p>
    <w:p>
      <w:pPr>
        <w:pStyle w:val="List Paragraph"/>
        <w:spacing w:after="0"/>
        <w:ind w:left="0" w:firstLine="0"/>
      </w:pPr>
    </w:p>
    <w:p>
      <w:pPr>
        <w:pStyle w:val="List Paragraph"/>
        <w:numPr>
          <w:ilvl w:val="0"/>
          <w:numId w:val="12"/>
        </w:numPr>
        <w:spacing w:after="0"/>
        <w:rPr>
          <w:lang w:val="en-US"/>
        </w:rPr>
      </w:pPr>
      <w:r>
        <w:rPr>
          <w:rtl w:val="0"/>
          <w:lang w:val="en-US"/>
        </w:rPr>
        <w:t>What is the good measure of the risk involved in a venture of this kind? Compute this measure</w:t>
      </w:r>
    </w:p>
    <w:p>
      <w:pPr>
        <w:pStyle w:val="List Paragraph"/>
        <w:spacing w:after="0"/>
        <w:ind w:left="0" w:firstLine="0"/>
      </w:pPr>
      <w:r>
        <w:rPr>
          <w:rtl w:val="0"/>
          <w:lang w:val="en-US"/>
        </w:rPr>
        <w:t xml:space="preserve">Ans- </w:t>
      </w:r>
      <w:r>
        <w:rPr>
          <w:color w:val="c0504d"/>
          <w:rtl w:val="0"/>
          <w:lang w:val="en-US"/>
        </w:rPr>
        <w:t>P(loss) = P(x= -</w:t>
      </w:r>
      <w:r>
        <w:rPr>
          <w:color w:val="c0504d"/>
          <w:rtl w:val="0"/>
          <w:lang w:val="en-US"/>
        </w:rPr>
        <w:t xml:space="preserve"> </w:t>
      </w:r>
      <w:r>
        <w:rPr>
          <w:color w:val="c0504d"/>
          <w:rtl w:val="0"/>
          <w:lang w:val="en-US"/>
        </w:rPr>
        <w:t>2000)+P(x=</w:t>
      </w:r>
      <w:r>
        <w:rPr>
          <w:color w:val="c0504d"/>
          <w:rtl w:val="0"/>
          <w:lang w:val="en-US"/>
        </w:rPr>
        <w:t xml:space="preserve"> </w:t>
      </w:r>
      <w:r>
        <w:rPr>
          <w:color w:val="c0504d"/>
          <w:rtl w:val="0"/>
          <w:lang w:val="en-US"/>
        </w:rPr>
        <w:t>-1000)=0.2. So the risk associated with this venture is 20%</w:t>
      </w:r>
      <w:r>
        <w:rPr>
          <w:color w:val="c0504d"/>
          <w:rtl w:val="0"/>
          <w:lang w:val="en-US"/>
        </w:rPr>
        <w:t>.</w:t>
      </w:r>
      <w:r>
        <w:rPr>
          <w:color w:val="c0504d"/>
        </w:rPr>
      </w:r>
    </w:p>
    <w:sectPr>
      <w:headerReference w:type="default" r:id="rId6"/>
      <w:footerReference w:type="default" r:id="rId7"/>
      <w:pgSz w:w="12240" w:h="15840" w:orient="portrait"/>
      <w:pgMar w:top="900" w:right="1440" w:bottom="990" w:left="1440" w:header="720" w:footer="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340"/>
        <w:tab w:val="clear" w:pos="9360"/>
      </w:tabs>
    </w:pPr>
    <w:r>
      <w:rPr>
        <w:sz w:val="20"/>
        <w:szCs w:val="20"/>
        <w:rtl w:val="0"/>
        <w:lang w:val="en-US"/>
      </w:rPr>
      <w:t xml:space="preserve">Questions referred to from </w:t>
    </w:r>
    <w:r>
      <w:rPr>
        <w:rFonts w:ascii="Calibri" w:cs="Calibri" w:hAnsi="Calibri" w:eastAsia="Calibri"/>
        <w:i w:val="1"/>
        <w:iCs w:val="1"/>
        <w:sz w:val="20"/>
        <w:szCs w:val="20"/>
        <w:rtl w:val="0"/>
        <w:lang w:val="en-US"/>
      </w:rPr>
      <w:t>Aczel A., Sounderpandian J., Complete Business Statistics (7ed.)</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lowerRoman"/>
      <w:suff w:val="tab"/>
      <w:lvlText w:val="(%1)"/>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520"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680"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840"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lowerRoman"/>
      <w:suff w:val="tab"/>
      <w:lvlText w:val="(%1)"/>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520"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680"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840"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lowerRoman"/>
      <w:suff w:val="tab"/>
      <w:lvlText w:val="(%1)"/>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520"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680"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840" w:hanging="295"/>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startOverride w:val="2"/>
    </w:lvlOverride>
  </w:num>
  <w:num w:numId="4">
    <w:abstractNumId w:val="3"/>
  </w:num>
  <w:num w:numId="5">
    <w:abstractNumId w:val="2"/>
  </w:num>
  <w:num w:numId="6">
    <w:abstractNumId w:val="0"/>
    <w:lvlOverride w:ilvl="0">
      <w:startOverride w:val="3"/>
      <w:lvl w:ilvl="0">
        <w:start w:val="3"/>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left" w:pos="720"/>
          </w:tabs>
          <w:ind w:left="2160" w:hanging="29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tabs>
            <w:tab w:val="left" w:pos="720"/>
          </w:tabs>
          <w:ind w:left="4320" w:hanging="29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tabs>
            <w:tab w:val="left" w:pos="720"/>
          </w:tabs>
          <w:ind w:left="6480" w:hanging="29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
    <w:abstractNumId w:val="5"/>
  </w:num>
  <w:num w:numId="8">
    <w:abstractNumId w:val="4"/>
  </w:num>
  <w:num w:numId="9">
    <w:abstractNumId w:val="0"/>
    <w:lvlOverride w:ilvl="0">
      <w:startOverride w:val="4"/>
    </w:lvlOverride>
  </w:num>
  <w:num w:numId="10">
    <w:abstractNumId w:val="0"/>
    <w:lvlOverride w:ilvl="0">
      <w:lvl w:ilvl="0">
        <w:start w:val="1"/>
        <w:numFmt w:val="decimal"/>
        <w:suff w:val="tab"/>
        <w:lvlText w:val="%1."/>
        <w:lvlJc w:val="left"/>
        <w:pPr>
          <w:tabs>
            <w:tab w:val="num" w:pos="720"/>
          </w:tabs>
          <w:ind w:left="144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num" w:pos="1440"/>
          </w:tabs>
          <w:ind w:left="216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num" w:pos="2160"/>
          </w:tabs>
          <w:ind w:left="2880" w:hanging="10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num" w:pos="2880"/>
          </w:tabs>
          <w:ind w:left="360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num" w:pos="3600"/>
          </w:tabs>
          <w:ind w:left="432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tabs>
            <w:tab w:val="num" w:pos="4320"/>
          </w:tabs>
          <w:ind w:left="5040" w:hanging="10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num" w:pos="5040"/>
          </w:tabs>
          <w:ind w:left="576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num" w:pos="5760"/>
          </w:tabs>
          <w:ind w:left="648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tabs>
            <w:tab w:val="num" w:pos="6480"/>
          </w:tabs>
          <w:ind w:left="7200" w:hanging="101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1">
    <w:abstractNumId w:val="7"/>
  </w:num>
  <w:num w:numId="12">
    <w:abstractNumId w:val="6"/>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1">
    <w:name w:val="Imported Style 1"/>
    <w:pPr>
      <w:numPr>
        <w:numId w:val="1"/>
      </w:numPr>
    </w:pPr>
  </w:style>
  <w:style w:type="numbering" w:styleId="Imported Style 2">
    <w:name w:val="Imported Style 2"/>
    <w:pPr>
      <w:numPr>
        <w:numId w:val="4"/>
      </w:numPr>
    </w:pPr>
  </w:style>
  <w:style w:type="numbering" w:styleId="Imported Style 3">
    <w:name w:val="Imported Style 3"/>
    <w:pPr>
      <w:numPr>
        <w:numId w:val="7"/>
      </w:numPr>
    </w:pPr>
  </w:style>
  <w:style w:type="numbering" w:styleId="Imported Style 4">
    <w:name w:val="Imported Style 4"/>
    <w:pPr>
      <w:numPr>
        <w:numId w:val="1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