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24C49" w14:textId="77777777" w:rsidR="005D0C5D" w:rsidRDefault="005D0C5D">
      <w:pPr>
        <w:spacing w:after="60"/>
      </w:pPr>
    </w:p>
    <w:p w14:paraId="58C54264" w14:textId="77777777" w:rsidR="005D0C5D" w:rsidRDefault="005D0C5D">
      <w:pPr>
        <w:spacing w:after="60"/>
      </w:pPr>
    </w:p>
    <w:p w14:paraId="2290E72D" w14:textId="77777777" w:rsidR="005D0C5D" w:rsidRDefault="005D0C5D">
      <w:pPr>
        <w:spacing w:after="60"/>
      </w:pPr>
    </w:p>
    <w:p w14:paraId="2C016298" w14:textId="77777777" w:rsidR="005D0C5D" w:rsidRDefault="005D0C5D">
      <w:pPr>
        <w:spacing w:after="60"/>
      </w:pPr>
    </w:p>
    <w:p w14:paraId="4C30325E" w14:textId="77777777" w:rsidR="005D0C5D" w:rsidRPr="00963D29" w:rsidRDefault="00000000">
      <w:pPr>
        <w:spacing w:after="200"/>
        <w:jc w:val="center"/>
        <w:rPr>
          <w:rFonts w:ascii="Arial Black" w:hAnsi="Arial Black"/>
          <w:sz w:val="28"/>
          <w:szCs w:val="28"/>
        </w:rPr>
      </w:pPr>
      <w:r w:rsidRPr="00963D29">
        <w:rPr>
          <w:rFonts w:ascii="Arial Black" w:hAnsi="Arial Black"/>
          <w:b/>
          <w:bCs/>
          <w:color w:val="1F4E79"/>
          <w:sz w:val="72"/>
          <w:szCs w:val="72"/>
        </w:rPr>
        <w:t>Twitter (TWTR) Stock Market Analysis</w:t>
      </w:r>
    </w:p>
    <w:p w14:paraId="70090F1F" w14:textId="77777777" w:rsidR="005D0C5D" w:rsidRDefault="00000000">
      <w:pPr>
        <w:spacing w:after="600"/>
        <w:jc w:val="center"/>
        <w:rPr>
          <w:b/>
          <w:bCs/>
          <w:i/>
          <w:iCs/>
          <w:color w:val="0D0D0D" w:themeColor="text1" w:themeTint="F2"/>
          <w:sz w:val="32"/>
          <w:szCs w:val="32"/>
        </w:rPr>
      </w:pPr>
      <w:r w:rsidRPr="00963D29">
        <w:rPr>
          <w:b/>
          <w:bCs/>
          <w:i/>
          <w:iCs/>
          <w:color w:val="0D0D0D" w:themeColor="text1" w:themeTint="F2"/>
          <w:sz w:val="32"/>
          <w:szCs w:val="32"/>
        </w:rPr>
        <w:t>A Complete Data Analysis Report</w:t>
      </w:r>
    </w:p>
    <w:p w14:paraId="6DB869E2" w14:textId="77777777" w:rsidR="00963D29" w:rsidRDefault="00963D29">
      <w:pPr>
        <w:spacing w:after="600"/>
        <w:jc w:val="center"/>
        <w:rPr>
          <w:b/>
          <w:bCs/>
          <w:i/>
          <w:iCs/>
          <w:color w:val="0D0D0D" w:themeColor="text1" w:themeTint="F2"/>
          <w:sz w:val="32"/>
          <w:szCs w:val="32"/>
        </w:rPr>
      </w:pPr>
    </w:p>
    <w:p w14:paraId="12BE94F3" w14:textId="77777777" w:rsidR="00963D29" w:rsidRDefault="00963D29">
      <w:pPr>
        <w:spacing w:after="600"/>
        <w:jc w:val="center"/>
        <w:rPr>
          <w:b/>
          <w:bCs/>
          <w:i/>
          <w:iCs/>
          <w:color w:val="0D0D0D" w:themeColor="text1" w:themeTint="F2"/>
          <w:sz w:val="32"/>
          <w:szCs w:val="32"/>
        </w:rPr>
      </w:pPr>
    </w:p>
    <w:p w14:paraId="1BABAC81" w14:textId="77777777" w:rsidR="00963D29" w:rsidRPr="00963D29" w:rsidRDefault="00963D29">
      <w:pPr>
        <w:spacing w:after="600"/>
        <w:jc w:val="center"/>
        <w:rPr>
          <w:b/>
          <w:bCs/>
          <w:color w:val="0D0D0D" w:themeColor="text1" w:themeTint="F2"/>
        </w:rPr>
      </w:pPr>
    </w:p>
    <w:p w14:paraId="06C08098" w14:textId="5DF1BC8A" w:rsidR="00963D29" w:rsidRPr="00963D29" w:rsidRDefault="00963D29" w:rsidP="00963D29">
      <w:pPr>
        <w:spacing w:after="120"/>
        <w:jc w:val="center"/>
        <w:rPr>
          <w:color w:val="333333"/>
          <w:sz w:val="24"/>
          <w:szCs w:val="24"/>
        </w:rPr>
      </w:pPr>
      <w:r w:rsidRPr="00963D29">
        <w:rPr>
          <w:b/>
          <w:bCs/>
          <w:color w:val="333333"/>
          <w:sz w:val="24"/>
          <w:szCs w:val="24"/>
        </w:rPr>
        <w:t>Name:</w:t>
      </w:r>
      <w:r>
        <w:rPr>
          <w:color w:val="333333"/>
          <w:sz w:val="24"/>
          <w:szCs w:val="24"/>
        </w:rPr>
        <w:t xml:space="preserve"> Vaibhavi Hambire</w:t>
      </w:r>
      <w:r>
        <w:rPr>
          <w:color w:val="333333"/>
          <w:sz w:val="24"/>
          <w:szCs w:val="24"/>
        </w:rPr>
        <w:br/>
      </w:r>
      <w:r w:rsidRPr="00963D29">
        <w:rPr>
          <w:b/>
          <w:bCs/>
          <w:color w:val="333333"/>
          <w:sz w:val="24"/>
          <w:szCs w:val="24"/>
        </w:rPr>
        <w:t>Batch Code</w:t>
      </w:r>
      <w:r>
        <w:rPr>
          <w:color w:val="333333"/>
          <w:sz w:val="24"/>
          <w:szCs w:val="24"/>
        </w:rPr>
        <w:t xml:space="preserve">: </w:t>
      </w:r>
      <w:r w:rsidRPr="00963D29">
        <w:rPr>
          <w:color w:val="333333"/>
          <w:sz w:val="24"/>
          <w:szCs w:val="24"/>
        </w:rPr>
        <w:t>CX-143-MOR-JULY</w:t>
      </w:r>
    </w:p>
    <w:p w14:paraId="26960356" w14:textId="24059F64" w:rsidR="005D0C5D" w:rsidRDefault="00000000">
      <w:pPr>
        <w:spacing w:after="120"/>
        <w:jc w:val="center"/>
      </w:pPr>
      <w:r w:rsidRPr="00963D29">
        <w:rPr>
          <w:b/>
          <w:bCs/>
          <w:color w:val="333333"/>
          <w:sz w:val="24"/>
          <w:szCs w:val="24"/>
        </w:rPr>
        <w:t>Submitted To:</w:t>
      </w:r>
      <w:r>
        <w:rPr>
          <w:color w:val="333333"/>
          <w:sz w:val="24"/>
          <w:szCs w:val="24"/>
        </w:rPr>
        <w:t xml:space="preserve"> </w:t>
      </w:r>
      <w:proofErr w:type="spellStart"/>
      <w:r>
        <w:rPr>
          <w:color w:val="333333"/>
          <w:sz w:val="24"/>
          <w:szCs w:val="24"/>
        </w:rPr>
        <w:t>CoachX</w:t>
      </w:r>
      <w:proofErr w:type="spellEnd"/>
      <w:r>
        <w:rPr>
          <w:color w:val="333333"/>
          <w:sz w:val="24"/>
          <w:szCs w:val="24"/>
        </w:rPr>
        <w:t xml:space="preserve"> Learning</w:t>
      </w:r>
    </w:p>
    <w:p w14:paraId="640AC372" w14:textId="77777777" w:rsidR="005D0C5D" w:rsidRDefault="00000000">
      <w:pPr>
        <w:spacing w:after="120"/>
        <w:jc w:val="center"/>
      </w:pPr>
      <w:r w:rsidRPr="00963D29">
        <w:rPr>
          <w:b/>
          <w:bCs/>
          <w:color w:val="333333"/>
          <w:sz w:val="24"/>
          <w:szCs w:val="24"/>
        </w:rPr>
        <w:t>Dataset Period:</w:t>
      </w:r>
      <w:r>
        <w:rPr>
          <w:color w:val="333333"/>
          <w:sz w:val="24"/>
          <w:szCs w:val="24"/>
        </w:rPr>
        <w:t xml:space="preserve"> January 2018 – March 2024</w:t>
      </w:r>
    </w:p>
    <w:p w14:paraId="0BF8D804" w14:textId="77777777" w:rsidR="005D0C5D" w:rsidRDefault="00000000">
      <w:pPr>
        <w:spacing w:after="120"/>
        <w:jc w:val="center"/>
      </w:pPr>
      <w:r w:rsidRPr="00963D29">
        <w:rPr>
          <w:b/>
          <w:bCs/>
          <w:color w:val="333333"/>
          <w:sz w:val="24"/>
          <w:szCs w:val="24"/>
        </w:rPr>
        <w:t>Tools Used:</w:t>
      </w:r>
      <w:r>
        <w:rPr>
          <w:color w:val="333333"/>
          <w:sz w:val="24"/>
          <w:szCs w:val="24"/>
        </w:rPr>
        <w:t xml:space="preserve"> Python | Pandas | NumPy | Matplotlib | SciPy | </w:t>
      </w:r>
      <w:proofErr w:type="spellStart"/>
      <w:r>
        <w:rPr>
          <w:color w:val="333333"/>
          <w:sz w:val="24"/>
          <w:szCs w:val="24"/>
        </w:rPr>
        <w:t>WordCloud</w:t>
      </w:r>
      <w:proofErr w:type="spellEnd"/>
    </w:p>
    <w:p w14:paraId="6483BEA2" w14:textId="5A150252" w:rsidR="005D0C5D" w:rsidRDefault="00000000">
      <w:pPr>
        <w:spacing w:after="120"/>
        <w:jc w:val="center"/>
      </w:pPr>
      <w:r w:rsidRPr="00963D29">
        <w:rPr>
          <w:b/>
          <w:bCs/>
          <w:color w:val="333333"/>
          <w:sz w:val="24"/>
          <w:szCs w:val="24"/>
        </w:rPr>
        <w:t>Date:</w:t>
      </w:r>
      <w:r>
        <w:rPr>
          <w:color w:val="333333"/>
          <w:sz w:val="24"/>
          <w:szCs w:val="24"/>
        </w:rPr>
        <w:t xml:space="preserve"> </w:t>
      </w:r>
      <w:r w:rsidR="00963D29">
        <w:rPr>
          <w:color w:val="333333"/>
          <w:sz w:val="24"/>
          <w:szCs w:val="24"/>
        </w:rPr>
        <w:t>May</w:t>
      </w:r>
      <w:r>
        <w:rPr>
          <w:color w:val="333333"/>
          <w:sz w:val="24"/>
          <w:szCs w:val="24"/>
        </w:rPr>
        <w:t xml:space="preserve"> 2025</w:t>
      </w:r>
    </w:p>
    <w:p w14:paraId="2D353AFF" w14:textId="77777777" w:rsidR="005D0C5D" w:rsidRDefault="00000000">
      <w:r>
        <w:br w:type="page"/>
      </w:r>
    </w:p>
    <w:p w14:paraId="6E2522EC" w14:textId="77777777" w:rsidR="005D0C5D" w:rsidRPr="00963D29" w:rsidRDefault="00000000">
      <w:pPr>
        <w:pStyle w:val="Heading1"/>
        <w:spacing w:before="320"/>
        <w:rPr>
          <w:color w:val="0D0D0D" w:themeColor="text1" w:themeTint="F2"/>
        </w:rPr>
      </w:pPr>
      <w:r w:rsidRPr="00963D29">
        <w:rPr>
          <w:color w:val="0D0D0D" w:themeColor="text1" w:themeTint="F2"/>
        </w:rPr>
        <w:lastRenderedPageBreak/>
        <w:t>1. Introduction</w:t>
      </w:r>
    </w:p>
    <w:p w14:paraId="21B9B338" w14:textId="77777777" w:rsidR="005D0C5D" w:rsidRPr="00532F93" w:rsidRDefault="00000000">
      <w:pPr>
        <w:spacing w:after="120"/>
        <w:jc w:val="both"/>
      </w:pPr>
      <w:r w:rsidRPr="00532F93">
        <w:t>Twitter, Inc. (NYSE: TWTR) was one of the most prominent social media platforms in the world, allowing users to share short messages known as tweets. Founded in 2006 and taken public in November 2013, Twitter operated as a publicly listed company on the New York Stock Exchange (NYSE) for nearly a decade before being acquired by Elon Musk and taken private in October 2022.</w:t>
      </w:r>
    </w:p>
    <w:p w14:paraId="6C1D2C01" w14:textId="77777777" w:rsidR="005D0C5D" w:rsidRPr="00532F93" w:rsidRDefault="00000000">
      <w:pPr>
        <w:spacing w:after="120"/>
        <w:jc w:val="both"/>
      </w:pPr>
      <w:r w:rsidRPr="00532F93">
        <w:t>This report presents a comprehensive analysis of Twitter's stock market performance from January 2018 to March 2024, covering its final years as a public company and the post-delisting OTC trading period. The analysis examines price trends, trading volume patterns, statistical relationships between price metrics, and key events that shaped the stock's trajectory.</w:t>
      </w:r>
    </w:p>
    <w:p w14:paraId="362E1933" w14:textId="77777777" w:rsidR="005D0C5D" w:rsidRPr="00532F93" w:rsidRDefault="00000000">
      <w:pPr>
        <w:spacing w:after="120"/>
        <w:jc w:val="both"/>
      </w:pPr>
      <w:r w:rsidRPr="00532F93">
        <w:t>The dataset contains 2,259 valid trading records with seven attributes: Date, Open, High, Low, Close, Adjusted Close, and Volume. Three major external events define the price story: the COVID-19 pandemic crash in March 2020, Elon Musk's acquisition offer in April 2022, and the eventual NYSE delisting in October 2022.</w:t>
      </w:r>
    </w:p>
    <w:p w14:paraId="218996AA" w14:textId="77777777" w:rsidR="005D0C5D" w:rsidRDefault="00000000">
      <w:r>
        <w:br w:type="page"/>
      </w:r>
    </w:p>
    <w:p w14:paraId="3665C921" w14:textId="77777777" w:rsidR="005D0C5D" w:rsidRPr="00963D29" w:rsidRDefault="00000000">
      <w:pPr>
        <w:pStyle w:val="Heading1"/>
        <w:spacing w:before="320"/>
        <w:rPr>
          <w:color w:val="0D0D0D" w:themeColor="text1" w:themeTint="F2"/>
        </w:rPr>
      </w:pPr>
      <w:r w:rsidRPr="00963D29">
        <w:rPr>
          <w:color w:val="0D0D0D" w:themeColor="text1" w:themeTint="F2"/>
        </w:rPr>
        <w:lastRenderedPageBreak/>
        <w:t>2. Requirement Analysis</w:t>
      </w:r>
    </w:p>
    <w:p w14:paraId="79E1DADD" w14:textId="77777777" w:rsidR="005D0C5D" w:rsidRDefault="00000000">
      <w:pPr>
        <w:spacing w:after="120"/>
        <w:jc w:val="both"/>
      </w:pPr>
      <w:r>
        <w:t xml:space="preserve">This project was structured into three core analytical tasks as defined in the </w:t>
      </w:r>
      <w:proofErr w:type="spellStart"/>
      <w:r>
        <w:t>CoachX</w:t>
      </w:r>
      <w:proofErr w:type="spellEnd"/>
      <w:r>
        <w:t xml:space="preserve"> project brief:</w:t>
      </w:r>
    </w:p>
    <w:p w14:paraId="6896555B" w14:textId="77777777" w:rsidR="005D0C5D" w:rsidRDefault="005D0C5D">
      <w:pPr>
        <w:spacing w:after="60"/>
      </w:pPr>
    </w:p>
    <w:p w14:paraId="6A5574AC" w14:textId="77777777" w:rsidR="005D0C5D" w:rsidRPr="00963D29" w:rsidRDefault="00000000">
      <w:pPr>
        <w:pStyle w:val="Heading2"/>
        <w:rPr>
          <w:color w:val="0D0D0D" w:themeColor="text1" w:themeTint="F2"/>
        </w:rPr>
      </w:pPr>
      <w:r w:rsidRPr="00963D29">
        <w:rPr>
          <w:color w:val="0D0D0D" w:themeColor="text1" w:themeTint="F2"/>
        </w:rPr>
        <w:t>Task 1 — Data Analysis</w:t>
      </w:r>
    </w:p>
    <w:p w14:paraId="6B69EAE9" w14:textId="77777777" w:rsidR="005D0C5D" w:rsidRDefault="00000000">
      <w:pPr>
        <w:pStyle w:val="ListParagraph"/>
        <w:numPr>
          <w:ilvl w:val="0"/>
          <w:numId w:val="1"/>
        </w:numPr>
        <w:spacing w:after="80"/>
      </w:pPr>
      <w:r>
        <w:t>Load the dataset and display the first 100 rows</w:t>
      </w:r>
    </w:p>
    <w:p w14:paraId="5965D338" w14:textId="77777777" w:rsidR="005D0C5D" w:rsidRDefault="00000000">
      <w:pPr>
        <w:pStyle w:val="ListParagraph"/>
        <w:numPr>
          <w:ilvl w:val="0"/>
          <w:numId w:val="1"/>
        </w:numPr>
        <w:spacing w:after="80"/>
      </w:pPr>
      <w:r>
        <w:t>Generate column-level insights including data types and value ranges</w:t>
      </w:r>
    </w:p>
    <w:p w14:paraId="3264FECF" w14:textId="77777777" w:rsidR="005D0C5D" w:rsidRDefault="00000000">
      <w:pPr>
        <w:pStyle w:val="ListParagraph"/>
        <w:numPr>
          <w:ilvl w:val="0"/>
          <w:numId w:val="1"/>
        </w:numPr>
        <w:spacing w:after="80"/>
      </w:pPr>
      <w:r>
        <w:t>Check for null/missing values and remove them</w:t>
      </w:r>
    </w:p>
    <w:p w14:paraId="67902184" w14:textId="77777777" w:rsidR="005D0C5D" w:rsidRDefault="00000000">
      <w:pPr>
        <w:pStyle w:val="ListParagraph"/>
        <w:numPr>
          <w:ilvl w:val="0"/>
          <w:numId w:val="1"/>
        </w:numPr>
        <w:spacing w:after="80"/>
      </w:pPr>
      <w:r>
        <w:t xml:space="preserve">Generate a statistical description using </w:t>
      </w:r>
      <w:proofErr w:type="gramStart"/>
      <w:r>
        <w:t>describe(</w:t>
      </w:r>
      <w:proofErr w:type="gramEnd"/>
      <w:r>
        <w:t>)</w:t>
      </w:r>
    </w:p>
    <w:p w14:paraId="1F62A863" w14:textId="77777777" w:rsidR="005D0C5D" w:rsidRDefault="00000000">
      <w:pPr>
        <w:pStyle w:val="ListParagraph"/>
        <w:numPr>
          <w:ilvl w:val="0"/>
          <w:numId w:val="1"/>
        </w:numPr>
        <w:spacing w:after="80"/>
      </w:pPr>
      <w:r>
        <w:t>Verify the final missing value count after cleaning</w:t>
      </w:r>
    </w:p>
    <w:p w14:paraId="26E292DE" w14:textId="77777777" w:rsidR="005D0C5D" w:rsidRDefault="005D0C5D">
      <w:pPr>
        <w:spacing w:after="60"/>
      </w:pPr>
    </w:p>
    <w:p w14:paraId="5D290B44" w14:textId="77777777" w:rsidR="005D0C5D" w:rsidRPr="00963D29" w:rsidRDefault="00000000">
      <w:pPr>
        <w:pStyle w:val="Heading2"/>
        <w:rPr>
          <w:color w:val="0D0D0D" w:themeColor="text1" w:themeTint="F2"/>
        </w:rPr>
      </w:pPr>
      <w:r w:rsidRPr="00963D29">
        <w:rPr>
          <w:color w:val="0D0D0D" w:themeColor="text1" w:themeTint="F2"/>
        </w:rPr>
        <w:t>Task 2 — Statistical Tests and Analysis</w:t>
      </w:r>
    </w:p>
    <w:p w14:paraId="0AA20786" w14:textId="77777777" w:rsidR="005D0C5D" w:rsidRDefault="00000000">
      <w:pPr>
        <w:pStyle w:val="ListParagraph"/>
        <w:numPr>
          <w:ilvl w:val="0"/>
          <w:numId w:val="1"/>
        </w:numPr>
        <w:spacing w:after="80"/>
      </w:pPr>
      <w:r>
        <w:t>Perform T-Tests on High, Low, and Close columns to test mean differences</w:t>
      </w:r>
    </w:p>
    <w:p w14:paraId="05074EAA" w14:textId="77777777" w:rsidR="005D0C5D" w:rsidRDefault="00000000">
      <w:pPr>
        <w:pStyle w:val="ListParagraph"/>
        <w:numPr>
          <w:ilvl w:val="0"/>
          <w:numId w:val="1"/>
        </w:numPr>
        <w:spacing w:after="80"/>
      </w:pPr>
      <w:r>
        <w:t>Apply a Chi-Square test to check dependence between Close price and Volume</w:t>
      </w:r>
    </w:p>
    <w:p w14:paraId="04617EF7" w14:textId="77777777" w:rsidR="005D0C5D" w:rsidRDefault="00000000">
      <w:pPr>
        <w:pStyle w:val="ListParagraph"/>
        <w:numPr>
          <w:ilvl w:val="0"/>
          <w:numId w:val="1"/>
        </w:numPr>
        <w:spacing w:after="80"/>
      </w:pPr>
      <w:r>
        <w:t>Interpret and document the results of all statistical tests</w:t>
      </w:r>
    </w:p>
    <w:p w14:paraId="2B508DD8" w14:textId="77777777" w:rsidR="005D0C5D" w:rsidRDefault="005D0C5D">
      <w:pPr>
        <w:spacing w:after="60"/>
      </w:pPr>
    </w:p>
    <w:p w14:paraId="4C5E4F37" w14:textId="77777777" w:rsidR="005D0C5D" w:rsidRPr="00963D29" w:rsidRDefault="00000000">
      <w:pPr>
        <w:pStyle w:val="Heading2"/>
        <w:rPr>
          <w:color w:val="0D0D0D" w:themeColor="text1" w:themeTint="F2"/>
        </w:rPr>
      </w:pPr>
      <w:r w:rsidRPr="00963D29">
        <w:rPr>
          <w:color w:val="0D0D0D" w:themeColor="text1" w:themeTint="F2"/>
        </w:rPr>
        <w:t>Task 3 — Visualization and Analysis</w:t>
      </w:r>
    </w:p>
    <w:p w14:paraId="5911D037" w14:textId="77777777" w:rsidR="005D0C5D" w:rsidRDefault="00000000">
      <w:pPr>
        <w:pStyle w:val="ListParagraph"/>
        <w:numPr>
          <w:ilvl w:val="0"/>
          <w:numId w:val="1"/>
        </w:numPr>
        <w:spacing w:after="80"/>
      </w:pPr>
      <w:r>
        <w:t>Plot all stock prices (Open, High, Low, Close) over time</w:t>
      </w:r>
    </w:p>
    <w:p w14:paraId="1B6DA2A7" w14:textId="77777777" w:rsidR="005D0C5D" w:rsidRDefault="00000000">
      <w:pPr>
        <w:pStyle w:val="ListParagraph"/>
        <w:numPr>
          <w:ilvl w:val="0"/>
          <w:numId w:val="1"/>
        </w:numPr>
        <w:spacing w:after="80"/>
      </w:pPr>
      <w:r>
        <w:t>Compare Close price vs Date in a dedicated plot</w:t>
      </w:r>
    </w:p>
    <w:p w14:paraId="58059DE2" w14:textId="77777777" w:rsidR="005D0C5D" w:rsidRDefault="00000000">
      <w:pPr>
        <w:pStyle w:val="ListParagraph"/>
        <w:numPr>
          <w:ilvl w:val="0"/>
          <w:numId w:val="1"/>
        </w:numPr>
        <w:spacing w:after="80"/>
      </w:pPr>
      <w:r>
        <w:t>Create year-wise time period breakdowns</w:t>
      </w:r>
    </w:p>
    <w:p w14:paraId="6A86D04C" w14:textId="77777777" w:rsidR="005D0C5D" w:rsidRDefault="00000000">
      <w:pPr>
        <w:pStyle w:val="ListParagraph"/>
        <w:numPr>
          <w:ilvl w:val="0"/>
          <w:numId w:val="1"/>
        </w:numPr>
        <w:spacing w:after="80"/>
      </w:pPr>
      <w:r>
        <w:t>Build a complete annotated timeline with key events</w:t>
      </w:r>
    </w:p>
    <w:p w14:paraId="50F1F4B6" w14:textId="77777777" w:rsidR="005D0C5D" w:rsidRDefault="00000000">
      <w:pPr>
        <w:pStyle w:val="ListParagraph"/>
        <w:numPr>
          <w:ilvl w:val="0"/>
          <w:numId w:val="1"/>
        </w:numPr>
        <w:spacing w:after="80"/>
      </w:pPr>
      <w:r>
        <w:t>Generate a Word Cloud summarizing analysis insights</w:t>
      </w:r>
    </w:p>
    <w:p w14:paraId="6D45C2AE" w14:textId="77777777" w:rsidR="005D0C5D" w:rsidRDefault="00000000">
      <w:pPr>
        <w:pStyle w:val="ListParagraph"/>
        <w:numPr>
          <w:ilvl w:val="0"/>
          <w:numId w:val="1"/>
        </w:numPr>
        <w:spacing w:after="80"/>
      </w:pPr>
      <w:r>
        <w:t>Compile a 4-panel Python dashboard for client presentation</w:t>
      </w:r>
    </w:p>
    <w:p w14:paraId="284A81E0" w14:textId="77777777" w:rsidR="005D0C5D" w:rsidRDefault="005D0C5D">
      <w:pPr>
        <w:spacing w:after="60"/>
      </w:pPr>
    </w:p>
    <w:p w14:paraId="4D65412C" w14:textId="77777777" w:rsidR="005D0C5D" w:rsidRPr="00963D29" w:rsidRDefault="00000000">
      <w:pPr>
        <w:pStyle w:val="Heading2"/>
        <w:rPr>
          <w:color w:val="0D0D0D" w:themeColor="text1" w:themeTint="F2"/>
        </w:rPr>
      </w:pPr>
      <w:r w:rsidRPr="00963D29">
        <w:rPr>
          <w:color w:val="0D0D0D" w:themeColor="text1" w:themeTint="F2"/>
        </w:rPr>
        <w:t>Tools and Libraries Used</w:t>
      </w:r>
    </w:p>
    <w:tbl>
      <w:tblPr>
        <w:tblStyle w:val="GridTable4"/>
        <w:tblW w:w="9000" w:type="dxa"/>
        <w:tblLook w:val="04A0" w:firstRow="1" w:lastRow="0" w:firstColumn="1" w:lastColumn="0" w:noHBand="0" w:noVBand="1"/>
      </w:tblPr>
      <w:tblGrid>
        <w:gridCol w:w="4500"/>
        <w:gridCol w:w="4500"/>
      </w:tblGrid>
      <w:tr w:rsidR="005D0C5D" w14:paraId="5CE2299D" w14:textId="77777777" w:rsidTr="00963D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408203CF" w14:textId="77777777" w:rsidR="005D0C5D" w:rsidRDefault="00000000">
            <w:pPr>
              <w:jc w:val="center"/>
            </w:pPr>
            <w:r>
              <w:rPr>
                <w:color w:val="FFFFFF"/>
                <w:sz w:val="20"/>
                <w:szCs w:val="20"/>
              </w:rPr>
              <w:t>Tool / Library</w:t>
            </w:r>
          </w:p>
        </w:tc>
        <w:tc>
          <w:tcPr>
            <w:tcW w:w="4500" w:type="dxa"/>
          </w:tcPr>
          <w:p w14:paraId="56D8F956" w14:textId="77777777" w:rsidR="005D0C5D"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Purpose</w:t>
            </w:r>
          </w:p>
        </w:tc>
      </w:tr>
      <w:tr w:rsidR="005D0C5D" w14:paraId="2C583719" w14:textId="77777777" w:rsidTr="00963D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6B634FEA" w14:textId="77777777" w:rsidR="005D0C5D" w:rsidRDefault="00000000">
            <w:pPr>
              <w:jc w:val="center"/>
            </w:pPr>
            <w:r>
              <w:rPr>
                <w:sz w:val="20"/>
                <w:szCs w:val="20"/>
              </w:rPr>
              <w:t>Python 3.x</w:t>
            </w:r>
          </w:p>
        </w:tc>
        <w:tc>
          <w:tcPr>
            <w:tcW w:w="4500" w:type="dxa"/>
          </w:tcPr>
          <w:p w14:paraId="5BFDA2B7" w14:textId="77777777" w:rsidR="005D0C5D" w:rsidRDefault="00000000">
            <w:pPr>
              <w:jc w:val="center"/>
              <w:cnfStyle w:val="000000100000" w:firstRow="0" w:lastRow="0" w:firstColumn="0" w:lastColumn="0" w:oddVBand="0" w:evenVBand="0" w:oddHBand="1" w:evenHBand="0" w:firstRowFirstColumn="0" w:firstRowLastColumn="0" w:lastRowFirstColumn="0" w:lastRowLastColumn="0"/>
            </w:pPr>
            <w:r>
              <w:rPr>
                <w:sz w:val="20"/>
                <w:szCs w:val="20"/>
              </w:rPr>
              <w:t>Core programming language</w:t>
            </w:r>
          </w:p>
        </w:tc>
      </w:tr>
      <w:tr w:rsidR="005D0C5D" w14:paraId="735B2AD7" w14:textId="77777777" w:rsidTr="00963D29">
        <w:tc>
          <w:tcPr>
            <w:cnfStyle w:val="001000000000" w:firstRow="0" w:lastRow="0" w:firstColumn="1" w:lastColumn="0" w:oddVBand="0" w:evenVBand="0" w:oddHBand="0" w:evenHBand="0" w:firstRowFirstColumn="0" w:firstRowLastColumn="0" w:lastRowFirstColumn="0" w:lastRowLastColumn="0"/>
            <w:tcW w:w="4500" w:type="dxa"/>
          </w:tcPr>
          <w:p w14:paraId="4F469425" w14:textId="77777777" w:rsidR="005D0C5D" w:rsidRDefault="00000000">
            <w:pPr>
              <w:jc w:val="center"/>
            </w:pPr>
            <w:r>
              <w:rPr>
                <w:sz w:val="20"/>
                <w:szCs w:val="20"/>
              </w:rPr>
              <w:t>Pandas</w:t>
            </w:r>
          </w:p>
        </w:tc>
        <w:tc>
          <w:tcPr>
            <w:tcW w:w="4500" w:type="dxa"/>
          </w:tcPr>
          <w:p w14:paraId="61AE3604" w14:textId="77777777" w:rsidR="005D0C5D" w:rsidRDefault="00000000">
            <w:pPr>
              <w:jc w:val="center"/>
              <w:cnfStyle w:val="000000000000" w:firstRow="0" w:lastRow="0" w:firstColumn="0" w:lastColumn="0" w:oddVBand="0" w:evenVBand="0" w:oddHBand="0" w:evenHBand="0" w:firstRowFirstColumn="0" w:firstRowLastColumn="0" w:lastRowFirstColumn="0" w:lastRowLastColumn="0"/>
            </w:pPr>
            <w:r>
              <w:rPr>
                <w:sz w:val="20"/>
                <w:szCs w:val="20"/>
              </w:rPr>
              <w:t>Data loading, cleaning, manipulation</w:t>
            </w:r>
          </w:p>
        </w:tc>
      </w:tr>
      <w:tr w:rsidR="005D0C5D" w14:paraId="65F1DF14" w14:textId="77777777" w:rsidTr="00963D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0B876FD2" w14:textId="77777777" w:rsidR="005D0C5D" w:rsidRDefault="00000000">
            <w:pPr>
              <w:jc w:val="center"/>
            </w:pPr>
            <w:r>
              <w:rPr>
                <w:sz w:val="20"/>
                <w:szCs w:val="20"/>
              </w:rPr>
              <w:t>NumPy</w:t>
            </w:r>
          </w:p>
        </w:tc>
        <w:tc>
          <w:tcPr>
            <w:tcW w:w="4500" w:type="dxa"/>
          </w:tcPr>
          <w:p w14:paraId="65D98C8D" w14:textId="77777777" w:rsidR="005D0C5D" w:rsidRDefault="00000000">
            <w:pPr>
              <w:jc w:val="center"/>
              <w:cnfStyle w:val="000000100000" w:firstRow="0" w:lastRow="0" w:firstColumn="0" w:lastColumn="0" w:oddVBand="0" w:evenVBand="0" w:oddHBand="1" w:evenHBand="0" w:firstRowFirstColumn="0" w:firstRowLastColumn="0" w:lastRowFirstColumn="0" w:lastRowLastColumn="0"/>
            </w:pPr>
            <w:r>
              <w:rPr>
                <w:sz w:val="20"/>
                <w:szCs w:val="20"/>
              </w:rPr>
              <w:t>Numerical operations and array handling</w:t>
            </w:r>
          </w:p>
        </w:tc>
      </w:tr>
      <w:tr w:rsidR="005D0C5D" w14:paraId="2700749C" w14:textId="77777777" w:rsidTr="00963D29">
        <w:tc>
          <w:tcPr>
            <w:cnfStyle w:val="001000000000" w:firstRow="0" w:lastRow="0" w:firstColumn="1" w:lastColumn="0" w:oddVBand="0" w:evenVBand="0" w:oddHBand="0" w:evenHBand="0" w:firstRowFirstColumn="0" w:firstRowLastColumn="0" w:lastRowFirstColumn="0" w:lastRowLastColumn="0"/>
            <w:tcW w:w="4500" w:type="dxa"/>
          </w:tcPr>
          <w:p w14:paraId="0B07E4A6" w14:textId="77777777" w:rsidR="005D0C5D" w:rsidRDefault="00000000">
            <w:pPr>
              <w:jc w:val="center"/>
            </w:pPr>
            <w:r>
              <w:rPr>
                <w:sz w:val="20"/>
                <w:szCs w:val="20"/>
              </w:rPr>
              <w:t>Matplotlib</w:t>
            </w:r>
          </w:p>
        </w:tc>
        <w:tc>
          <w:tcPr>
            <w:tcW w:w="4500" w:type="dxa"/>
          </w:tcPr>
          <w:p w14:paraId="48DB7ABD" w14:textId="77777777" w:rsidR="005D0C5D" w:rsidRDefault="00000000">
            <w:pPr>
              <w:jc w:val="center"/>
              <w:cnfStyle w:val="000000000000" w:firstRow="0" w:lastRow="0" w:firstColumn="0" w:lastColumn="0" w:oddVBand="0" w:evenVBand="0" w:oddHBand="0" w:evenHBand="0" w:firstRowFirstColumn="0" w:firstRowLastColumn="0" w:lastRowFirstColumn="0" w:lastRowLastColumn="0"/>
            </w:pPr>
            <w:r>
              <w:rPr>
                <w:sz w:val="20"/>
                <w:szCs w:val="20"/>
              </w:rPr>
              <w:t>All chart and plot generation</w:t>
            </w:r>
          </w:p>
        </w:tc>
      </w:tr>
      <w:tr w:rsidR="005D0C5D" w14:paraId="0C2A5957" w14:textId="77777777" w:rsidTr="00963D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5786573E" w14:textId="77777777" w:rsidR="005D0C5D" w:rsidRDefault="00000000">
            <w:pPr>
              <w:jc w:val="center"/>
            </w:pPr>
            <w:r>
              <w:rPr>
                <w:sz w:val="20"/>
                <w:szCs w:val="20"/>
              </w:rPr>
              <w:t>Seaborn</w:t>
            </w:r>
          </w:p>
        </w:tc>
        <w:tc>
          <w:tcPr>
            <w:tcW w:w="4500" w:type="dxa"/>
          </w:tcPr>
          <w:p w14:paraId="57CDC5CE" w14:textId="77777777" w:rsidR="005D0C5D" w:rsidRDefault="00000000">
            <w:pPr>
              <w:jc w:val="center"/>
              <w:cnfStyle w:val="000000100000" w:firstRow="0" w:lastRow="0" w:firstColumn="0" w:lastColumn="0" w:oddVBand="0" w:evenVBand="0" w:oddHBand="1" w:evenHBand="0" w:firstRowFirstColumn="0" w:firstRowLastColumn="0" w:lastRowFirstColumn="0" w:lastRowLastColumn="0"/>
            </w:pPr>
            <w:r>
              <w:rPr>
                <w:sz w:val="20"/>
                <w:szCs w:val="20"/>
              </w:rPr>
              <w:t>Enhanced statistical visualizations</w:t>
            </w:r>
          </w:p>
        </w:tc>
      </w:tr>
      <w:tr w:rsidR="005D0C5D" w14:paraId="23744E5C" w14:textId="77777777" w:rsidTr="00963D29">
        <w:tc>
          <w:tcPr>
            <w:cnfStyle w:val="001000000000" w:firstRow="0" w:lastRow="0" w:firstColumn="1" w:lastColumn="0" w:oddVBand="0" w:evenVBand="0" w:oddHBand="0" w:evenHBand="0" w:firstRowFirstColumn="0" w:firstRowLastColumn="0" w:lastRowFirstColumn="0" w:lastRowLastColumn="0"/>
            <w:tcW w:w="4500" w:type="dxa"/>
          </w:tcPr>
          <w:p w14:paraId="4FB2087D" w14:textId="77777777" w:rsidR="005D0C5D" w:rsidRDefault="00000000">
            <w:pPr>
              <w:jc w:val="center"/>
            </w:pPr>
            <w:r>
              <w:rPr>
                <w:sz w:val="20"/>
                <w:szCs w:val="20"/>
              </w:rPr>
              <w:t>SciPy (stats)</w:t>
            </w:r>
          </w:p>
        </w:tc>
        <w:tc>
          <w:tcPr>
            <w:tcW w:w="4500" w:type="dxa"/>
          </w:tcPr>
          <w:p w14:paraId="7BFC91DA" w14:textId="77777777" w:rsidR="005D0C5D" w:rsidRDefault="00000000">
            <w:pPr>
              <w:jc w:val="center"/>
              <w:cnfStyle w:val="000000000000" w:firstRow="0" w:lastRow="0" w:firstColumn="0" w:lastColumn="0" w:oddVBand="0" w:evenVBand="0" w:oddHBand="0" w:evenHBand="0" w:firstRowFirstColumn="0" w:firstRowLastColumn="0" w:lastRowFirstColumn="0" w:lastRowLastColumn="0"/>
            </w:pPr>
            <w:r>
              <w:rPr>
                <w:sz w:val="20"/>
                <w:szCs w:val="20"/>
              </w:rPr>
              <w:t>T-Test and Chi-Square statistical tests</w:t>
            </w:r>
          </w:p>
        </w:tc>
      </w:tr>
      <w:tr w:rsidR="005D0C5D" w14:paraId="44E91450" w14:textId="77777777" w:rsidTr="00963D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3FEEE422" w14:textId="77777777" w:rsidR="005D0C5D" w:rsidRDefault="00000000">
            <w:pPr>
              <w:jc w:val="center"/>
            </w:pPr>
            <w:proofErr w:type="spellStart"/>
            <w:r>
              <w:rPr>
                <w:sz w:val="20"/>
                <w:szCs w:val="20"/>
              </w:rPr>
              <w:t>WordCloud</w:t>
            </w:r>
            <w:proofErr w:type="spellEnd"/>
          </w:p>
        </w:tc>
        <w:tc>
          <w:tcPr>
            <w:tcW w:w="4500" w:type="dxa"/>
          </w:tcPr>
          <w:p w14:paraId="4AB2B57B" w14:textId="77777777" w:rsidR="005D0C5D" w:rsidRDefault="00000000">
            <w:pPr>
              <w:jc w:val="center"/>
              <w:cnfStyle w:val="000000100000" w:firstRow="0" w:lastRow="0" w:firstColumn="0" w:lastColumn="0" w:oddVBand="0" w:evenVBand="0" w:oddHBand="1" w:evenHBand="0" w:firstRowFirstColumn="0" w:firstRowLastColumn="0" w:lastRowFirstColumn="0" w:lastRowLastColumn="0"/>
            </w:pPr>
            <w:r>
              <w:rPr>
                <w:sz w:val="20"/>
                <w:szCs w:val="20"/>
              </w:rPr>
              <w:t>Word Cloud generation from insight text</w:t>
            </w:r>
          </w:p>
        </w:tc>
      </w:tr>
      <w:tr w:rsidR="005D0C5D" w14:paraId="3A8A386B" w14:textId="77777777" w:rsidTr="00963D29">
        <w:tc>
          <w:tcPr>
            <w:cnfStyle w:val="001000000000" w:firstRow="0" w:lastRow="0" w:firstColumn="1" w:lastColumn="0" w:oddVBand="0" w:evenVBand="0" w:oddHBand="0" w:evenHBand="0" w:firstRowFirstColumn="0" w:firstRowLastColumn="0" w:lastRowFirstColumn="0" w:lastRowLastColumn="0"/>
            <w:tcW w:w="4500" w:type="dxa"/>
          </w:tcPr>
          <w:p w14:paraId="3CBD18BB" w14:textId="77777777" w:rsidR="005D0C5D" w:rsidRDefault="00000000">
            <w:pPr>
              <w:jc w:val="center"/>
            </w:pPr>
            <w:proofErr w:type="spellStart"/>
            <w:r>
              <w:rPr>
                <w:sz w:val="20"/>
                <w:szCs w:val="20"/>
              </w:rPr>
              <w:t>OpenPyXL</w:t>
            </w:r>
            <w:proofErr w:type="spellEnd"/>
          </w:p>
        </w:tc>
        <w:tc>
          <w:tcPr>
            <w:tcW w:w="4500" w:type="dxa"/>
          </w:tcPr>
          <w:p w14:paraId="3D6A8557" w14:textId="77777777" w:rsidR="005D0C5D" w:rsidRDefault="00000000">
            <w:pPr>
              <w:jc w:val="center"/>
              <w:cnfStyle w:val="000000000000" w:firstRow="0" w:lastRow="0" w:firstColumn="0" w:lastColumn="0" w:oddVBand="0" w:evenVBand="0" w:oddHBand="0" w:evenHBand="0" w:firstRowFirstColumn="0" w:firstRowLastColumn="0" w:lastRowFirstColumn="0" w:lastRowLastColumn="0"/>
            </w:pPr>
            <w:r>
              <w:rPr>
                <w:sz w:val="20"/>
                <w:szCs w:val="20"/>
              </w:rPr>
              <w:t>Reading the .xlsx dataset file</w:t>
            </w:r>
          </w:p>
        </w:tc>
      </w:tr>
    </w:tbl>
    <w:p w14:paraId="63A3243B" w14:textId="77777777" w:rsidR="005D0C5D" w:rsidRDefault="00000000">
      <w:r>
        <w:br w:type="page"/>
      </w:r>
    </w:p>
    <w:p w14:paraId="04B1D097" w14:textId="77777777" w:rsidR="005D0C5D" w:rsidRPr="00963D29" w:rsidRDefault="00000000">
      <w:pPr>
        <w:pStyle w:val="Heading1"/>
        <w:spacing w:before="320"/>
        <w:rPr>
          <w:color w:val="0D0D0D" w:themeColor="text1" w:themeTint="F2"/>
        </w:rPr>
      </w:pPr>
      <w:r w:rsidRPr="00963D29">
        <w:rPr>
          <w:color w:val="0D0D0D" w:themeColor="text1" w:themeTint="F2"/>
        </w:rPr>
        <w:lastRenderedPageBreak/>
        <w:t>3. Methodology</w:t>
      </w:r>
    </w:p>
    <w:p w14:paraId="349BEC93" w14:textId="77777777" w:rsidR="005D0C5D" w:rsidRDefault="00000000">
      <w:pPr>
        <w:spacing w:after="120"/>
        <w:jc w:val="both"/>
      </w:pPr>
      <w:r>
        <w:t>The project followed a structured, end-to-end data analysis pipeline. Each phase was implemented in Python using Jupyter Notebook, with outputs saved as high-resolution PNG images for inclusion in this report.</w:t>
      </w:r>
    </w:p>
    <w:p w14:paraId="5CCF9453" w14:textId="77777777" w:rsidR="005D0C5D" w:rsidRDefault="005D0C5D">
      <w:pPr>
        <w:spacing w:after="60"/>
      </w:pPr>
    </w:p>
    <w:p w14:paraId="227A1496" w14:textId="77777777" w:rsidR="005D0C5D" w:rsidRPr="00963D29" w:rsidRDefault="00000000">
      <w:pPr>
        <w:pStyle w:val="Heading2"/>
        <w:rPr>
          <w:color w:val="0D0D0D" w:themeColor="text1" w:themeTint="F2"/>
        </w:rPr>
      </w:pPr>
      <w:r w:rsidRPr="00963D29">
        <w:rPr>
          <w:color w:val="0D0D0D" w:themeColor="text1" w:themeTint="F2"/>
        </w:rPr>
        <w:t>Step 1 — Data Loading and Inspection</w:t>
      </w:r>
    </w:p>
    <w:p w14:paraId="40748F91" w14:textId="77777777" w:rsidR="005D0C5D" w:rsidRDefault="00000000">
      <w:pPr>
        <w:spacing w:after="120"/>
        <w:jc w:val="both"/>
      </w:pPr>
      <w:r>
        <w:t xml:space="preserve">The dataset (TWTR.xlsx) was loaded using </w:t>
      </w:r>
      <w:proofErr w:type="spellStart"/>
      <w:proofErr w:type="gramStart"/>
      <w:r>
        <w:t>pd.read</w:t>
      </w:r>
      <w:proofErr w:type="gramEnd"/>
      <w:r>
        <w:t>_</w:t>
      </w:r>
      <w:proofErr w:type="gramStart"/>
      <w:r>
        <w:t>excel</w:t>
      </w:r>
      <w:proofErr w:type="spellEnd"/>
      <w:r>
        <w:t>(</w:t>
      </w:r>
      <w:proofErr w:type="gramEnd"/>
      <w:r>
        <w:t>). The shape, column names, data types, and first 100 rows were examined to understand the structure of the data and identify any immediate quality issues.</w:t>
      </w:r>
    </w:p>
    <w:p w14:paraId="52B475AE" w14:textId="77777777" w:rsidR="005D0C5D" w:rsidRPr="00963D29" w:rsidRDefault="00000000">
      <w:pPr>
        <w:pStyle w:val="Heading2"/>
        <w:rPr>
          <w:color w:val="0D0D0D" w:themeColor="text1" w:themeTint="F2"/>
        </w:rPr>
      </w:pPr>
      <w:r w:rsidRPr="00963D29">
        <w:rPr>
          <w:color w:val="0D0D0D" w:themeColor="text1" w:themeTint="F2"/>
        </w:rPr>
        <w:t>Step 2 — Data Cleaning</w:t>
      </w:r>
    </w:p>
    <w:p w14:paraId="70138367" w14:textId="77777777" w:rsidR="005D0C5D" w:rsidRDefault="00000000">
      <w:pPr>
        <w:spacing w:after="120"/>
        <w:jc w:val="both"/>
      </w:pPr>
      <w:r>
        <w:t xml:space="preserve">A null value check revealed 5 trailing empty rows at the end of the Excel file — a common artefact of Excel exports. These were removed using </w:t>
      </w:r>
      <w:proofErr w:type="spellStart"/>
      <w:proofErr w:type="gramStart"/>
      <w:r>
        <w:t>df.dropna</w:t>
      </w:r>
      <w:proofErr w:type="spellEnd"/>
      <w:proofErr w:type="gramEnd"/>
      <w:r>
        <w:t>(), leaving 2,259 clean records. The index was reset after cleaning to maintain sequential row ordering.</w:t>
      </w:r>
    </w:p>
    <w:p w14:paraId="37A4F58A" w14:textId="77777777" w:rsidR="005D0C5D" w:rsidRDefault="00000000">
      <w:pPr>
        <w:pStyle w:val="Heading2"/>
      </w:pPr>
      <w:r w:rsidRPr="00963D29">
        <w:rPr>
          <w:color w:val="0D0D0D" w:themeColor="text1" w:themeTint="F2"/>
        </w:rPr>
        <w:t>Step 3 — Statistical Description</w:t>
      </w:r>
    </w:p>
    <w:p w14:paraId="4E6C70FF" w14:textId="77777777" w:rsidR="005D0C5D" w:rsidRDefault="00000000">
      <w:pPr>
        <w:spacing w:after="120"/>
        <w:jc w:val="both"/>
      </w:pPr>
      <w:r>
        <w:t xml:space="preserve">The </w:t>
      </w:r>
      <w:proofErr w:type="spellStart"/>
      <w:proofErr w:type="gramStart"/>
      <w:r>
        <w:t>df.describe</w:t>
      </w:r>
      <w:proofErr w:type="spellEnd"/>
      <w:proofErr w:type="gramEnd"/>
      <w:r>
        <w:t>() function was used to compute count, mean, standard deviation, minimum, quartile values (25%, 50%, 75%), and maximum for all numeric columns. A Year column was extracted from the Date field to support year-wise grouping in visualizations.</w:t>
      </w:r>
    </w:p>
    <w:p w14:paraId="3137B384" w14:textId="77777777" w:rsidR="005D0C5D" w:rsidRPr="00963D29" w:rsidRDefault="00000000">
      <w:pPr>
        <w:pStyle w:val="Heading2"/>
        <w:rPr>
          <w:color w:val="0D0D0D" w:themeColor="text1" w:themeTint="F2"/>
        </w:rPr>
      </w:pPr>
      <w:r w:rsidRPr="00963D29">
        <w:rPr>
          <w:color w:val="0D0D0D" w:themeColor="text1" w:themeTint="F2"/>
        </w:rPr>
        <w:t>Step 4 — Statistical Testing</w:t>
      </w:r>
    </w:p>
    <w:p w14:paraId="40EE905E" w14:textId="77777777" w:rsidR="005D0C5D" w:rsidRDefault="00000000">
      <w:pPr>
        <w:spacing w:after="120"/>
        <w:jc w:val="both"/>
      </w:pPr>
      <w:r>
        <w:t xml:space="preserve">Two hypothesis tests were conducted using </w:t>
      </w:r>
      <w:proofErr w:type="spellStart"/>
      <w:proofErr w:type="gramStart"/>
      <w:r>
        <w:t>scipy.stats</w:t>
      </w:r>
      <w:proofErr w:type="spellEnd"/>
      <w:proofErr w:type="gramEnd"/>
      <w:r>
        <w:t>. Independent two-sample T-tests were used to compare the means of price columns. A Chi-Square test was applied after binning Close price and Volume into Low/Mid/High categories, followed by a contingency table analysis.</w:t>
      </w:r>
    </w:p>
    <w:p w14:paraId="1B252F95" w14:textId="77777777" w:rsidR="005D0C5D" w:rsidRDefault="00000000">
      <w:pPr>
        <w:pStyle w:val="Heading2"/>
      </w:pPr>
      <w:r w:rsidRPr="00963D29">
        <w:rPr>
          <w:color w:val="0D0D0D" w:themeColor="text1" w:themeTint="F2"/>
        </w:rPr>
        <w:t>Step 5 — Visualization and Dashboard</w:t>
      </w:r>
    </w:p>
    <w:p w14:paraId="7C9F1AE7" w14:textId="77777777" w:rsidR="005D0C5D" w:rsidRDefault="00000000">
      <w:pPr>
        <w:spacing w:after="120"/>
        <w:jc w:val="both"/>
      </w:pPr>
      <w:r>
        <w:t>Six visualizations were produced using Matplotlib: a multi-line price chart, a Close-vs-Date area plot, year-wise subplots, an annotated full timeline, a Word Cloud, and a 4-panel dashboard. All plots were saved as PNG files at 150 DPI for report-quality output.</w:t>
      </w:r>
    </w:p>
    <w:p w14:paraId="7ED7FD76" w14:textId="77777777" w:rsidR="005D0C5D" w:rsidRDefault="00000000">
      <w:r>
        <w:br w:type="page"/>
      </w:r>
    </w:p>
    <w:p w14:paraId="3F238749" w14:textId="77777777" w:rsidR="005D0C5D" w:rsidRPr="00963D29" w:rsidRDefault="00000000">
      <w:pPr>
        <w:pStyle w:val="Heading1"/>
        <w:spacing w:before="320"/>
        <w:rPr>
          <w:color w:val="0D0D0D" w:themeColor="text1" w:themeTint="F2"/>
        </w:rPr>
      </w:pPr>
      <w:r w:rsidRPr="00963D29">
        <w:rPr>
          <w:color w:val="0D0D0D" w:themeColor="text1" w:themeTint="F2"/>
        </w:rPr>
        <w:lastRenderedPageBreak/>
        <w:t>4. Task 1 — Data Analysis</w:t>
      </w:r>
    </w:p>
    <w:p w14:paraId="5109D941" w14:textId="77777777" w:rsidR="005D0C5D" w:rsidRPr="00963D29" w:rsidRDefault="00000000">
      <w:pPr>
        <w:pStyle w:val="Heading2"/>
        <w:rPr>
          <w:color w:val="0D0D0D" w:themeColor="text1" w:themeTint="F2"/>
        </w:rPr>
      </w:pPr>
      <w:r w:rsidRPr="00963D29">
        <w:rPr>
          <w:color w:val="0D0D0D" w:themeColor="text1" w:themeTint="F2"/>
        </w:rPr>
        <w:t>4.1 Dataset Overview</w:t>
      </w:r>
    </w:p>
    <w:tbl>
      <w:tblPr>
        <w:tblStyle w:val="GridTable4"/>
        <w:tblW w:w="9000" w:type="dxa"/>
        <w:tblLook w:val="04A0" w:firstRow="1" w:lastRow="0" w:firstColumn="1" w:lastColumn="0" w:noHBand="0" w:noVBand="1"/>
      </w:tblPr>
      <w:tblGrid>
        <w:gridCol w:w="4500"/>
        <w:gridCol w:w="4500"/>
      </w:tblGrid>
      <w:tr w:rsidR="005D0C5D" w14:paraId="706290F1" w14:textId="77777777" w:rsidTr="00963D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01E0755F" w14:textId="77777777" w:rsidR="005D0C5D" w:rsidRDefault="00000000">
            <w:pPr>
              <w:jc w:val="center"/>
            </w:pPr>
            <w:r>
              <w:rPr>
                <w:color w:val="FFFFFF"/>
                <w:sz w:val="20"/>
                <w:szCs w:val="20"/>
              </w:rPr>
              <w:t>Parameter</w:t>
            </w:r>
          </w:p>
        </w:tc>
        <w:tc>
          <w:tcPr>
            <w:tcW w:w="4500" w:type="dxa"/>
          </w:tcPr>
          <w:p w14:paraId="1B03806D" w14:textId="77777777" w:rsidR="005D0C5D"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Value</w:t>
            </w:r>
          </w:p>
        </w:tc>
      </w:tr>
      <w:tr w:rsidR="005D0C5D" w14:paraId="7A9D626F" w14:textId="77777777" w:rsidTr="00963D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105F5900" w14:textId="77777777" w:rsidR="005D0C5D" w:rsidRDefault="00000000">
            <w:pPr>
              <w:jc w:val="center"/>
            </w:pPr>
            <w:r>
              <w:rPr>
                <w:sz w:val="20"/>
                <w:szCs w:val="20"/>
              </w:rPr>
              <w:t>File Name</w:t>
            </w:r>
          </w:p>
        </w:tc>
        <w:tc>
          <w:tcPr>
            <w:tcW w:w="4500" w:type="dxa"/>
          </w:tcPr>
          <w:p w14:paraId="34E61AC2" w14:textId="77777777" w:rsidR="005D0C5D" w:rsidRDefault="00000000">
            <w:pPr>
              <w:jc w:val="center"/>
              <w:cnfStyle w:val="000000100000" w:firstRow="0" w:lastRow="0" w:firstColumn="0" w:lastColumn="0" w:oddVBand="0" w:evenVBand="0" w:oddHBand="1" w:evenHBand="0" w:firstRowFirstColumn="0" w:firstRowLastColumn="0" w:lastRowFirstColumn="0" w:lastRowLastColumn="0"/>
            </w:pPr>
            <w:r>
              <w:rPr>
                <w:sz w:val="20"/>
                <w:szCs w:val="20"/>
              </w:rPr>
              <w:t>TWTR.xlsx</w:t>
            </w:r>
          </w:p>
        </w:tc>
      </w:tr>
      <w:tr w:rsidR="005D0C5D" w14:paraId="6B1A7634" w14:textId="77777777" w:rsidTr="00963D29">
        <w:tc>
          <w:tcPr>
            <w:cnfStyle w:val="001000000000" w:firstRow="0" w:lastRow="0" w:firstColumn="1" w:lastColumn="0" w:oddVBand="0" w:evenVBand="0" w:oddHBand="0" w:evenHBand="0" w:firstRowFirstColumn="0" w:firstRowLastColumn="0" w:lastRowFirstColumn="0" w:lastRowLastColumn="0"/>
            <w:tcW w:w="4500" w:type="dxa"/>
          </w:tcPr>
          <w:p w14:paraId="02D633FD" w14:textId="77777777" w:rsidR="005D0C5D" w:rsidRDefault="00000000">
            <w:pPr>
              <w:jc w:val="center"/>
            </w:pPr>
            <w:r>
              <w:rPr>
                <w:sz w:val="20"/>
                <w:szCs w:val="20"/>
              </w:rPr>
              <w:t>Total Rows (raw)</w:t>
            </w:r>
          </w:p>
        </w:tc>
        <w:tc>
          <w:tcPr>
            <w:tcW w:w="4500" w:type="dxa"/>
          </w:tcPr>
          <w:p w14:paraId="6E952788" w14:textId="77777777" w:rsidR="005D0C5D" w:rsidRDefault="00000000">
            <w:pPr>
              <w:jc w:val="center"/>
              <w:cnfStyle w:val="000000000000" w:firstRow="0" w:lastRow="0" w:firstColumn="0" w:lastColumn="0" w:oddVBand="0" w:evenVBand="0" w:oddHBand="0" w:evenHBand="0" w:firstRowFirstColumn="0" w:firstRowLastColumn="0" w:lastRowFirstColumn="0" w:lastRowLastColumn="0"/>
            </w:pPr>
            <w:r>
              <w:rPr>
                <w:sz w:val="20"/>
                <w:szCs w:val="20"/>
              </w:rPr>
              <w:t>2,264</w:t>
            </w:r>
          </w:p>
        </w:tc>
      </w:tr>
      <w:tr w:rsidR="005D0C5D" w14:paraId="32B8744A" w14:textId="77777777" w:rsidTr="00963D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7135AC16" w14:textId="77777777" w:rsidR="005D0C5D" w:rsidRDefault="00000000">
            <w:pPr>
              <w:jc w:val="center"/>
            </w:pPr>
            <w:r>
              <w:rPr>
                <w:sz w:val="20"/>
                <w:szCs w:val="20"/>
              </w:rPr>
              <w:t>Total Columns</w:t>
            </w:r>
          </w:p>
        </w:tc>
        <w:tc>
          <w:tcPr>
            <w:tcW w:w="4500" w:type="dxa"/>
          </w:tcPr>
          <w:p w14:paraId="3317CA4B" w14:textId="77777777" w:rsidR="005D0C5D" w:rsidRDefault="00000000">
            <w:pPr>
              <w:jc w:val="center"/>
              <w:cnfStyle w:val="000000100000" w:firstRow="0" w:lastRow="0" w:firstColumn="0" w:lastColumn="0" w:oddVBand="0" w:evenVBand="0" w:oddHBand="1" w:evenHBand="0" w:firstRowFirstColumn="0" w:firstRowLastColumn="0" w:lastRowFirstColumn="0" w:lastRowLastColumn="0"/>
            </w:pPr>
            <w:r>
              <w:rPr>
                <w:sz w:val="20"/>
                <w:szCs w:val="20"/>
              </w:rPr>
              <w:t>7</w:t>
            </w:r>
          </w:p>
        </w:tc>
      </w:tr>
      <w:tr w:rsidR="005D0C5D" w14:paraId="746EBC0D" w14:textId="77777777" w:rsidTr="00963D29">
        <w:tc>
          <w:tcPr>
            <w:cnfStyle w:val="001000000000" w:firstRow="0" w:lastRow="0" w:firstColumn="1" w:lastColumn="0" w:oddVBand="0" w:evenVBand="0" w:oddHBand="0" w:evenHBand="0" w:firstRowFirstColumn="0" w:firstRowLastColumn="0" w:lastRowFirstColumn="0" w:lastRowLastColumn="0"/>
            <w:tcW w:w="4500" w:type="dxa"/>
          </w:tcPr>
          <w:p w14:paraId="69521AF0" w14:textId="77777777" w:rsidR="005D0C5D" w:rsidRDefault="00000000">
            <w:pPr>
              <w:jc w:val="center"/>
            </w:pPr>
            <w:r>
              <w:rPr>
                <w:sz w:val="20"/>
                <w:szCs w:val="20"/>
              </w:rPr>
              <w:t>Valid Rows (after cleaning)</w:t>
            </w:r>
          </w:p>
        </w:tc>
        <w:tc>
          <w:tcPr>
            <w:tcW w:w="4500" w:type="dxa"/>
          </w:tcPr>
          <w:p w14:paraId="0DE06426" w14:textId="77777777" w:rsidR="005D0C5D" w:rsidRDefault="00000000">
            <w:pPr>
              <w:jc w:val="center"/>
              <w:cnfStyle w:val="000000000000" w:firstRow="0" w:lastRow="0" w:firstColumn="0" w:lastColumn="0" w:oddVBand="0" w:evenVBand="0" w:oddHBand="0" w:evenHBand="0" w:firstRowFirstColumn="0" w:firstRowLastColumn="0" w:lastRowFirstColumn="0" w:lastRowLastColumn="0"/>
            </w:pPr>
            <w:r>
              <w:rPr>
                <w:sz w:val="20"/>
                <w:szCs w:val="20"/>
              </w:rPr>
              <w:t>2,259</w:t>
            </w:r>
          </w:p>
        </w:tc>
      </w:tr>
      <w:tr w:rsidR="005D0C5D" w14:paraId="2D799162" w14:textId="77777777" w:rsidTr="00963D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57312C0B" w14:textId="77777777" w:rsidR="005D0C5D" w:rsidRDefault="00000000">
            <w:pPr>
              <w:jc w:val="center"/>
            </w:pPr>
            <w:r>
              <w:rPr>
                <w:sz w:val="20"/>
                <w:szCs w:val="20"/>
              </w:rPr>
              <w:t>Null Rows Removed</w:t>
            </w:r>
          </w:p>
        </w:tc>
        <w:tc>
          <w:tcPr>
            <w:tcW w:w="4500" w:type="dxa"/>
          </w:tcPr>
          <w:p w14:paraId="14737C70" w14:textId="77777777" w:rsidR="005D0C5D" w:rsidRDefault="00000000">
            <w:pPr>
              <w:jc w:val="center"/>
              <w:cnfStyle w:val="000000100000" w:firstRow="0" w:lastRow="0" w:firstColumn="0" w:lastColumn="0" w:oddVBand="0" w:evenVBand="0" w:oddHBand="1" w:evenHBand="0" w:firstRowFirstColumn="0" w:firstRowLastColumn="0" w:lastRowFirstColumn="0" w:lastRowLastColumn="0"/>
            </w:pPr>
            <w:r>
              <w:rPr>
                <w:sz w:val="20"/>
                <w:szCs w:val="20"/>
              </w:rPr>
              <w:t>5</w:t>
            </w:r>
          </w:p>
        </w:tc>
      </w:tr>
      <w:tr w:rsidR="005D0C5D" w14:paraId="74363D5C" w14:textId="77777777" w:rsidTr="00963D29">
        <w:tc>
          <w:tcPr>
            <w:cnfStyle w:val="001000000000" w:firstRow="0" w:lastRow="0" w:firstColumn="1" w:lastColumn="0" w:oddVBand="0" w:evenVBand="0" w:oddHBand="0" w:evenHBand="0" w:firstRowFirstColumn="0" w:firstRowLastColumn="0" w:lastRowFirstColumn="0" w:lastRowLastColumn="0"/>
            <w:tcW w:w="4500" w:type="dxa"/>
          </w:tcPr>
          <w:p w14:paraId="2BCB1506" w14:textId="77777777" w:rsidR="005D0C5D" w:rsidRDefault="00000000">
            <w:pPr>
              <w:jc w:val="center"/>
            </w:pPr>
            <w:r>
              <w:rPr>
                <w:sz w:val="20"/>
                <w:szCs w:val="20"/>
              </w:rPr>
              <w:t>Date Range</w:t>
            </w:r>
          </w:p>
        </w:tc>
        <w:tc>
          <w:tcPr>
            <w:tcW w:w="4500" w:type="dxa"/>
          </w:tcPr>
          <w:p w14:paraId="28F25867" w14:textId="77777777" w:rsidR="005D0C5D" w:rsidRDefault="00000000">
            <w:pPr>
              <w:jc w:val="center"/>
              <w:cnfStyle w:val="000000000000" w:firstRow="0" w:lastRow="0" w:firstColumn="0" w:lastColumn="0" w:oddVBand="0" w:evenVBand="0" w:oddHBand="0" w:evenHBand="0" w:firstRowFirstColumn="0" w:firstRowLastColumn="0" w:lastRowFirstColumn="0" w:lastRowLastColumn="0"/>
            </w:pPr>
            <w:r>
              <w:rPr>
                <w:sz w:val="20"/>
                <w:szCs w:val="20"/>
              </w:rPr>
              <w:t>01 Jan 2018 – 08 Mar 2024</w:t>
            </w:r>
          </w:p>
        </w:tc>
      </w:tr>
      <w:tr w:rsidR="005D0C5D" w14:paraId="34238716" w14:textId="77777777" w:rsidTr="00963D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5FDCD95F" w14:textId="77777777" w:rsidR="005D0C5D" w:rsidRDefault="00000000">
            <w:pPr>
              <w:jc w:val="center"/>
            </w:pPr>
            <w:r>
              <w:rPr>
                <w:sz w:val="20"/>
                <w:szCs w:val="20"/>
              </w:rPr>
              <w:t>Stock Ticker</w:t>
            </w:r>
          </w:p>
        </w:tc>
        <w:tc>
          <w:tcPr>
            <w:tcW w:w="4500" w:type="dxa"/>
          </w:tcPr>
          <w:p w14:paraId="368C0188" w14:textId="77777777" w:rsidR="005D0C5D" w:rsidRDefault="00000000">
            <w:pPr>
              <w:jc w:val="center"/>
              <w:cnfStyle w:val="000000100000" w:firstRow="0" w:lastRow="0" w:firstColumn="0" w:lastColumn="0" w:oddVBand="0" w:evenVBand="0" w:oddHBand="1" w:evenHBand="0" w:firstRowFirstColumn="0" w:firstRowLastColumn="0" w:lastRowFirstColumn="0" w:lastRowLastColumn="0"/>
            </w:pPr>
            <w:r>
              <w:rPr>
                <w:sz w:val="20"/>
                <w:szCs w:val="20"/>
              </w:rPr>
              <w:t>TWTR (Twitter, Inc.)</w:t>
            </w:r>
          </w:p>
        </w:tc>
      </w:tr>
      <w:tr w:rsidR="005D0C5D" w14:paraId="2679AE66" w14:textId="77777777" w:rsidTr="00963D29">
        <w:tc>
          <w:tcPr>
            <w:cnfStyle w:val="001000000000" w:firstRow="0" w:lastRow="0" w:firstColumn="1" w:lastColumn="0" w:oddVBand="0" w:evenVBand="0" w:oddHBand="0" w:evenHBand="0" w:firstRowFirstColumn="0" w:firstRowLastColumn="0" w:lastRowFirstColumn="0" w:lastRowLastColumn="0"/>
            <w:tcW w:w="4500" w:type="dxa"/>
          </w:tcPr>
          <w:p w14:paraId="5202382C" w14:textId="77777777" w:rsidR="005D0C5D" w:rsidRDefault="00000000">
            <w:pPr>
              <w:jc w:val="center"/>
            </w:pPr>
            <w:r>
              <w:rPr>
                <w:sz w:val="20"/>
                <w:szCs w:val="20"/>
              </w:rPr>
              <w:t>Exchange</w:t>
            </w:r>
          </w:p>
        </w:tc>
        <w:tc>
          <w:tcPr>
            <w:tcW w:w="4500" w:type="dxa"/>
          </w:tcPr>
          <w:p w14:paraId="3A31E061" w14:textId="77777777" w:rsidR="005D0C5D" w:rsidRDefault="00000000">
            <w:pPr>
              <w:jc w:val="center"/>
              <w:cnfStyle w:val="000000000000" w:firstRow="0" w:lastRow="0" w:firstColumn="0" w:lastColumn="0" w:oddVBand="0" w:evenVBand="0" w:oddHBand="0" w:evenHBand="0" w:firstRowFirstColumn="0" w:firstRowLastColumn="0" w:lastRowFirstColumn="0" w:lastRowLastColumn="0"/>
            </w:pPr>
            <w:r>
              <w:rPr>
                <w:sz w:val="20"/>
                <w:szCs w:val="20"/>
              </w:rPr>
              <w:t>NYSE (delisted Oct 2022)</w:t>
            </w:r>
          </w:p>
        </w:tc>
      </w:tr>
    </w:tbl>
    <w:p w14:paraId="25244BA2" w14:textId="77777777" w:rsidR="005D0C5D" w:rsidRDefault="005D0C5D">
      <w:pPr>
        <w:spacing w:after="60"/>
      </w:pPr>
    </w:p>
    <w:p w14:paraId="7C7651C0" w14:textId="77777777" w:rsidR="005D0C5D" w:rsidRPr="00DB34FC" w:rsidRDefault="00000000">
      <w:pPr>
        <w:pStyle w:val="Heading2"/>
        <w:rPr>
          <w:color w:val="0D0D0D" w:themeColor="text1" w:themeTint="F2"/>
        </w:rPr>
      </w:pPr>
      <w:r w:rsidRPr="00DB34FC">
        <w:rPr>
          <w:color w:val="0D0D0D" w:themeColor="text1" w:themeTint="F2"/>
        </w:rPr>
        <w:t>4.2 Column Insights</w:t>
      </w:r>
    </w:p>
    <w:tbl>
      <w:tblPr>
        <w:tblStyle w:val="GridTable4"/>
        <w:tblW w:w="9000" w:type="dxa"/>
        <w:tblLook w:val="04A0" w:firstRow="1" w:lastRow="0" w:firstColumn="1" w:lastColumn="0" w:noHBand="0" w:noVBand="1"/>
      </w:tblPr>
      <w:tblGrid>
        <w:gridCol w:w="2250"/>
        <w:gridCol w:w="2250"/>
        <w:gridCol w:w="2250"/>
        <w:gridCol w:w="2250"/>
      </w:tblGrid>
      <w:tr w:rsidR="005D0C5D" w14:paraId="6639EB45" w14:textId="77777777" w:rsidTr="00DB34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622B3307" w14:textId="77777777" w:rsidR="005D0C5D" w:rsidRDefault="00000000">
            <w:pPr>
              <w:jc w:val="center"/>
            </w:pPr>
            <w:r>
              <w:rPr>
                <w:color w:val="FFFFFF"/>
                <w:sz w:val="20"/>
                <w:szCs w:val="20"/>
              </w:rPr>
              <w:t>Column</w:t>
            </w:r>
          </w:p>
        </w:tc>
        <w:tc>
          <w:tcPr>
            <w:tcW w:w="2250" w:type="dxa"/>
          </w:tcPr>
          <w:p w14:paraId="2E516C2F" w14:textId="77777777" w:rsidR="005D0C5D"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Data Type</w:t>
            </w:r>
          </w:p>
        </w:tc>
        <w:tc>
          <w:tcPr>
            <w:tcW w:w="2250" w:type="dxa"/>
          </w:tcPr>
          <w:p w14:paraId="04B01C59" w14:textId="77777777" w:rsidR="005D0C5D"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Description</w:t>
            </w:r>
          </w:p>
        </w:tc>
        <w:tc>
          <w:tcPr>
            <w:tcW w:w="2250" w:type="dxa"/>
          </w:tcPr>
          <w:p w14:paraId="733C2A91" w14:textId="77777777" w:rsidR="005D0C5D"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Range</w:t>
            </w:r>
          </w:p>
        </w:tc>
      </w:tr>
      <w:tr w:rsidR="005D0C5D" w14:paraId="22CEE24B" w14:textId="77777777" w:rsidTr="00DB34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570393CD" w14:textId="77777777" w:rsidR="005D0C5D" w:rsidRDefault="00000000">
            <w:pPr>
              <w:jc w:val="center"/>
            </w:pPr>
            <w:r>
              <w:rPr>
                <w:sz w:val="20"/>
                <w:szCs w:val="20"/>
              </w:rPr>
              <w:t>Date</w:t>
            </w:r>
          </w:p>
        </w:tc>
        <w:tc>
          <w:tcPr>
            <w:tcW w:w="2250" w:type="dxa"/>
          </w:tcPr>
          <w:p w14:paraId="3F4A023A" w14:textId="77777777" w:rsidR="005D0C5D" w:rsidRDefault="00000000">
            <w:pPr>
              <w:jc w:val="center"/>
              <w:cnfStyle w:val="000000100000" w:firstRow="0" w:lastRow="0" w:firstColumn="0" w:lastColumn="0" w:oddVBand="0" w:evenVBand="0" w:oddHBand="1" w:evenHBand="0" w:firstRowFirstColumn="0" w:firstRowLastColumn="0" w:lastRowFirstColumn="0" w:lastRowLastColumn="0"/>
            </w:pPr>
            <w:r>
              <w:rPr>
                <w:sz w:val="20"/>
                <w:szCs w:val="20"/>
              </w:rPr>
              <w:t>datetime64</w:t>
            </w:r>
          </w:p>
        </w:tc>
        <w:tc>
          <w:tcPr>
            <w:tcW w:w="2250" w:type="dxa"/>
          </w:tcPr>
          <w:p w14:paraId="15445459" w14:textId="77777777" w:rsidR="005D0C5D" w:rsidRDefault="00000000">
            <w:pPr>
              <w:jc w:val="center"/>
              <w:cnfStyle w:val="000000100000" w:firstRow="0" w:lastRow="0" w:firstColumn="0" w:lastColumn="0" w:oddVBand="0" w:evenVBand="0" w:oddHBand="1" w:evenHBand="0" w:firstRowFirstColumn="0" w:firstRowLastColumn="0" w:lastRowFirstColumn="0" w:lastRowLastColumn="0"/>
            </w:pPr>
            <w:r>
              <w:rPr>
                <w:sz w:val="20"/>
                <w:szCs w:val="20"/>
              </w:rPr>
              <w:t>Trading date</w:t>
            </w:r>
          </w:p>
        </w:tc>
        <w:tc>
          <w:tcPr>
            <w:tcW w:w="2250" w:type="dxa"/>
          </w:tcPr>
          <w:p w14:paraId="796495AC" w14:textId="77777777" w:rsidR="005D0C5D" w:rsidRDefault="00000000">
            <w:pPr>
              <w:jc w:val="center"/>
              <w:cnfStyle w:val="000000100000" w:firstRow="0" w:lastRow="0" w:firstColumn="0" w:lastColumn="0" w:oddVBand="0" w:evenVBand="0" w:oddHBand="1" w:evenHBand="0" w:firstRowFirstColumn="0" w:firstRowLastColumn="0" w:lastRowFirstColumn="0" w:lastRowLastColumn="0"/>
            </w:pPr>
            <w:r>
              <w:rPr>
                <w:sz w:val="20"/>
                <w:szCs w:val="20"/>
              </w:rPr>
              <w:t>Jan 2018 – Mar 2024</w:t>
            </w:r>
          </w:p>
        </w:tc>
      </w:tr>
      <w:tr w:rsidR="005D0C5D" w14:paraId="39188CD4" w14:textId="77777777" w:rsidTr="00DB34FC">
        <w:tc>
          <w:tcPr>
            <w:cnfStyle w:val="001000000000" w:firstRow="0" w:lastRow="0" w:firstColumn="1" w:lastColumn="0" w:oddVBand="0" w:evenVBand="0" w:oddHBand="0" w:evenHBand="0" w:firstRowFirstColumn="0" w:firstRowLastColumn="0" w:lastRowFirstColumn="0" w:lastRowLastColumn="0"/>
            <w:tcW w:w="2250" w:type="dxa"/>
          </w:tcPr>
          <w:p w14:paraId="75CC25FE" w14:textId="77777777" w:rsidR="005D0C5D" w:rsidRDefault="00000000">
            <w:pPr>
              <w:jc w:val="center"/>
            </w:pPr>
            <w:r>
              <w:rPr>
                <w:sz w:val="20"/>
                <w:szCs w:val="20"/>
              </w:rPr>
              <w:t>Open</w:t>
            </w:r>
          </w:p>
        </w:tc>
        <w:tc>
          <w:tcPr>
            <w:tcW w:w="2250" w:type="dxa"/>
          </w:tcPr>
          <w:p w14:paraId="33DA7DCE" w14:textId="77777777" w:rsidR="005D0C5D" w:rsidRDefault="00000000">
            <w:pPr>
              <w:jc w:val="center"/>
              <w:cnfStyle w:val="000000000000" w:firstRow="0" w:lastRow="0" w:firstColumn="0" w:lastColumn="0" w:oddVBand="0" w:evenVBand="0" w:oddHBand="0" w:evenHBand="0" w:firstRowFirstColumn="0" w:firstRowLastColumn="0" w:lastRowFirstColumn="0" w:lastRowLastColumn="0"/>
            </w:pPr>
            <w:r>
              <w:rPr>
                <w:sz w:val="20"/>
                <w:szCs w:val="20"/>
              </w:rPr>
              <w:t>float64</w:t>
            </w:r>
          </w:p>
        </w:tc>
        <w:tc>
          <w:tcPr>
            <w:tcW w:w="2250" w:type="dxa"/>
          </w:tcPr>
          <w:p w14:paraId="60191D7A" w14:textId="77777777" w:rsidR="005D0C5D" w:rsidRDefault="00000000">
            <w:pPr>
              <w:jc w:val="center"/>
              <w:cnfStyle w:val="000000000000" w:firstRow="0" w:lastRow="0" w:firstColumn="0" w:lastColumn="0" w:oddVBand="0" w:evenVBand="0" w:oddHBand="0" w:evenHBand="0" w:firstRowFirstColumn="0" w:firstRowLastColumn="0" w:lastRowFirstColumn="0" w:lastRowLastColumn="0"/>
            </w:pPr>
            <w:r>
              <w:rPr>
                <w:sz w:val="20"/>
                <w:szCs w:val="20"/>
              </w:rPr>
              <w:t>Opening price (USD)</w:t>
            </w:r>
          </w:p>
        </w:tc>
        <w:tc>
          <w:tcPr>
            <w:tcW w:w="2250" w:type="dxa"/>
          </w:tcPr>
          <w:p w14:paraId="3E8CC2C3" w14:textId="77777777" w:rsidR="005D0C5D" w:rsidRDefault="00000000">
            <w:pPr>
              <w:jc w:val="center"/>
              <w:cnfStyle w:val="000000000000" w:firstRow="0" w:lastRow="0" w:firstColumn="0" w:lastColumn="0" w:oddVBand="0" w:evenVBand="0" w:oddHBand="0" w:evenHBand="0" w:firstRowFirstColumn="0" w:firstRowLastColumn="0" w:lastRowFirstColumn="0" w:lastRowLastColumn="0"/>
            </w:pPr>
            <w:r>
              <w:rPr>
                <w:sz w:val="20"/>
                <w:szCs w:val="20"/>
              </w:rPr>
              <w:t>$13.95 – $78.36</w:t>
            </w:r>
          </w:p>
        </w:tc>
      </w:tr>
      <w:tr w:rsidR="005D0C5D" w14:paraId="0BBD00CD" w14:textId="77777777" w:rsidTr="00DB34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7DDF809F" w14:textId="77777777" w:rsidR="005D0C5D" w:rsidRDefault="00000000">
            <w:pPr>
              <w:jc w:val="center"/>
            </w:pPr>
            <w:r>
              <w:rPr>
                <w:sz w:val="20"/>
                <w:szCs w:val="20"/>
              </w:rPr>
              <w:t>High</w:t>
            </w:r>
          </w:p>
        </w:tc>
        <w:tc>
          <w:tcPr>
            <w:tcW w:w="2250" w:type="dxa"/>
          </w:tcPr>
          <w:p w14:paraId="02564B47" w14:textId="77777777" w:rsidR="005D0C5D" w:rsidRDefault="00000000">
            <w:pPr>
              <w:jc w:val="center"/>
              <w:cnfStyle w:val="000000100000" w:firstRow="0" w:lastRow="0" w:firstColumn="0" w:lastColumn="0" w:oddVBand="0" w:evenVBand="0" w:oddHBand="1" w:evenHBand="0" w:firstRowFirstColumn="0" w:firstRowLastColumn="0" w:lastRowFirstColumn="0" w:lastRowLastColumn="0"/>
            </w:pPr>
            <w:r>
              <w:rPr>
                <w:sz w:val="20"/>
                <w:szCs w:val="20"/>
              </w:rPr>
              <w:t>float64</w:t>
            </w:r>
          </w:p>
        </w:tc>
        <w:tc>
          <w:tcPr>
            <w:tcW w:w="2250" w:type="dxa"/>
          </w:tcPr>
          <w:p w14:paraId="43928B7B" w14:textId="77777777" w:rsidR="005D0C5D" w:rsidRDefault="00000000">
            <w:pPr>
              <w:jc w:val="center"/>
              <w:cnfStyle w:val="000000100000" w:firstRow="0" w:lastRow="0" w:firstColumn="0" w:lastColumn="0" w:oddVBand="0" w:evenVBand="0" w:oddHBand="1" w:evenHBand="0" w:firstRowFirstColumn="0" w:firstRowLastColumn="0" w:lastRowFirstColumn="0" w:lastRowLastColumn="0"/>
            </w:pPr>
            <w:r>
              <w:rPr>
                <w:sz w:val="20"/>
                <w:szCs w:val="20"/>
              </w:rPr>
              <w:t>Intraday high price (USD)</w:t>
            </w:r>
          </w:p>
        </w:tc>
        <w:tc>
          <w:tcPr>
            <w:tcW w:w="2250" w:type="dxa"/>
          </w:tcPr>
          <w:p w14:paraId="67FDB95D" w14:textId="77777777" w:rsidR="005D0C5D" w:rsidRDefault="00000000">
            <w:pPr>
              <w:jc w:val="center"/>
              <w:cnfStyle w:val="000000100000" w:firstRow="0" w:lastRow="0" w:firstColumn="0" w:lastColumn="0" w:oddVBand="0" w:evenVBand="0" w:oddHBand="1" w:evenHBand="0" w:firstRowFirstColumn="0" w:firstRowLastColumn="0" w:lastRowFirstColumn="0" w:lastRowLastColumn="0"/>
            </w:pPr>
            <w:r>
              <w:rPr>
                <w:sz w:val="20"/>
                <w:szCs w:val="20"/>
              </w:rPr>
              <w:t>$14.22 – $80.75</w:t>
            </w:r>
          </w:p>
        </w:tc>
      </w:tr>
      <w:tr w:rsidR="005D0C5D" w14:paraId="47339759" w14:textId="77777777" w:rsidTr="00DB34FC">
        <w:tc>
          <w:tcPr>
            <w:cnfStyle w:val="001000000000" w:firstRow="0" w:lastRow="0" w:firstColumn="1" w:lastColumn="0" w:oddVBand="0" w:evenVBand="0" w:oddHBand="0" w:evenHBand="0" w:firstRowFirstColumn="0" w:firstRowLastColumn="0" w:lastRowFirstColumn="0" w:lastRowLastColumn="0"/>
            <w:tcW w:w="2250" w:type="dxa"/>
          </w:tcPr>
          <w:p w14:paraId="6CD46E0B" w14:textId="77777777" w:rsidR="005D0C5D" w:rsidRDefault="00000000">
            <w:pPr>
              <w:jc w:val="center"/>
            </w:pPr>
            <w:r>
              <w:rPr>
                <w:sz w:val="20"/>
                <w:szCs w:val="20"/>
              </w:rPr>
              <w:t>Low</w:t>
            </w:r>
          </w:p>
        </w:tc>
        <w:tc>
          <w:tcPr>
            <w:tcW w:w="2250" w:type="dxa"/>
          </w:tcPr>
          <w:p w14:paraId="2C8E9754" w14:textId="77777777" w:rsidR="005D0C5D" w:rsidRDefault="00000000">
            <w:pPr>
              <w:jc w:val="center"/>
              <w:cnfStyle w:val="000000000000" w:firstRow="0" w:lastRow="0" w:firstColumn="0" w:lastColumn="0" w:oddVBand="0" w:evenVBand="0" w:oddHBand="0" w:evenHBand="0" w:firstRowFirstColumn="0" w:firstRowLastColumn="0" w:lastRowFirstColumn="0" w:lastRowLastColumn="0"/>
            </w:pPr>
            <w:r>
              <w:rPr>
                <w:sz w:val="20"/>
                <w:szCs w:val="20"/>
              </w:rPr>
              <w:t>float64</w:t>
            </w:r>
          </w:p>
        </w:tc>
        <w:tc>
          <w:tcPr>
            <w:tcW w:w="2250" w:type="dxa"/>
          </w:tcPr>
          <w:p w14:paraId="75504AC1" w14:textId="77777777" w:rsidR="005D0C5D" w:rsidRDefault="00000000">
            <w:pPr>
              <w:jc w:val="center"/>
              <w:cnfStyle w:val="000000000000" w:firstRow="0" w:lastRow="0" w:firstColumn="0" w:lastColumn="0" w:oddVBand="0" w:evenVBand="0" w:oddHBand="0" w:evenHBand="0" w:firstRowFirstColumn="0" w:firstRowLastColumn="0" w:lastRowFirstColumn="0" w:lastRowLastColumn="0"/>
            </w:pPr>
            <w:r>
              <w:rPr>
                <w:sz w:val="20"/>
                <w:szCs w:val="20"/>
              </w:rPr>
              <w:t>Intraday low price (USD)</w:t>
            </w:r>
          </w:p>
        </w:tc>
        <w:tc>
          <w:tcPr>
            <w:tcW w:w="2250" w:type="dxa"/>
          </w:tcPr>
          <w:p w14:paraId="2450B4C4" w14:textId="77777777" w:rsidR="005D0C5D" w:rsidRDefault="00000000">
            <w:pPr>
              <w:jc w:val="center"/>
              <w:cnfStyle w:val="000000000000" w:firstRow="0" w:lastRow="0" w:firstColumn="0" w:lastColumn="0" w:oddVBand="0" w:evenVBand="0" w:oddHBand="0" w:evenHBand="0" w:firstRowFirstColumn="0" w:firstRowLastColumn="0" w:lastRowFirstColumn="0" w:lastRowLastColumn="0"/>
            </w:pPr>
            <w:r>
              <w:rPr>
                <w:sz w:val="20"/>
                <w:szCs w:val="20"/>
              </w:rPr>
              <w:t>$13.73 – $76.05</w:t>
            </w:r>
          </w:p>
        </w:tc>
      </w:tr>
      <w:tr w:rsidR="005D0C5D" w14:paraId="39968F4D" w14:textId="77777777" w:rsidTr="00DB34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21420A80" w14:textId="77777777" w:rsidR="005D0C5D" w:rsidRDefault="00000000">
            <w:pPr>
              <w:jc w:val="center"/>
            </w:pPr>
            <w:r>
              <w:rPr>
                <w:sz w:val="20"/>
                <w:szCs w:val="20"/>
              </w:rPr>
              <w:t>Close</w:t>
            </w:r>
          </w:p>
        </w:tc>
        <w:tc>
          <w:tcPr>
            <w:tcW w:w="2250" w:type="dxa"/>
          </w:tcPr>
          <w:p w14:paraId="7D9989D1" w14:textId="77777777" w:rsidR="005D0C5D" w:rsidRDefault="00000000">
            <w:pPr>
              <w:jc w:val="center"/>
              <w:cnfStyle w:val="000000100000" w:firstRow="0" w:lastRow="0" w:firstColumn="0" w:lastColumn="0" w:oddVBand="0" w:evenVBand="0" w:oddHBand="1" w:evenHBand="0" w:firstRowFirstColumn="0" w:firstRowLastColumn="0" w:lastRowFirstColumn="0" w:lastRowLastColumn="0"/>
            </w:pPr>
            <w:r>
              <w:rPr>
                <w:sz w:val="20"/>
                <w:szCs w:val="20"/>
              </w:rPr>
              <w:t>float64</w:t>
            </w:r>
          </w:p>
        </w:tc>
        <w:tc>
          <w:tcPr>
            <w:tcW w:w="2250" w:type="dxa"/>
          </w:tcPr>
          <w:p w14:paraId="06491569" w14:textId="77777777" w:rsidR="005D0C5D" w:rsidRDefault="00000000">
            <w:pPr>
              <w:jc w:val="center"/>
              <w:cnfStyle w:val="000000100000" w:firstRow="0" w:lastRow="0" w:firstColumn="0" w:lastColumn="0" w:oddVBand="0" w:evenVBand="0" w:oddHBand="1" w:evenHBand="0" w:firstRowFirstColumn="0" w:firstRowLastColumn="0" w:lastRowFirstColumn="0" w:lastRowLastColumn="0"/>
            </w:pPr>
            <w:r>
              <w:rPr>
                <w:sz w:val="20"/>
                <w:szCs w:val="20"/>
              </w:rPr>
              <w:t>Closing price (USD)</w:t>
            </w:r>
          </w:p>
        </w:tc>
        <w:tc>
          <w:tcPr>
            <w:tcW w:w="2250" w:type="dxa"/>
          </w:tcPr>
          <w:p w14:paraId="3CC701A3" w14:textId="77777777" w:rsidR="005D0C5D" w:rsidRDefault="00000000">
            <w:pPr>
              <w:jc w:val="center"/>
              <w:cnfStyle w:val="000000100000" w:firstRow="0" w:lastRow="0" w:firstColumn="0" w:lastColumn="0" w:oddVBand="0" w:evenVBand="0" w:oddHBand="1" w:evenHBand="0" w:firstRowFirstColumn="0" w:firstRowLastColumn="0" w:lastRowFirstColumn="0" w:lastRowLastColumn="0"/>
            </w:pPr>
            <w:r>
              <w:rPr>
                <w:sz w:val="20"/>
                <w:szCs w:val="20"/>
              </w:rPr>
              <w:t>$14.01 – $77.63</w:t>
            </w:r>
          </w:p>
        </w:tc>
      </w:tr>
      <w:tr w:rsidR="005D0C5D" w14:paraId="0729B909" w14:textId="77777777" w:rsidTr="00DB34FC">
        <w:tc>
          <w:tcPr>
            <w:cnfStyle w:val="001000000000" w:firstRow="0" w:lastRow="0" w:firstColumn="1" w:lastColumn="0" w:oddVBand="0" w:evenVBand="0" w:oddHBand="0" w:evenHBand="0" w:firstRowFirstColumn="0" w:firstRowLastColumn="0" w:lastRowFirstColumn="0" w:lastRowLastColumn="0"/>
            <w:tcW w:w="2250" w:type="dxa"/>
          </w:tcPr>
          <w:p w14:paraId="60044294" w14:textId="77777777" w:rsidR="005D0C5D" w:rsidRDefault="00000000">
            <w:pPr>
              <w:jc w:val="center"/>
            </w:pPr>
            <w:proofErr w:type="spellStart"/>
            <w:r>
              <w:rPr>
                <w:sz w:val="20"/>
                <w:szCs w:val="20"/>
              </w:rPr>
              <w:t>Adj</w:t>
            </w:r>
            <w:proofErr w:type="spellEnd"/>
            <w:r>
              <w:rPr>
                <w:sz w:val="20"/>
                <w:szCs w:val="20"/>
              </w:rPr>
              <w:t xml:space="preserve"> Close</w:t>
            </w:r>
          </w:p>
        </w:tc>
        <w:tc>
          <w:tcPr>
            <w:tcW w:w="2250" w:type="dxa"/>
          </w:tcPr>
          <w:p w14:paraId="1E7B1E28" w14:textId="77777777" w:rsidR="005D0C5D" w:rsidRDefault="00000000">
            <w:pPr>
              <w:jc w:val="center"/>
              <w:cnfStyle w:val="000000000000" w:firstRow="0" w:lastRow="0" w:firstColumn="0" w:lastColumn="0" w:oddVBand="0" w:evenVBand="0" w:oddHBand="0" w:evenHBand="0" w:firstRowFirstColumn="0" w:firstRowLastColumn="0" w:lastRowFirstColumn="0" w:lastRowLastColumn="0"/>
            </w:pPr>
            <w:r>
              <w:rPr>
                <w:sz w:val="20"/>
                <w:szCs w:val="20"/>
              </w:rPr>
              <w:t>float64</w:t>
            </w:r>
          </w:p>
        </w:tc>
        <w:tc>
          <w:tcPr>
            <w:tcW w:w="2250" w:type="dxa"/>
          </w:tcPr>
          <w:p w14:paraId="744097B4" w14:textId="77777777" w:rsidR="005D0C5D" w:rsidRDefault="00000000">
            <w:pPr>
              <w:jc w:val="center"/>
              <w:cnfStyle w:val="000000000000" w:firstRow="0" w:lastRow="0" w:firstColumn="0" w:lastColumn="0" w:oddVBand="0" w:evenVBand="0" w:oddHBand="0" w:evenHBand="0" w:firstRowFirstColumn="0" w:firstRowLastColumn="0" w:lastRowFirstColumn="0" w:lastRowLastColumn="0"/>
            </w:pPr>
            <w:r>
              <w:rPr>
                <w:sz w:val="20"/>
                <w:szCs w:val="20"/>
              </w:rPr>
              <w:t>Adjusted closing price</w:t>
            </w:r>
          </w:p>
        </w:tc>
        <w:tc>
          <w:tcPr>
            <w:tcW w:w="2250" w:type="dxa"/>
          </w:tcPr>
          <w:p w14:paraId="6D08D6EA" w14:textId="77777777" w:rsidR="005D0C5D" w:rsidRDefault="00000000">
            <w:pPr>
              <w:jc w:val="center"/>
              <w:cnfStyle w:val="000000000000" w:firstRow="0" w:lastRow="0" w:firstColumn="0" w:lastColumn="0" w:oddVBand="0" w:evenVBand="0" w:oddHBand="0" w:evenHBand="0" w:firstRowFirstColumn="0" w:firstRowLastColumn="0" w:lastRowFirstColumn="0" w:lastRowLastColumn="0"/>
            </w:pPr>
            <w:r>
              <w:rPr>
                <w:sz w:val="20"/>
                <w:szCs w:val="20"/>
              </w:rPr>
              <w:t>Same as Close (no dividends)</w:t>
            </w:r>
          </w:p>
        </w:tc>
      </w:tr>
      <w:tr w:rsidR="005D0C5D" w14:paraId="1056CCEF" w14:textId="77777777" w:rsidTr="00DB34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66AC42A4" w14:textId="77777777" w:rsidR="005D0C5D" w:rsidRDefault="00000000">
            <w:pPr>
              <w:jc w:val="center"/>
            </w:pPr>
            <w:r>
              <w:rPr>
                <w:sz w:val="20"/>
                <w:szCs w:val="20"/>
              </w:rPr>
              <w:t>Volume</w:t>
            </w:r>
          </w:p>
        </w:tc>
        <w:tc>
          <w:tcPr>
            <w:tcW w:w="2250" w:type="dxa"/>
          </w:tcPr>
          <w:p w14:paraId="79858C81" w14:textId="77777777" w:rsidR="005D0C5D" w:rsidRDefault="00000000">
            <w:pPr>
              <w:jc w:val="center"/>
              <w:cnfStyle w:val="000000100000" w:firstRow="0" w:lastRow="0" w:firstColumn="0" w:lastColumn="0" w:oddVBand="0" w:evenVBand="0" w:oddHBand="1" w:evenHBand="0" w:firstRowFirstColumn="0" w:firstRowLastColumn="0" w:lastRowFirstColumn="0" w:lastRowLastColumn="0"/>
            </w:pPr>
            <w:r>
              <w:rPr>
                <w:sz w:val="20"/>
                <w:szCs w:val="20"/>
              </w:rPr>
              <w:t>float64</w:t>
            </w:r>
          </w:p>
        </w:tc>
        <w:tc>
          <w:tcPr>
            <w:tcW w:w="2250" w:type="dxa"/>
          </w:tcPr>
          <w:p w14:paraId="136C2588" w14:textId="77777777" w:rsidR="005D0C5D" w:rsidRDefault="00000000">
            <w:pPr>
              <w:jc w:val="center"/>
              <w:cnfStyle w:val="000000100000" w:firstRow="0" w:lastRow="0" w:firstColumn="0" w:lastColumn="0" w:oddVBand="0" w:evenVBand="0" w:oddHBand="1" w:evenHBand="0" w:firstRowFirstColumn="0" w:firstRowLastColumn="0" w:lastRowFirstColumn="0" w:lastRowLastColumn="0"/>
            </w:pPr>
            <w:r>
              <w:rPr>
                <w:sz w:val="20"/>
                <w:szCs w:val="20"/>
              </w:rPr>
              <w:t>Shares traded</w:t>
            </w:r>
          </w:p>
        </w:tc>
        <w:tc>
          <w:tcPr>
            <w:tcW w:w="2250" w:type="dxa"/>
          </w:tcPr>
          <w:p w14:paraId="36E87ED7" w14:textId="77777777" w:rsidR="005D0C5D" w:rsidRDefault="00000000">
            <w:pPr>
              <w:jc w:val="center"/>
              <w:cnfStyle w:val="000000100000" w:firstRow="0" w:lastRow="0" w:firstColumn="0" w:lastColumn="0" w:oddVBand="0" w:evenVBand="0" w:oddHBand="1" w:evenHBand="0" w:firstRowFirstColumn="0" w:firstRowLastColumn="0" w:lastRowFirstColumn="0" w:lastRowLastColumn="0"/>
            </w:pPr>
            <w:r>
              <w:rPr>
                <w:sz w:val="20"/>
                <w:szCs w:val="20"/>
              </w:rPr>
              <w:t>0 – 269,213,100</w:t>
            </w:r>
          </w:p>
        </w:tc>
      </w:tr>
    </w:tbl>
    <w:p w14:paraId="6D00A398" w14:textId="77777777" w:rsidR="005D0C5D" w:rsidRDefault="005D0C5D">
      <w:pPr>
        <w:spacing w:after="60"/>
      </w:pPr>
    </w:p>
    <w:p w14:paraId="4C90F5F4" w14:textId="77777777" w:rsidR="005D0C5D" w:rsidRDefault="00000000">
      <w:pPr>
        <w:spacing w:after="120"/>
        <w:jc w:val="both"/>
      </w:pPr>
      <w:r>
        <w:t xml:space="preserve">Note: The </w:t>
      </w:r>
      <w:proofErr w:type="spellStart"/>
      <w:r>
        <w:t>Adj</w:t>
      </w:r>
      <w:proofErr w:type="spellEnd"/>
      <w:r>
        <w:t xml:space="preserve"> Close column is identical to Close throughout the dataset because Twitter never paid dividends and had no stock splits during this period. A Volume of 0 on certain dates corresponds to non-trading days (weekends/holidays) that appear in the date sequence.</w:t>
      </w:r>
    </w:p>
    <w:p w14:paraId="703875AB" w14:textId="77777777" w:rsidR="005D0C5D" w:rsidRDefault="005D0C5D">
      <w:pPr>
        <w:spacing w:after="60"/>
      </w:pPr>
    </w:p>
    <w:p w14:paraId="41070DC4" w14:textId="77777777" w:rsidR="005D0C5D" w:rsidRPr="00DB34FC" w:rsidRDefault="00000000">
      <w:pPr>
        <w:pStyle w:val="Heading2"/>
        <w:rPr>
          <w:color w:val="0D0D0D" w:themeColor="text1" w:themeTint="F2"/>
        </w:rPr>
      </w:pPr>
      <w:r w:rsidRPr="00DB34FC">
        <w:rPr>
          <w:color w:val="0D0D0D" w:themeColor="text1" w:themeTint="F2"/>
        </w:rPr>
        <w:t>4.3 Null Value Check and Cleaning</w:t>
      </w:r>
    </w:p>
    <w:p w14:paraId="46A800BA" w14:textId="77777777" w:rsidR="005D0C5D" w:rsidRDefault="00000000">
      <w:pPr>
        <w:spacing w:after="120"/>
        <w:jc w:val="both"/>
      </w:pPr>
      <w:r>
        <w:t>Before cleaning, the dataset contained 5 null rows across all columns (trailing Excel rows):</w:t>
      </w:r>
    </w:p>
    <w:p w14:paraId="3630C852" w14:textId="77777777" w:rsidR="005D0C5D" w:rsidRDefault="005D0C5D">
      <w:pPr>
        <w:spacing w:after="60"/>
      </w:pPr>
    </w:p>
    <w:tbl>
      <w:tblPr>
        <w:tblStyle w:val="GridTable4"/>
        <w:tblW w:w="9000" w:type="dxa"/>
        <w:tblLook w:val="04A0" w:firstRow="1" w:lastRow="0" w:firstColumn="1" w:lastColumn="0" w:noHBand="0" w:noVBand="1"/>
      </w:tblPr>
      <w:tblGrid>
        <w:gridCol w:w="3000"/>
        <w:gridCol w:w="3000"/>
        <w:gridCol w:w="3000"/>
      </w:tblGrid>
      <w:tr w:rsidR="005D0C5D" w14:paraId="595C56ED" w14:textId="77777777" w:rsidTr="00DB34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0881C916" w14:textId="77777777" w:rsidR="005D0C5D" w:rsidRDefault="00000000">
            <w:pPr>
              <w:jc w:val="center"/>
            </w:pPr>
            <w:r>
              <w:rPr>
                <w:color w:val="FFFFFF"/>
                <w:sz w:val="20"/>
                <w:szCs w:val="20"/>
              </w:rPr>
              <w:t>Column</w:t>
            </w:r>
          </w:p>
        </w:tc>
        <w:tc>
          <w:tcPr>
            <w:tcW w:w="3000" w:type="dxa"/>
          </w:tcPr>
          <w:p w14:paraId="760BF58E" w14:textId="77777777" w:rsidR="005D0C5D"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Null Count (Before)</w:t>
            </w:r>
          </w:p>
        </w:tc>
        <w:tc>
          <w:tcPr>
            <w:tcW w:w="3000" w:type="dxa"/>
          </w:tcPr>
          <w:p w14:paraId="43D83B00" w14:textId="77777777" w:rsidR="005D0C5D"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Null Count (After)</w:t>
            </w:r>
          </w:p>
        </w:tc>
      </w:tr>
      <w:tr w:rsidR="005D0C5D" w14:paraId="42787099" w14:textId="77777777" w:rsidTr="00DB34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467F9977" w14:textId="77777777" w:rsidR="005D0C5D" w:rsidRDefault="00000000">
            <w:pPr>
              <w:jc w:val="center"/>
            </w:pPr>
            <w:r>
              <w:rPr>
                <w:sz w:val="20"/>
                <w:szCs w:val="20"/>
              </w:rPr>
              <w:t>Date</w:t>
            </w:r>
          </w:p>
        </w:tc>
        <w:tc>
          <w:tcPr>
            <w:tcW w:w="3000" w:type="dxa"/>
          </w:tcPr>
          <w:p w14:paraId="282F3C21" w14:textId="77777777" w:rsidR="005D0C5D" w:rsidRDefault="00000000">
            <w:pPr>
              <w:jc w:val="center"/>
              <w:cnfStyle w:val="000000100000" w:firstRow="0" w:lastRow="0" w:firstColumn="0" w:lastColumn="0" w:oddVBand="0" w:evenVBand="0" w:oddHBand="1" w:evenHBand="0" w:firstRowFirstColumn="0" w:firstRowLastColumn="0" w:lastRowFirstColumn="0" w:lastRowLastColumn="0"/>
            </w:pPr>
            <w:r>
              <w:rPr>
                <w:sz w:val="20"/>
                <w:szCs w:val="20"/>
              </w:rPr>
              <w:t>0</w:t>
            </w:r>
          </w:p>
        </w:tc>
        <w:tc>
          <w:tcPr>
            <w:tcW w:w="3000" w:type="dxa"/>
          </w:tcPr>
          <w:p w14:paraId="372285EC" w14:textId="77777777" w:rsidR="005D0C5D" w:rsidRDefault="00000000">
            <w:pPr>
              <w:jc w:val="center"/>
              <w:cnfStyle w:val="000000100000" w:firstRow="0" w:lastRow="0" w:firstColumn="0" w:lastColumn="0" w:oddVBand="0" w:evenVBand="0" w:oddHBand="1" w:evenHBand="0" w:firstRowFirstColumn="0" w:firstRowLastColumn="0" w:lastRowFirstColumn="0" w:lastRowLastColumn="0"/>
            </w:pPr>
            <w:r>
              <w:rPr>
                <w:sz w:val="20"/>
                <w:szCs w:val="20"/>
              </w:rPr>
              <w:t>0</w:t>
            </w:r>
          </w:p>
        </w:tc>
      </w:tr>
      <w:tr w:rsidR="005D0C5D" w14:paraId="3E81BDA2" w14:textId="77777777" w:rsidTr="00DB34FC">
        <w:tc>
          <w:tcPr>
            <w:cnfStyle w:val="001000000000" w:firstRow="0" w:lastRow="0" w:firstColumn="1" w:lastColumn="0" w:oddVBand="0" w:evenVBand="0" w:oddHBand="0" w:evenHBand="0" w:firstRowFirstColumn="0" w:firstRowLastColumn="0" w:lastRowFirstColumn="0" w:lastRowLastColumn="0"/>
            <w:tcW w:w="3000" w:type="dxa"/>
          </w:tcPr>
          <w:p w14:paraId="21846A76" w14:textId="77777777" w:rsidR="005D0C5D" w:rsidRDefault="00000000">
            <w:pPr>
              <w:jc w:val="center"/>
            </w:pPr>
            <w:r>
              <w:rPr>
                <w:sz w:val="20"/>
                <w:szCs w:val="20"/>
              </w:rPr>
              <w:t>Open</w:t>
            </w:r>
          </w:p>
        </w:tc>
        <w:tc>
          <w:tcPr>
            <w:tcW w:w="3000" w:type="dxa"/>
          </w:tcPr>
          <w:p w14:paraId="6FF4F247" w14:textId="77777777" w:rsidR="005D0C5D" w:rsidRDefault="00000000">
            <w:pPr>
              <w:jc w:val="center"/>
              <w:cnfStyle w:val="000000000000" w:firstRow="0" w:lastRow="0" w:firstColumn="0" w:lastColumn="0" w:oddVBand="0" w:evenVBand="0" w:oddHBand="0" w:evenHBand="0" w:firstRowFirstColumn="0" w:firstRowLastColumn="0" w:lastRowFirstColumn="0" w:lastRowLastColumn="0"/>
            </w:pPr>
            <w:r>
              <w:rPr>
                <w:sz w:val="20"/>
                <w:szCs w:val="20"/>
              </w:rPr>
              <w:t>5</w:t>
            </w:r>
          </w:p>
        </w:tc>
        <w:tc>
          <w:tcPr>
            <w:tcW w:w="3000" w:type="dxa"/>
          </w:tcPr>
          <w:p w14:paraId="22FF7D97" w14:textId="77777777" w:rsidR="005D0C5D" w:rsidRDefault="00000000">
            <w:pPr>
              <w:jc w:val="center"/>
              <w:cnfStyle w:val="000000000000" w:firstRow="0" w:lastRow="0" w:firstColumn="0" w:lastColumn="0" w:oddVBand="0" w:evenVBand="0" w:oddHBand="0" w:evenHBand="0" w:firstRowFirstColumn="0" w:firstRowLastColumn="0" w:lastRowFirstColumn="0" w:lastRowLastColumn="0"/>
            </w:pPr>
            <w:r>
              <w:rPr>
                <w:sz w:val="20"/>
                <w:szCs w:val="20"/>
              </w:rPr>
              <w:t>0</w:t>
            </w:r>
          </w:p>
        </w:tc>
      </w:tr>
      <w:tr w:rsidR="005D0C5D" w14:paraId="43107192" w14:textId="77777777" w:rsidTr="00DB34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1254B709" w14:textId="77777777" w:rsidR="005D0C5D" w:rsidRDefault="00000000">
            <w:pPr>
              <w:jc w:val="center"/>
            </w:pPr>
            <w:r>
              <w:rPr>
                <w:sz w:val="20"/>
                <w:szCs w:val="20"/>
              </w:rPr>
              <w:t>High</w:t>
            </w:r>
          </w:p>
        </w:tc>
        <w:tc>
          <w:tcPr>
            <w:tcW w:w="3000" w:type="dxa"/>
          </w:tcPr>
          <w:p w14:paraId="56FE9D2C" w14:textId="77777777" w:rsidR="005D0C5D" w:rsidRDefault="00000000">
            <w:pPr>
              <w:jc w:val="center"/>
              <w:cnfStyle w:val="000000100000" w:firstRow="0" w:lastRow="0" w:firstColumn="0" w:lastColumn="0" w:oddVBand="0" w:evenVBand="0" w:oddHBand="1" w:evenHBand="0" w:firstRowFirstColumn="0" w:firstRowLastColumn="0" w:lastRowFirstColumn="0" w:lastRowLastColumn="0"/>
            </w:pPr>
            <w:r>
              <w:rPr>
                <w:sz w:val="20"/>
                <w:szCs w:val="20"/>
              </w:rPr>
              <w:t>5</w:t>
            </w:r>
          </w:p>
        </w:tc>
        <w:tc>
          <w:tcPr>
            <w:tcW w:w="3000" w:type="dxa"/>
          </w:tcPr>
          <w:p w14:paraId="00E09713" w14:textId="77777777" w:rsidR="005D0C5D" w:rsidRDefault="00000000">
            <w:pPr>
              <w:jc w:val="center"/>
              <w:cnfStyle w:val="000000100000" w:firstRow="0" w:lastRow="0" w:firstColumn="0" w:lastColumn="0" w:oddVBand="0" w:evenVBand="0" w:oddHBand="1" w:evenHBand="0" w:firstRowFirstColumn="0" w:firstRowLastColumn="0" w:lastRowFirstColumn="0" w:lastRowLastColumn="0"/>
            </w:pPr>
            <w:r>
              <w:rPr>
                <w:sz w:val="20"/>
                <w:szCs w:val="20"/>
              </w:rPr>
              <w:t>0</w:t>
            </w:r>
          </w:p>
        </w:tc>
      </w:tr>
      <w:tr w:rsidR="005D0C5D" w14:paraId="1C786F59" w14:textId="77777777" w:rsidTr="00DB34FC">
        <w:tc>
          <w:tcPr>
            <w:cnfStyle w:val="001000000000" w:firstRow="0" w:lastRow="0" w:firstColumn="1" w:lastColumn="0" w:oddVBand="0" w:evenVBand="0" w:oddHBand="0" w:evenHBand="0" w:firstRowFirstColumn="0" w:firstRowLastColumn="0" w:lastRowFirstColumn="0" w:lastRowLastColumn="0"/>
            <w:tcW w:w="3000" w:type="dxa"/>
          </w:tcPr>
          <w:p w14:paraId="68E1B452" w14:textId="77777777" w:rsidR="005D0C5D" w:rsidRDefault="00000000">
            <w:pPr>
              <w:jc w:val="center"/>
            </w:pPr>
            <w:r>
              <w:rPr>
                <w:sz w:val="20"/>
                <w:szCs w:val="20"/>
              </w:rPr>
              <w:t>Low</w:t>
            </w:r>
          </w:p>
        </w:tc>
        <w:tc>
          <w:tcPr>
            <w:tcW w:w="3000" w:type="dxa"/>
          </w:tcPr>
          <w:p w14:paraId="35CFA1A1" w14:textId="77777777" w:rsidR="005D0C5D" w:rsidRDefault="00000000">
            <w:pPr>
              <w:jc w:val="center"/>
              <w:cnfStyle w:val="000000000000" w:firstRow="0" w:lastRow="0" w:firstColumn="0" w:lastColumn="0" w:oddVBand="0" w:evenVBand="0" w:oddHBand="0" w:evenHBand="0" w:firstRowFirstColumn="0" w:firstRowLastColumn="0" w:lastRowFirstColumn="0" w:lastRowLastColumn="0"/>
            </w:pPr>
            <w:r>
              <w:rPr>
                <w:sz w:val="20"/>
                <w:szCs w:val="20"/>
              </w:rPr>
              <w:t>5</w:t>
            </w:r>
          </w:p>
        </w:tc>
        <w:tc>
          <w:tcPr>
            <w:tcW w:w="3000" w:type="dxa"/>
          </w:tcPr>
          <w:p w14:paraId="79787048" w14:textId="77777777" w:rsidR="005D0C5D" w:rsidRDefault="00000000">
            <w:pPr>
              <w:jc w:val="center"/>
              <w:cnfStyle w:val="000000000000" w:firstRow="0" w:lastRow="0" w:firstColumn="0" w:lastColumn="0" w:oddVBand="0" w:evenVBand="0" w:oddHBand="0" w:evenHBand="0" w:firstRowFirstColumn="0" w:firstRowLastColumn="0" w:lastRowFirstColumn="0" w:lastRowLastColumn="0"/>
            </w:pPr>
            <w:r>
              <w:rPr>
                <w:sz w:val="20"/>
                <w:szCs w:val="20"/>
              </w:rPr>
              <w:t>0</w:t>
            </w:r>
          </w:p>
        </w:tc>
      </w:tr>
      <w:tr w:rsidR="005D0C5D" w14:paraId="230F8C91" w14:textId="77777777" w:rsidTr="00DB34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5354601B" w14:textId="77777777" w:rsidR="005D0C5D" w:rsidRDefault="00000000">
            <w:pPr>
              <w:jc w:val="center"/>
            </w:pPr>
            <w:r>
              <w:rPr>
                <w:sz w:val="20"/>
                <w:szCs w:val="20"/>
              </w:rPr>
              <w:t>Close</w:t>
            </w:r>
          </w:p>
        </w:tc>
        <w:tc>
          <w:tcPr>
            <w:tcW w:w="3000" w:type="dxa"/>
          </w:tcPr>
          <w:p w14:paraId="66F7BD2E" w14:textId="77777777" w:rsidR="005D0C5D" w:rsidRDefault="00000000">
            <w:pPr>
              <w:jc w:val="center"/>
              <w:cnfStyle w:val="000000100000" w:firstRow="0" w:lastRow="0" w:firstColumn="0" w:lastColumn="0" w:oddVBand="0" w:evenVBand="0" w:oddHBand="1" w:evenHBand="0" w:firstRowFirstColumn="0" w:firstRowLastColumn="0" w:lastRowFirstColumn="0" w:lastRowLastColumn="0"/>
            </w:pPr>
            <w:r>
              <w:rPr>
                <w:sz w:val="20"/>
                <w:szCs w:val="20"/>
              </w:rPr>
              <w:t>5</w:t>
            </w:r>
          </w:p>
        </w:tc>
        <w:tc>
          <w:tcPr>
            <w:tcW w:w="3000" w:type="dxa"/>
          </w:tcPr>
          <w:p w14:paraId="49217197" w14:textId="77777777" w:rsidR="005D0C5D" w:rsidRDefault="00000000">
            <w:pPr>
              <w:jc w:val="center"/>
              <w:cnfStyle w:val="000000100000" w:firstRow="0" w:lastRow="0" w:firstColumn="0" w:lastColumn="0" w:oddVBand="0" w:evenVBand="0" w:oddHBand="1" w:evenHBand="0" w:firstRowFirstColumn="0" w:firstRowLastColumn="0" w:lastRowFirstColumn="0" w:lastRowLastColumn="0"/>
            </w:pPr>
            <w:r>
              <w:rPr>
                <w:sz w:val="20"/>
                <w:szCs w:val="20"/>
              </w:rPr>
              <w:t>0</w:t>
            </w:r>
          </w:p>
        </w:tc>
      </w:tr>
      <w:tr w:rsidR="005D0C5D" w14:paraId="2DB16401" w14:textId="77777777" w:rsidTr="00DB34FC">
        <w:tc>
          <w:tcPr>
            <w:cnfStyle w:val="001000000000" w:firstRow="0" w:lastRow="0" w:firstColumn="1" w:lastColumn="0" w:oddVBand="0" w:evenVBand="0" w:oddHBand="0" w:evenHBand="0" w:firstRowFirstColumn="0" w:firstRowLastColumn="0" w:lastRowFirstColumn="0" w:lastRowLastColumn="0"/>
            <w:tcW w:w="3000" w:type="dxa"/>
          </w:tcPr>
          <w:p w14:paraId="269060EE" w14:textId="77777777" w:rsidR="005D0C5D" w:rsidRDefault="00000000">
            <w:pPr>
              <w:jc w:val="center"/>
            </w:pPr>
            <w:proofErr w:type="spellStart"/>
            <w:r>
              <w:rPr>
                <w:sz w:val="20"/>
                <w:szCs w:val="20"/>
              </w:rPr>
              <w:t>Adj</w:t>
            </w:r>
            <w:proofErr w:type="spellEnd"/>
            <w:r>
              <w:rPr>
                <w:sz w:val="20"/>
                <w:szCs w:val="20"/>
              </w:rPr>
              <w:t xml:space="preserve"> Close</w:t>
            </w:r>
          </w:p>
        </w:tc>
        <w:tc>
          <w:tcPr>
            <w:tcW w:w="3000" w:type="dxa"/>
          </w:tcPr>
          <w:p w14:paraId="0BE36487" w14:textId="77777777" w:rsidR="005D0C5D" w:rsidRDefault="00000000">
            <w:pPr>
              <w:jc w:val="center"/>
              <w:cnfStyle w:val="000000000000" w:firstRow="0" w:lastRow="0" w:firstColumn="0" w:lastColumn="0" w:oddVBand="0" w:evenVBand="0" w:oddHBand="0" w:evenHBand="0" w:firstRowFirstColumn="0" w:firstRowLastColumn="0" w:lastRowFirstColumn="0" w:lastRowLastColumn="0"/>
            </w:pPr>
            <w:r>
              <w:rPr>
                <w:sz w:val="20"/>
                <w:szCs w:val="20"/>
              </w:rPr>
              <w:t>5</w:t>
            </w:r>
          </w:p>
        </w:tc>
        <w:tc>
          <w:tcPr>
            <w:tcW w:w="3000" w:type="dxa"/>
          </w:tcPr>
          <w:p w14:paraId="2D944F42" w14:textId="77777777" w:rsidR="005D0C5D" w:rsidRDefault="00000000">
            <w:pPr>
              <w:jc w:val="center"/>
              <w:cnfStyle w:val="000000000000" w:firstRow="0" w:lastRow="0" w:firstColumn="0" w:lastColumn="0" w:oddVBand="0" w:evenVBand="0" w:oddHBand="0" w:evenHBand="0" w:firstRowFirstColumn="0" w:firstRowLastColumn="0" w:lastRowFirstColumn="0" w:lastRowLastColumn="0"/>
            </w:pPr>
            <w:r>
              <w:rPr>
                <w:sz w:val="20"/>
                <w:szCs w:val="20"/>
              </w:rPr>
              <w:t>0</w:t>
            </w:r>
          </w:p>
        </w:tc>
      </w:tr>
      <w:tr w:rsidR="005D0C5D" w14:paraId="7FC5A43A" w14:textId="77777777" w:rsidTr="00DB34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095649B7" w14:textId="77777777" w:rsidR="005D0C5D" w:rsidRDefault="00000000">
            <w:pPr>
              <w:jc w:val="center"/>
            </w:pPr>
            <w:r>
              <w:rPr>
                <w:sz w:val="20"/>
                <w:szCs w:val="20"/>
              </w:rPr>
              <w:t>Volume</w:t>
            </w:r>
          </w:p>
        </w:tc>
        <w:tc>
          <w:tcPr>
            <w:tcW w:w="3000" w:type="dxa"/>
          </w:tcPr>
          <w:p w14:paraId="4E56B2AB" w14:textId="77777777" w:rsidR="005D0C5D" w:rsidRDefault="00000000">
            <w:pPr>
              <w:jc w:val="center"/>
              <w:cnfStyle w:val="000000100000" w:firstRow="0" w:lastRow="0" w:firstColumn="0" w:lastColumn="0" w:oddVBand="0" w:evenVBand="0" w:oddHBand="1" w:evenHBand="0" w:firstRowFirstColumn="0" w:firstRowLastColumn="0" w:lastRowFirstColumn="0" w:lastRowLastColumn="0"/>
            </w:pPr>
            <w:r>
              <w:rPr>
                <w:sz w:val="20"/>
                <w:szCs w:val="20"/>
              </w:rPr>
              <w:t>5</w:t>
            </w:r>
          </w:p>
        </w:tc>
        <w:tc>
          <w:tcPr>
            <w:tcW w:w="3000" w:type="dxa"/>
          </w:tcPr>
          <w:p w14:paraId="6F112502" w14:textId="77777777" w:rsidR="005D0C5D" w:rsidRDefault="00000000">
            <w:pPr>
              <w:jc w:val="center"/>
              <w:cnfStyle w:val="000000100000" w:firstRow="0" w:lastRow="0" w:firstColumn="0" w:lastColumn="0" w:oddVBand="0" w:evenVBand="0" w:oddHBand="1" w:evenHBand="0" w:firstRowFirstColumn="0" w:firstRowLastColumn="0" w:lastRowFirstColumn="0" w:lastRowLastColumn="0"/>
            </w:pPr>
            <w:r>
              <w:rPr>
                <w:sz w:val="20"/>
                <w:szCs w:val="20"/>
              </w:rPr>
              <w:t>0</w:t>
            </w:r>
          </w:p>
        </w:tc>
      </w:tr>
    </w:tbl>
    <w:p w14:paraId="5C3A317D" w14:textId="77777777" w:rsidR="005D0C5D" w:rsidRDefault="005D0C5D">
      <w:pPr>
        <w:spacing w:after="60"/>
      </w:pPr>
    </w:p>
    <w:p w14:paraId="3F898252" w14:textId="77777777" w:rsidR="005D0C5D" w:rsidRPr="00DB34FC" w:rsidRDefault="00000000">
      <w:pPr>
        <w:pStyle w:val="Heading2"/>
        <w:rPr>
          <w:color w:val="0D0D0D" w:themeColor="text1" w:themeTint="F2"/>
        </w:rPr>
      </w:pPr>
      <w:r w:rsidRPr="00DB34FC">
        <w:rPr>
          <w:color w:val="0D0D0D" w:themeColor="text1" w:themeTint="F2"/>
        </w:rPr>
        <w:t>4.4 Statistical Description</w:t>
      </w:r>
    </w:p>
    <w:p w14:paraId="19594B93" w14:textId="77777777" w:rsidR="005D0C5D" w:rsidRDefault="00000000">
      <w:pPr>
        <w:spacing w:after="120"/>
        <w:jc w:val="both"/>
      </w:pPr>
      <w:r>
        <w:t>The following table summarizes the statistical properties of all numeric columns:</w:t>
      </w:r>
    </w:p>
    <w:p w14:paraId="11B4FA55" w14:textId="77777777" w:rsidR="005D0C5D" w:rsidRDefault="005D0C5D">
      <w:pPr>
        <w:spacing w:after="60"/>
      </w:pPr>
    </w:p>
    <w:tbl>
      <w:tblPr>
        <w:tblStyle w:val="GridTable4"/>
        <w:tblW w:w="9000" w:type="dxa"/>
        <w:tblLook w:val="04A0" w:firstRow="1" w:lastRow="0" w:firstColumn="1" w:lastColumn="0" w:noHBand="0" w:noVBand="1"/>
      </w:tblPr>
      <w:tblGrid>
        <w:gridCol w:w="1500"/>
        <w:gridCol w:w="1500"/>
        <w:gridCol w:w="1500"/>
        <w:gridCol w:w="1500"/>
        <w:gridCol w:w="1500"/>
        <w:gridCol w:w="1500"/>
      </w:tblGrid>
      <w:tr w:rsidR="005D0C5D" w14:paraId="62C32966" w14:textId="77777777" w:rsidTr="00DB34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66F43DA2" w14:textId="77777777" w:rsidR="005D0C5D" w:rsidRDefault="00000000">
            <w:pPr>
              <w:jc w:val="center"/>
            </w:pPr>
            <w:r>
              <w:rPr>
                <w:color w:val="FFFFFF"/>
                <w:sz w:val="20"/>
                <w:szCs w:val="20"/>
              </w:rPr>
              <w:t>Statistic</w:t>
            </w:r>
          </w:p>
        </w:tc>
        <w:tc>
          <w:tcPr>
            <w:tcW w:w="1500" w:type="dxa"/>
          </w:tcPr>
          <w:p w14:paraId="42ED56E1" w14:textId="77777777" w:rsidR="005D0C5D"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Open</w:t>
            </w:r>
          </w:p>
        </w:tc>
        <w:tc>
          <w:tcPr>
            <w:tcW w:w="1500" w:type="dxa"/>
          </w:tcPr>
          <w:p w14:paraId="262AC637" w14:textId="77777777" w:rsidR="005D0C5D"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High</w:t>
            </w:r>
          </w:p>
        </w:tc>
        <w:tc>
          <w:tcPr>
            <w:tcW w:w="1500" w:type="dxa"/>
          </w:tcPr>
          <w:p w14:paraId="5202E29A" w14:textId="77777777" w:rsidR="005D0C5D"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Low</w:t>
            </w:r>
          </w:p>
        </w:tc>
        <w:tc>
          <w:tcPr>
            <w:tcW w:w="1500" w:type="dxa"/>
          </w:tcPr>
          <w:p w14:paraId="53BC17BE" w14:textId="77777777" w:rsidR="005D0C5D"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Close</w:t>
            </w:r>
          </w:p>
        </w:tc>
        <w:tc>
          <w:tcPr>
            <w:tcW w:w="1500" w:type="dxa"/>
          </w:tcPr>
          <w:p w14:paraId="71E7C024" w14:textId="77777777" w:rsidR="005D0C5D"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Volume</w:t>
            </w:r>
          </w:p>
        </w:tc>
      </w:tr>
      <w:tr w:rsidR="005D0C5D" w14:paraId="7C3CCA20" w14:textId="77777777" w:rsidTr="00DB34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741825DD" w14:textId="77777777" w:rsidR="005D0C5D" w:rsidRDefault="00000000">
            <w:pPr>
              <w:jc w:val="center"/>
            </w:pPr>
            <w:r>
              <w:rPr>
                <w:sz w:val="20"/>
                <w:szCs w:val="20"/>
              </w:rPr>
              <w:t>Count</w:t>
            </w:r>
          </w:p>
        </w:tc>
        <w:tc>
          <w:tcPr>
            <w:tcW w:w="1500" w:type="dxa"/>
          </w:tcPr>
          <w:p w14:paraId="5D717A22" w14:textId="77777777" w:rsidR="005D0C5D" w:rsidRDefault="00000000">
            <w:pPr>
              <w:jc w:val="center"/>
              <w:cnfStyle w:val="000000100000" w:firstRow="0" w:lastRow="0" w:firstColumn="0" w:lastColumn="0" w:oddVBand="0" w:evenVBand="0" w:oddHBand="1" w:evenHBand="0" w:firstRowFirstColumn="0" w:firstRowLastColumn="0" w:lastRowFirstColumn="0" w:lastRowLastColumn="0"/>
            </w:pPr>
            <w:r>
              <w:rPr>
                <w:sz w:val="20"/>
                <w:szCs w:val="20"/>
              </w:rPr>
              <w:t>2259</w:t>
            </w:r>
          </w:p>
        </w:tc>
        <w:tc>
          <w:tcPr>
            <w:tcW w:w="1500" w:type="dxa"/>
          </w:tcPr>
          <w:p w14:paraId="65674516" w14:textId="77777777" w:rsidR="005D0C5D" w:rsidRDefault="00000000">
            <w:pPr>
              <w:jc w:val="center"/>
              <w:cnfStyle w:val="000000100000" w:firstRow="0" w:lastRow="0" w:firstColumn="0" w:lastColumn="0" w:oddVBand="0" w:evenVBand="0" w:oddHBand="1" w:evenHBand="0" w:firstRowFirstColumn="0" w:firstRowLastColumn="0" w:lastRowFirstColumn="0" w:lastRowLastColumn="0"/>
            </w:pPr>
            <w:r>
              <w:rPr>
                <w:sz w:val="20"/>
                <w:szCs w:val="20"/>
              </w:rPr>
              <w:t>2259</w:t>
            </w:r>
          </w:p>
        </w:tc>
        <w:tc>
          <w:tcPr>
            <w:tcW w:w="1500" w:type="dxa"/>
          </w:tcPr>
          <w:p w14:paraId="45D25BEC" w14:textId="77777777" w:rsidR="005D0C5D" w:rsidRDefault="00000000">
            <w:pPr>
              <w:jc w:val="center"/>
              <w:cnfStyle w:val="000000100000" w:firstRow="0" w:lastRow="0" w:firstColumn="0" w:lastColumn="0" w:oddVBand="0" w:evenVBand="0" w:oddHBand="1" w:evenHBand="0" w:firstRowFirstColumn="0" w:firstRowLastColumn="0" w:lastRowFirstColumn="0" w:lastRowLastColumn="0"/>
            </w:pPr>
            <w:r>
              <w:rPr>
                <w:sz w:val="20"/>
                <w:szCs w:val="20"/>
              </w:rPr>
              <w:t>2259</w:t>
            </w:r>
          </w:p>
        </w:tc>
        <w:tc>
          <w:tcPr>
            <w:tcW w:w="1500" w:type="dxa"/>
          </w:tcPr>
          <w:p w14:paraId="321D3B09" w14:textId="77777777" w:rsidR="005D0C5D" w:rsidRDefault="00000000">
            <w:pPr>
              <w:jc w:val="center"/>
              <w:cnfStyle w:val="000000100000" w:firstRow="0" w:lastRow="0" w:firstColumn="0" w:lastColumn="0" w:oddVBand="0" w:evenVBand="0" w:oddHBand="1" w:evenHBand="0" w:firstRowFirstColumn="0" w:firstRowLastColumn="0" w:lastRowFirstColumn="0" w:lastRowLastColumn="0"/>
            </w:pPr>
            <w:r>
              <w:rPr>
                <w:sz w:val="20"/>
                <w:szCs w:val="20"/>
              </w:rPr>
              <w:t>2259</w:t>
            </w:r>
          </w:p>
        </w:tc>
        <w:tc>
          <w:tcPr>
            <w:tcW w:w="1500" w:type="dxa"/>
          </w:tcPr>
          <w:p w14:paraId="266E9AFE" w14:textId="77777777" w:rsidR="005D0C5D" w:rsidRDefault="00000000">
            <w:pPr>
              <w:jc w:val="center"/>
              <w:cnfStyle w:val="000000100000" w:firstRow="0" w:lastRow="0" w:firstColumn="0" w:lastColumn="0" w:oddVBand="0" w:evenVBand="0" w:oddHBand="1" w:evenHBand="0" w:firstRowFirstColumn="0" w:firstRowLastColumn="0" w:lastRowFirstColumn="0" w:lastRowLastColumn="0"/>
            </w:pPr>
            <w:r>
              <w:rPr>
                <w:sz w:val="20"/>
                <w:szCs w:val="20"/>
              </w:rPr>
              <w:t>2259</w:t>
            </w:r>
          </w:p>
        </w:tc>
      </w:tr>
      <w:tr w:rsidR="005D0C5D" w14:paraId="26BEE0D1" w14:textId="77777777" w:rsidTr="00DB34FC">
        <w:tc>
          <w:tcPr>
            <w:cnfStyle w:val="001000000000" w:firstRow="0" w:lastRow="0" w:firstColumn="1" w:lastColumn="0" w:oddVBand="0" w:evenVBand="0" w:oddHBand="0" w:evenHBand="0" w:firstRowFirstColumn="0" w:firstRowLastColumn="0" w:lastRowFirstColumn="0" w:lastRowLastColumn="0"/>
            <w:tcW w:w="1500" w:type="dxa"/>
          </w:tcPr>
          <w:p w14:paraId="4323353F" w14:textId="77777777" w:rsidR="005D0C5D" w:rsidRDefault="00000000">
            <w:pPr>
              <w:jc w:val="center"/>
            </w:pPr>
            <w:r>
              <w:rPr>
                <w:sz w:val="20"/>
                <w:szCs w:val="20"/>
              </w:rPr>
              <w:t>Mean</w:t>
            </w:r>
          </w:p>
        </w:tc>
        <w:tc>
          <w:tcPr>
            <w:tcW w:w="1500" w:type="dxa"/>
          </w:tcPr>
          <w:p w14:paraId="38BE8309" w14:textId="77777777" w:rsidR="005D0C5D" w:rsidRDefault="00000000">
            <w:pPr>
              <w:jc w:val="center"/>
              <w:cnfStyle w:val="000000000000" w:firstRow="0" w:lastRow="0" w:firstColumn="0" w:lastColumn="0" w:oddVBand="0" w:evenVBand="0" w:oddHBand="0" w:evenHBand="0" w:firstRowFirstColumn="0" w:firstRowLastColumn="0" w:lastRowFirstColumn="0" w:lastRowLastColumn="0"/>
            </w:pPr>
            <w:r>
              <w:rPr>
                <w:sz w:val="20"/>
                <w:szCs w:val="20"/>
              </w:rPr>
              <w:t>$36.02</w:t>
            </w:r>
          </w:p>
        </w:tc>
        <w:tc>
          <w:tcPr>
            <w:tcW w:w="1500" w:type="dxa"/>
          </w:tcPr>
          <w:p w14:paraId="7FB5BF3E" w14:textId="77777777" w:rsidR="005D0C5D" w:rsidRDefault="00000000">
            <w:pPr>
              <w:jc w:val="center"/>
              <w:cnfStyle w:val="000000000000" w:firstRow="0" w:lastRow="0" w:firstColumn="0" w:lastColumn="0" w:oddVBand="0" w:evenVBand="0" w:oddHBand="0" w:evenHBand="0" w:firstRowFirstColumn="0" w:firstRowLastColumn="0" w:lastRowFirstColumn="0" w:lastRowLastColumn="0"/>
            </w:pPr>
            <w:r>
              <w:rPr>
                <w:sz w:val="20"/>
                <w:szCs w:val="20"/>
              </w:rPr>
              <w:t>$36.70</w:t>
            </w:r>
          </w:p>
        </w:tc>
        <w:tc>
          <w:tcPr>
            <w:tcW w:w="1500" w:type="dxa"/>
          </w:tcPr>
          <w:p w14:paraId="7A769898" w14:textId="77777777" w:rsidR="005D0C5D" w:rsidRDefault="00000000">
            <w:pPr>
              <w:jc w:val="center"/>
              <w:cnfStyle w:val="000000000000" w:firstRow="0" w:lastRow="0" w:firstColumn="0" w:lastColumn="0" w:oddVBand="0" w:evenVBand="0" w:oddHBand="0" w:evenHBand="0" w:firstRowFirstColumn="0" w:firstRowLastColumn="0" w:lastRowFirstColumn="0" w:lastRowLastColumn="0"/>
            </w:pPr>
            <w:r>
              <w:rPr>
                <w:sz w:val="20"/>
                <w:szCs w:val="20"/>
              </w:rPr>
              <w:t>$35.34</w:t>
            </w:r>
          </w:p>
        </w:tc>
        <w:tc>
          <w:tcPr>
            <w:tcW w:w="1500" w:type="dxa"/>
          </w:tcPr>
          <w:p w14:paraId="32C8EECA" w14:textId="77777777" w:rsidR="005D0C5D" w:rsidRDefault="00000000">
            <w:pPr>
              <w:jc w:val="center"/>
              <w:cnfStyle w:val="000000000000" w:firstRow="0" w:lastRow="0" w:firstColumn="0" w:lastColumn="0" w:oddVBand="0" w:evenVBand="0" w:oddHBand="0" w:evenHBand="0" w:firstRowFirstColumn="0" w:firstRowLastColumn="0" w:lastRowFirstColumn="0" w:lastRowLastColumn="0"/>
            </w:pPr>
            <w:r>
              <w:rPr>
                <w:sz w:val="20"/>
                <w:szCs w:val="20"/>
              </w:rPr>
              <w:t>$36.00</w:t>
            </w:r>
          </w:p>
        </w:tc>
        <w:tc>
          <w:tcPr>
            <w:tcW w:w="1500" w:type="dxa"/>
          </w:tcPr>
          <w:p w14:paraId="617D80B1" w14:textId="77777777" w:rsidR="005D0C5D" w:rsidRDefault="00000000">
            <w:pPr>
              <w:jc w:val="center"/>
              <w:cnfStyle w:val="000000000000" w:firstRow="0" w:lastRow="0" w:firstColumn="0" w:lastColumn="0" w:oddVBand="0" w:evenVBand="0" w:oddHBand="0" w:evenHBand="0" w:firstRowFirstColumn="0" w:firstRowLastColumn="0" w:lastRowFirstColumn="0" w:lastRowLastColumn="0"/>
            </w:pPr>
            <w:r>
              <w:rPr>
                <w:sz w:val="20"/>
                <w:szCs w:val="20"/>
              </w:rPr>
              <w:t>21,751,860</w:t>
            </w:r>
          </w:p>
        </w:tc>
      </w:tr>
      <w:tr w:rsidR="005D0C5D" w14:paraId="6B9D10F1" w14:textId="77777777" w:rsidTr="00DB34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03C37597" w14:textId="77777777" w:rsidR="005D0C5D" w:rsidRDefault="00000000">
            <w:pPr>
              <w:jc w:val="center"/>
            </w:pPr>
            <w:r>
              <w:rPr>
                <w:sz w:val="20"/>
                <w:szCs w:val="20"/>
              </w:rPr>
              <w:t>Std Dev</w:t>
            </w:r>
          </w:p>
        </w:tc>
        <w:tc>
          <w:tcPr>
            <w:tcW w:w="1500" w:type="dxa"/>
          </w:tcPr>
          <w:p w14:paraId="7C82D627" w14:textId="77777777" w:rsidR="005D0C5D" w:rsidRDefault="00000000">
            <w:pPr>
              <w:jc w:val="center"/>
              <w:cnfStyle w:val="000000100000" w:firstRow="0" w:lastRow="0" w:firstColumn="0" w:lastColumn="0" w:oddVBand="0" w:evenVBand="0" w:oddHBand="1" w:evenHBand="0" w:firstRowFirstColumn="0" w:firstRowLastColumn="0" w:lastRowFirstColumn="0" w:lastRowLastColumn="0"/>
            </w:pPr>
            <w:r>
              <w:rPr>
                <w:sz w:val="20"/>
                <w:szCs w:val="20"/>
              </w:rPr>
              <w:t>$14.12</w:t>
            </w:r>
          </w:p>
        </w:tc>
        <w:tc>
          <w:tcPr>
            <w:tcW w:w="1500" w:type="dxa"/>
          </w:tcPr>
          <w:p w14:paraId="425E8E21" w14:textId="77777777" w:rsidR="005D0C5D" w:rsidRDefault="00000000">
            <w:pPr>
              <w:jc w:val="center"/>
              <w:cnfStyle w:val="000000100000" w:firstRow="0" w:lastRow="0" w:firstColumn="0" w:lastColumn="0" w:oddVBand="0" w:evenVBand="0" w:oddHBand="1" w:evenHBand="0" w:firstRowFirstColumn="0" w:firstRowLastColumn="0" w:lastRowFirstColumn="0" w:lastRowLastColumn="0"/>
            </w:pPr>
            <w:r>
              <w:rPr>
                <w:sz w:val="20"/>
                <w:szCs w:val="20"/>
              </w:rPr>
              <w:t>$14.37</w:t>
            </w:r>
          </w:p>
        </w:tc>
        <w:tc>
          <w:tcPr>
            <w:tcW w:w="1500" w:type="dxa"/>
          </w:tcPr>
          <w:p w14:paraId="407F5A7C" w14:textId="77777777" w:rsidR="005D0C5D" w:rsidRDefault="00000000">
            <w:pPr>
              <w:jc w:val="center"/>
              <w:cnfStyle w:val="000000100000" w:firstRow="0" w:lastRow="0" w:firstColumn="0" w:lastColumn="0" w:oddVBand="0" w:evenVBand="0" w:oddHBand="1" w:evenHBand="0" w:firstRowFirstColumn="0" w:firstRowLastColumn="0" w:lastRowFirstColumn="0" w:lastRowLastColumn="0"/>
            </w:pPr>
            <w:r>
              <w:rPr>
                <w:sz w:val="20"/>
                <w:szCs w:val="20"/>
              </w:rPr>
              <w:t>$13.83</w:t>
            </w:r>
          </w:p>
        </w:tc>
        <w:tc>
          <w:tcPr>
            <w:tcW w:w="1500" w:type="dxa"/>
          </w:tcPr>
          <w:p w14:paraId="70BF205C" w14:textId="77777777" w:rsidR="005D0C5D" w:rsidRDefault="00000000">
            <w:pPr>
              <w:jc w:val="center"/>
              <w:cnfStyle w:val="000000100000" w:firstRow="0" w:lastRow="0" w:firstColumn="0" w:lastColumn="0" w:oddVBand="0" w:evenVBand="0" w:oddHBand="1" w:evenHBand="0" w:firstRowFirstColumn="0" w:firstRowLastColumn="0" w:lastRowFirstColumn="0" w:lastRowLastColumn="0"/>
            </w:pPr>
            <w:r>
              <w:rPr>
                <w:sz w:val="20"/>
                <w:szCs w:val="20"/>
              </w:rPr>
              <w:t>$14.09</w:t>
            </w:r>
          </w:p>
        </w:tc>
        <w:tc>
          <w:tcPr>
            <w:tcW w:w="1500" w:type="dxa"/>
          </w:tcPr>
          <w:p w14:paraId="6F49570A" w14:textId="77777777" w:rsidR="005D0C5D" w:rsidRDefault="00000000">
            <w:pPr>
              <w:jc w:val="center"/>
              <w:cnfStyle w:val="000000100000" w:firstRow="0" w:lastRow="0" w:firstColumn="0" w:lastColumn="0" w:oddVBand="0" w:evenVBand="0" w:oddHBand="1" w:evenHBand="0" w:firstRowFirstColumn="0" w:firstRowLastColumn="0" w:lastRowFirstColumn="0" w:lastRowLastColumn="0"/>
            </w:pPr>
            <w:r>
              <w:rPr>
                <w:sz w:val="20"/>
                <w:szCs w:val="20"/>
              </w:rPr>
              <w:t>19,099,880</w:t>
            </w:r>
          </w:p>
        </w:tc>
      </w:tr>
      <w:tr w:rsidR="005D0C5D" w14:paraId="6981442B" w14:textId="77777777" w:rsidTr="00DB34FC">
        <w:tc>
          <w:tcPr>
            <w:cnfStyle w:val="001000000000" w:firstRow="0" w:lastRow="0" w:firstColumn="1" w:lastColumn="0" w:oddVBand="0" w:evenVBand="0" w:oddHBand="0" w:evenHBand="0" w:firstRowFirstColumn="0" w:firstRowLastColumn="0" w:lastRowFirstColumn="0" w:lastRowLastColumn="0"/>
            <w:tcW w:w="1500" w:type="dxa"/>
          </w:tcPr>
          <w:p w14:paraId="039FE690" w14:textId="77777777" w:rsidR="005D0C5D" w:rsidRDefault="00000000">
            <w:pPr>
              <w:jc w:val="center"/>
            </w:pPr>
            <w:r>
              <w:rPr>
                <w:sz w:val="20"/>
                <w:szCs w:val="20"/>
              </w:rPr>
              <w:t>Min</w:t>
            </w:r>
          </w:p>
        </w:tc>
        <w:tc>
          <w:tcPr>
            <w:tcW w:w="1500" w:type="dxa"/>
          </w:tcPr>
          <w:p w14:paraId="285CE347" w14:textId="77777777" w:rsidR="005D0C5D" w:rsidRDefault="00000000">
            <w:pPr>
              <w:jc w:val="center"/>
              <w:cnfStyle w:val="000000000000" w:firstRow="0" w:lastRow="0" w:firstColumn="0" w:lastColumn="0" w:oddVBand="0" w:evenVBand="0" w:oddHBand="0" w:evenHBand="0" w:firstRowFirstColumn="0" w:firstRowLastColumn="0" w:lastRowFirstColumn="0" w:lastRowLastColumn="0"/>
            </w:pPr>
            <w:r>
              <w:rPr>
                <w:sz w:val="20"/>
                <w:szCs w:val="20"/>
              </w:rPr>
              <w:t>$13.95</w:t>
            </w:r>
          </w:p>
        </w:tc>
        <w:tc>
          <w:tcPr>
            <w:tcW w:w="1500" w:type="dxa"/>
          </w:tcPr>
          <w:p w14:paraId="0E87E0C8" w14:textId="77777777" w:rsidR="005D0C5D" w:rsidRDefault="00000000">
            <w:pPr>
              <w:jc w:val="center"/>
              <w:cnfStyle w:val="000000000000" w:firstRow="0" w:lastRow="0" w:firstColumn="0" w:lastColumn="0" w:oddVBand="0" w:evenVBand="0" w:oddHBand="0" w:evenHBand="0" w:firstRowFirstColumn="0" w:firstRowLastColumn="0" w:lastRowFirstColumn="0" w:lastRowLastColumn="0"/>
            </w:pPr>
            <w:r>
              <w:rPr>
                <w:sz w:val="20"/>
                <w:szCs w:val="20"/>
              </w:rPr>
              <w:t>$14.22</w:t>
            </w:r>
          </w:p>
        </w:tc>
        <w:tc>
          <w:tcPr>
            <w:tcW w:w="1500" w:type="dxa"/>
          </w:tcPr>
          <w:p w14:paraId="0DC6FECC" w14:textId="77777777" w:rsidR="005D0C5D" w:rsidRDefault="00000000">
            <w:pPr>
              <w:jc w:val="center"/>
              <w:cnfStyle w:val="000000000000" w:firstRow="0" w:lastRow="0" w:firstColumn="0" w:lastColumn="0" w:oddVBand="0" w:evenVBand="0" w:oddHBand="0" w:evenHBand="0" w:firstRowFirstColumn="0" w:firstRowLastColumn="0" w:lastRowFirstColumn="0" w:lastRowLastColumn="0"/>
            </w:pPr>
            <w:r>
              <w:rPr>
                <w:sz w:val="20"/>
                <w:szCs w:val="20"/>
              </w:rPr>
              <w:t>$13.73</w:t>
            </w:r>
          </w:p>
        </w:tc>
        <w:tc>
          <w:tcPr>
            <w:tcW w:w="1500" w:type="dxa"/>
          </w:tcPr>
          <w:p w14:paraId="26299D0C" w14:textId="77777777" w:rsidR="005D0C5D" w:rsidRDefault="00000000">
            <w:pPr>
              <w:jc w:val="center"/>
              <w:cnfStyle w:val="000000000000" w:firstRow="0" w:lastRow="0" w:firstColumn="0" w:lastColumn="0" w:oddVBand="0" w:evenVBand="0" w:oddHBand="0" w:evenHBand="0" w:firstRowFirstColumn="0" w:firstRowLastColumn="0" w:lastRowFirstColumn="0" w:lastRowLastColumn="0"/>
            </w:pPr>
            <w:r>
              <w:rPr>
                <w:sz w:val="20"/>
                <w:szCs w:val="20"/>
              </w:rPr>
              <w:t>$14.01</w:t>
            </w:r>
          </w:p>
        </w:tc>
        <w:tc>
          <w:tcPr>
            <w:tcW w:w="1500" w:type="dxa"/>
          </w:tcPr>
          <w:p w14:paraId="257A8D08" w14:textId="77777777" w:rsidR="005D0C5D" w:rsidRDefault="00000000">
            <w:pPr>
              <w:jc w:val="center"/>
              <w:cnfStyle w:val="000000000000" w:firstRow="0" w:lastRow="0" w:firstColumn="0" w:lastColumn="0" w:oddVBand="0" w:evenVBand="0" w:oddHBand="0" w:evenHBand="0" w:firstRowFirstColumn="0" w:firstRowLastColumn="0" w:lastRowFirstColumn="0" w:lastRowLastColumn="0"/>
            </w:pPr>
            <w:r>
              <w:rPr>
                <w:sz w:val="20"/>
                <w:szCs w:val="20"/>
              </w:rPr>
              <w:t>0</w:t>
            </w:r>
          </w:p>
        </w:tc>
      </w:tr>
      <w:tr w:rsidR="005D0C5D" w14:paraId="3447A7B1" w14:textId="77777777" w:rsidTr="00DB34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1F2124C7" w14:textId="77777777" w:rsidR="005D0C5D" w:rsidRDefault="00000000">
            <w:pPr>
              <w:jc w:val="center"/>
            </w:pPr>
            <w:r>
              <w:rPr>
                <w:sz w:val="20"/>
                <w:szCs w:val="20"/>
              </w:rPr>
              <w:lastRenderedPageBreak/>
              <w:t>25%</w:t>
            </w:r>
          </w:p>
        </w:tc>
        <w:tc>
          <w:tcPr>
            <w:tcW w:w="1500" w:type="dxa"/>
          </w:tcPr>
          <w:p w14:paraId="558CA322" w14:textId="77777777" w:rsidR="005D0C5D" w:rsidRDefault="00000000">
            <w:pPr>
              <w:jc w:val="center"/>
              <w:cnfStyle w:val="000000100000" w:firstRow="0" w:lastRow="0" w:firstColumn="0" w:lastColumn="0" w:oddVBand="0" w:evenVBand="0" w:oddHBand="1" w:evenHBand="0" w:firstRowFirstColumn="0" w:firstRowLastColumn="0" w:lastRowFirstColumn="0" w:lastRowLastColumn="0"/>
            </w:pPr>
            <w:r>
              <w:rPr>
                <w:sz w:val="20"/>
                <w:szCs w:val="20"/>
              </w:rPr>
              <w:t>$25.55</w:t>
            </w:r>
          </w:p>
        </w:tc>
        <w:tc>
          <w:tcPr>
            <w:tcW w:w="1500" w:type="dxa"/>
          </w:tcPr>
          <w:p w14:paraId="0F5B3C13" w14:textId="77777777" w:rsidR="005D0C5D" w:rsidRDefault="00000000">
            <w:pPr>
              <w:jc w:val="center"/>
              <w:cnfStyle w:val="000000100000" w:firstRow="0" w:lastRow="0" w:firstColumn="0" w:lastColumn="0" w:oddVBand="0" w:evenVBand="0" w:oddHBand="1" w:evenHBand="0" w:firstRowFirstColumn="0" w:firstRowLastColumn="0" w:lastRowFirstColumn="0" w:lastRowLastColumn="0"/>
            </w:pPr>
            <w:r>
              <w:rPr>
                <w:sz w:val="20"/>
                <w:szCs w:val="20"/>
              </w:rPr>
              <w:t>$26.22</w:t>
            </w:r>
          </w:p>
        </w:tc>
        <w:tc>
          <w:tcPr>
            <w:tcW w:w="1500" w:type="dxa"/>
          </w:tcPr>
          <w:p w14:paraId="3A1C6DE2" w14:textId="77777777" w:rsidR="005D0C5D" w:rsidRDefault="00000000">
            <w:pPr>
              <w:jc w:val="center"/>
              <w:cnfStyle w:val="000000100000" w:firstRow="0" w:lastRow="0" w:firstColumn="0" w:lastColumn="0" w:oddVBand="0" w:evenVBand="0" w:oddHBand="1" w:evenHBand="0" w:firstRowFirstColumn="0" w:firstRowLastColumn="0" w:lastRowFirstColumn="0" w:lastRowLastColumn="0"/>
            </w:pPr>
            <w:r>
              <w:rPr>
                <w:sz w:val="20"/>
                <w:szCs w:val="20"/>
              </w:rPr>
              <w:t>$24.91</w:t>
            </w:r>
          </w:p>
        </w:tc>
        <w:tc>
          <w:tcPr>
            <w:tcW w:w="1500" w:type="dxa"/>
          </w:tcPr>
          <w:p w14:paraId="6FB04DCA" w14:textId="77777777" w:rsidR="005D0C5D" w:rsidRDefault="00000000">
            <w:pPr>
              <w:jc w:val="center"/>
              <w:cnfStyle w:val="000000100000" w:firstRow="0" w:lastRow="0" w:firstColumn="0" w:lastColumn="0" w:oddVBand="0" w:evenVBand="0" w:oddHBand="1" w:evenHBand="0" w:firstRowFirstColumn="0" w:firstRowLastColumn="0" w:lastRowFirstColumn="0" w:lastRowLastColumn="0"/>
            </w:pPr>
            <w:r>
              <w:rPr>
                <w:sz w:val="20"/>
                <w:szCs w:val="20"/>
              </w:rPr>
              <w:t>$25.41</w:t>
            </w:r>
          </w:p>
        </w:tc>
        <w:tc>
          <w:tcPr>
            <w:tcW w:w="1500" w:type="dxa"/>
          </w:tcPr>
          <w:p w14:paraId="59A544A7" w14:textId="77777777" w:rsidR="005D0C5D" w:rsidRDefault="00000000">
            <w:pPr>
              <w:jc w:val="center"/>
              <w:cnfStyle w:val="000000100000" w:firstRow="0" w:lastRow="0" w:firstColumn="0" w:lastColumn="0" w:oddVBand="0" w:evenVBand="0" w:oddHBand="1" w:evenHBand="0" w:firstRowFirstColumn="0" w:firstRowLastColumn="0" w:lastRowFirstColumn="0" w:lastRowLastColumn="0"/>
            </w:pPr>
            <w:r>
              <w:rPr>
                <w:sz w:val="20"/>
                <w:szCs w:val="20"/>
              </w:rPr>
              <w:t>12,335,300</w:t>
            </w:r>
          </w:p>
        </w:tc>
      </w:tr>
      <w:tr w:rsidR="005D0C5D" w14:paraId="5D506662" w14:textId="77777777" w:rsidTr="00DB34FC">
        <w:tc>
          <w:tcPr>
            <w:cnfStyle w:val="001000000000" w:firstRow="0" w:lastRow="0" w:firstColumn="1" w:lastColumn="0" w:oddVBand="0" w:evenVBand="0" w:oddHBand="0" w:evenHBand="0" w:firstRowFirstColumn="0" w:firstRowLastColumn="0" w:lastRowFirstColumn="0" w:lastRowLastColumn="0"/>
            <w:tcW w:w="1500" w:type="dxa"/>
          </w:tcPr>
          <w:p w14:paraId="3BF8EFCB" w14:textId="77777777" w:rsidR="005D0C5D" w:rsidRDefault="00000000">
            <w:pPr>
              <w:jc w:val="center"/>
            </w:pPr>
            <w:r>
              <w:rPr>
                <w:sz w:val="20"/>
                <w:szCs w:val="20"/>
              </w:rPr>
              <w:t>50%</w:t>
            </w:r>
          </w:p>
        </w:tc>
        <w:tc>
          <w:tcPr>
            <w:tcW w:w="1500" w:type="dxa"/>
          </w:tcPr>
          <w:p w14:paraId="581404F4" w14:textId="77777777" w:rsidR="005D0C5D" w:rsidRDefault="00000000">
            <w:pPr>
              <w:jc w:val="center"/>
              <w:cnfStyle w:val="000000000000" w:firstRow="0" w:lastRow="0" w:firstColumn="0" w:lastColumn="0" w:oddVBand="0" w:evenVBand="0" w:oddHBand="0" w:evenHBand="0" w:firstRowFirstColumn="0" w:firstRowLastColumn="0" w:lastRowFirstColumn="0" w:lastRowLastColumn="0"/>
            </w:pPr>
            <w:r>
              <w:rPr>
                <w:sz w:val="20"/>
                <w:szCs w:val="20"/>
              </w:rPr>
              <w:t>$35.42</w:t>
            </w:r>
          </w:p>
        </w:tc>
        <w:tc>
          <w:tcPr>
            <w:tcW w:w="1500" w:type="dxa"/>
          </w:tcPr>
          <w:p w14:paraId="130EE60D" w14:textId="77777777" w:rsidR="005D0C5D" w:rsidRDefault="00000000">
            <w:pPr>
              <w:jc w:val="center"/>
              <w:cnfStyle w:val="000000000000" w:firstRow="0" w:lastRow="0" w:firstColumn="0" w:lastColumn="0" w:oddVBand="0" w:evenVBand="0" w:oddHBand="0" w:evenHBand="0" w:firstRowFirstColumn="0" w:firstRowLastColumn="0" w:lastRowFirstColumn="0" w:lastRowLastColumn="0"/>
            </w:pPr>
            <w:r>
              <w:rPr>
                <w:sz w:val="20"/>
                <w:szCs w:val="20"/>
              </w:rPr>
              <w:t>$36.10</w:t>
            </w:r>
          </w:p>
        </w:tc>
        <w:tc>
          <w:tcPr>
            <w:tcW w:w="1500" w:type="dxa"/>
          </w:tcPr>
          <w:p w14:paraId="3D9C394B" w14:textId="77777777" w:rsidR="005D0C5D" w:rsidRDefault="00000000">
            <w:pPr>
              <w:jc w:val="center"/>
              <w:cnfStyle w:val="000000000000" w:firstRow="0" w:lastRow="0" w:firstColumn="0" w:lastColumn="0" w:oddVBand="0" w:evenVBand="0" w:oddHBand="0" w:evenHBand="0" w:firstRowFirstColumn="0" w:firstRowLastColumn="0" w:lastRowFirstColumn="0" w:lastRowLastColumn="0"/>
            </w:pPr>
            <w:r>
              <w:rPr>
                <w:sz w:val="20"/>
                <w:szCs w:val="20"/>
              </w:rPr>
              <w:t>$34.82</w:t>
            </w:r>
          </w:p>
        </w:tc>
        <w:tc>
          <w:tcPr>
            <w:tcW w:w="1500" w:type="dxa"/>
          </w:tcPr>
          <w:p w14:paraId="2D4ED168" w14:textId="77777777" w:rsidR="005D0C5D" w:rsidRDefault="00000000">
            <w:pPr>
              <w:jc w:val="center"/>
              <w:cnfStyle w:val="000000000000" w:firstRow="0" w:lastRow="0" w:firstColumn="0" w:lastColumn="0" w:oddVBand="0" w:evenVBand="0" w:oddHBand="0" w:evenHBand="0" w:firstRowFirstColumn="0" w:firstRowLastColumn="0" w:lastRowFirstColumn="0" w:lastRowLastColumn="0"/>
            </w:pPr>
            <w:r>
              <w:rPr>
                <w:sz w:val="20"/>
                <w:szCs w:val="20"/>
              </w:rPr>
              <w:t>$35.49</w:t>
            </w:r>
          </w:p>
        </w:tc>
        <w:tc>
          <w:tcPr>
            <w:tcW w:w="1500" w:type="dxa"/>
          </w:tcPr>
          <w:p w14:paraId="43C4507B" w14:textId="77777777" w:rsidR="005D0C5D" w:rsidRDefault="00000000">
            <w:pPr>
              <w:jc w:val="center"/>
              <w:cnfStyle w:val="000000000000" w:firstRow="0" w:lastRow="0" w:firstColumn="0" w:lastColumn="0" w:oddVBand="0" w:evenVBand="0" w:oddHBand="0" w:evenHBand="0" w:firstRowFirstColumn="0" w:firstRowLastColumn="0" w:lastRowFirstColumn="0" w:lastRowLastColumn="0"/>
            </w:pPr>
            <w:r>
              <w:rPr>
                <w:sz w:val="20"/>
                <w:szCs w:val="20"/>
              </w:rPr>
              <w:t>16,913,050</w:t>
            </w:r>
          </w:p>
        </w:tc>
      </w:tr>
      <w:tr w:rsidR="005D0C5D" w14:paraId="516E6FE9" w14:textId="77777777" w:rsidTr="00DB34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7074A66C" w14:textId="77777777" w:rsidR="005D0C5D" w:rsidRDefault="00000000">
            <w:pPr>
              <w:jc w:val="center"/>
            </w:pPr>
            <w:r>
              <w:rPr>
                <w:sz w:val="20"/>
                <w:szCs w:val="20"/>
              </w:rPr>
              <w:t>75%</w:t>
            </w:r>
          </w:p>
        </w:tc>
        <w:tc>
          <w:tcPr>
            <w:tcW w:w="1500" w:type="dxa"/>
          </w:tcPr>
          <w:p w14:paraId="462181DB" w14:textId="77777777" w:rsidR="005D0C5D" w:rsidRDefault="00000000">
            <w:pPr>
              <w:jc w:val="center"/>
              <w:cnfStyle w:val="000000100000" w:firstRow="0" w:lastRow="0" w:firstColumn="0" w:lastColumn="0" w:oddVBand="0" w:evenVBand="0" w:oddHBand="1" w:evenHBand="0" w:firstRowFirstColumn="0" w:firstRowLastColumn="0" w:lastRowFirstColumn="0" w:lastRowLastColumn="0"/>
            </w:pPr>
            <w:r>
              <w:rPr>
                <w:sz w:val="20"/>
                <w:szCs w:val="20"/>
              </w:rPr>
              <w:t>$44.21</w:t>
            </w:r>
          </w:p>
        </w:tc>
        <w:tc>
          <w:tcPr>
            <w:tcW w:w="1500" w:type="dxa"/>
          </w:tcPr>
          <w:p w14:paraId="0E7F9BE2" w14:textId="77777777" w:rsidR="005D0C5D" w:rsidRDefault="00000000">
            <w:pPr>
              <w:jc w:val="center"/>
              <w:cnfStyle w:val="000000100000" w:firstRow="0" w:lastRow="0" w:firstColumn="0" w:lastColumn="0" w:oddVBand="0" w:evenVBand="0" w:oddHBand="1" w:evenHBand="0" w:firstRowFirstColumn="0" w:firstRowLastColumn="0" w:lastRowFirstColumn="0" w:lastRowLastColumn="0"/>
            </w:pPr>
            <w:r>
              <w:rPr>
                <w:sz w:val="20"/>
                <w:szCs w:val="20"/>
              </w:rPr>
              <w:t>$45.02</w:t>
            </w:r>
          </w:p>
        </w:tc>
        <w:tc>
          <w:tcPr>
            <w:tcW w:w="1500" w:type="dxa"/>
          </w:tcPr>
          <w:p w14:paraId="508BE11A" w14:textId="77777777" w:rsidR="005D0C5D" w:rsidRDefault="00000000">
            <w:pPr>
              <w:jc w:val="center"/>
              <w:cnfStyle w:val="000000100000" w:firstRow="0" w:lastRow="0" w:firstColumn="0" w:lastColumn="0" w:oddVBand="0" w:evenVBand="0" w:oddHBand="1" w:evenHBand="0" w:firstRowFirstColumn="0" w:firstRowLastColumn="0" w:lastRowFirstColumn="0" w:lastRowLastColumn="0"/>
            </w:pPr>
            <w:r>
              <w:rPr>
                <w:sz w:val="20"/>
                <w:szCs w:val="20"/>
              </w:rPr>
              <w:t>$43.33</w:t>
            </w:r>
          </w:p>
        </w:tc>
        <w:tc>
          <w:tcPr>
            <w:tcW w:w="1500" w:type="dxa"/>
          </w:tcPr>
          <w:p w14:paraId="21477E89" w14:textId="77777777" w:rsidR="005D0C5D" w:rsidRDefault="00000000">
            <w:pPr>
              <w:jc w:val="center"/>
              <w:cnfStyle w:val="000000100000" w:firstRow="0" w:lastRow="0" w:firstColumn="0" w:lastColumn="0" w:oddVBand="0" w:evenVBand="0" w:oddHBand="1" w:evenHBand="0" w:firstRowFirstColumn="0" w:firstRowLastColumn="0" w:lastRowFirstColumn="0" w:lastRowLastColumn="0"/>
            </w:pPr>
            <w:r>
              <w:rPr>
                <w:sz w:val="20"/>
                <w:szCs w:val="20"/>
              </w:rPr>
              <w:t>$44.14</w:t>
            </w:r>
          </w:p>
        </w:tc>
        <w:tc>
          <w:tcPr>
            <w:tcW w:w="1500" w:type="dxa"/>
          </w:tcPr>
          <w:p w14:paraId="4ECE0A50" w14:textId="77777777" w:rsidR="005D0C5D" w:rsidRDefault="00000000">
            <w:pPr>
              <w:jc w:val="center"/>
              <w:cnfStyle w:val="000000100000" w:firstRow="0" w:lastRow="0" w:firstColumn="0" w:lastColumn="0" w:oddVBand="0" w:evenVBand="0" w:oddHBand="1" w:evenHBand="0" w:firstRowFirstColumn="0" w:firstRowLastColumn="0" w:lastRowFirstColumn="0" w:lastRowLastColumn="0"/>
            </w:pPr>
            <w:r>
              <w:rPr>
                <w:sz w:val="20"/>
                <w:szCs w:val="20"/>
              </w:rPr>
              <w:t>24,280,820</w:t>
            </w:r>
          </w:p>
        </w:tc>
      </w:tr>
      <w:tr w:rsidR="005D0C5D" w14:paraId="62765295" w14:textId="77777777" w:rsidTr="00DB34FC">
        <w:tc>
          <w:tcPr>
            <w:cnfStyle w:val="001000000000" w:firstRow="0" w:lastRow="0" w:firstColumn="1" w:lastColumn="0" w:oddVBand="0" w:evenVBand="0" w:oddHBand="0" w:evenHBand="0" w:firstRowFirstColumn="0" w:firstRowLastColumn="0" w:lastRowFirstColumn="0" w:lastRowLastColumn="0"/>
            <w:tcW w:w="1500" w:type="dxa"/>
          </w:tcPr>
          <w:p w14:paraId="14C8171D" w14:textId="77777777" w:rsidR="005D0C5D" w:rsidRDefault="00000000">
            <w:pPr>
              <w:jc w:val="center"/>
            </w:pPr>
            <w:r>
              <w:rPr>
                <w:sz w:val="20"/>
                <w:szCs w:val="20"/>
              </w:rPr>
              <w:t>Max</w:t>
            </w:r>
          </w:p>
        </w:tc>
        <w:tc>
          <w:tcPr>
            <w:tcW w:w="1500" w:type="dxa"/>
          </w:tcPr>
          <w:p w14:paraId="5B2B625D" w14:textId="77777777" w:rsidR="005D0C5D" w:rsidRDefault="00000000">
            <w:pPr>
              <w:jc w:val="center"/>
              <w:cnfStyle w:val="000000000000" w:firstRow="0" w:lastRow="0" w:firstColumn="0" w:lastColumn="0" w:oddVBand="0" w:evenVBand="0" w:oddHBand="0" w:evenHBand="0" w:firstRowFirstColumn="0" w:firstRowLastColumn="0" w:lastRowFirstColumn="0" w:lastRowLastColumn="0"/>
            </w:pPr>
            <w:r>
              <w:rPr>
                <w:sz w:val="20"/>
                <w:szCs w:val="20"/>
              </w:rPr>
              <w:t>$78.36</w:t>
            </w:r>
          </w:p>
        </w:tc>
        <w:tc>
          <w:tcPr>
            <w:tcW w:w="1500" w:type="dxa"/>
          </w:tcPr>
          <w:p w14:paraId="2A6977C8" w14:textId="77777777" w:rsidR="005D0C5D" w:rsidRDefault="00000000">
            <w:pPr>
              <w:jc w:val="center"/>
              <w:cnfStyle w:val="000000000000" w:firstRow="0" w:lastRow="0" w:firstColumn="0" w:lastColumn="0" w:oddVBand="0" w:evenVBand="0" w:oddHBand="0" w:evenHBand="0" w:firstRowFirstColumn="0" w:firstRowLastColumn="0" w:lastRowFirstColumn="0" w:lastRowLastColumn="0"/>
            </w:pPr>
            <w:r>
              <w:rPr>
                <w:sz w:val="20"/>
                <w:szCs w:val="20"/>
              </w:rPr>
              <w:t>$80.75</w:t>
            </w:r>
          </w:p>
        </w:tc>
        <w:tc>
          <w:tcPr>
            <w:tcW w:w="1500" w:type="dxa"/>
          </w:tcPr>
          <w:p w14:paraId="2B250003" w14:textId="77777777" w:rsidR="005D0C5D" w:rsidRDefault="00000000">
            <w:pPr>
              <w:jc w:val="center"/>
              <w:cnfStyle w:val="000000000000" w:firstRow="0" w:lastRow="0" w:firstColumn="0" w:lastColumn="0" w:oddVBand="0" w:evenVBand="0" w:oddHBand="0" w:evenHBand="0" w:firstRowFirstColumn="0" w:firstRowLastColumn="0" w:lastRowFirstColumn="0" w:lastRowLastColumn="0"/>
            </w:pPr>
            <w:r>
              <w:rPr>
                <w:sz w:val="20"/>
                <w:szCs w:val="20"/>
              </w:rPr>
              <w:t>$76.05</w:t>
            </w:r>
          </w:p>
        </w:tc>
        <w:tc>
          <w:tcPr>
            <w:tcW w:w="1500" w:type="dxa"/>
          </w:tcPr>
          <w:p w14:paraId="457E2A16" w14:textId="77777777" w:rsidR="005D0C5D" w:rsidRDefault="00000000">
            <w:pPr>
              <w:jc w:val="center"/>
              <w:cnfStyle w:val="000000000000" w:firstRow="0" w:lastRow="0" w:firstColumn="0" w:lastColumn="0" w:oddVBand="0" w:evenVBand="0" w:oddHBand="0" w:evenHBand="0" w:firstRowFirstColumn="0" w:firstRowLastColumn="0" w:lastRowFirstColumn="0" w:lastRowLastColumn="0"/>
            </w:pPr>
            <w:r>
              <w:rPr>
                <w:sz w:val="20"/>
                <w:szCs w:val="20"/>
              </w:rPr>
              <w:t>$77.63</w:t>
            </w:r>
          </w:p>
        </w:tc>
        <w:tc>
          <w:tcPr>
            <w:tcW w:w="1500" w:type="dxa"/>
          </w:tcPr>
          <w:p w14:paraId="14217446" w14:textId="77777777" w:rsidR="005D0C5D" w:rsidRDefault="00000000">
            <w:pPr>
              <w:jc w:val="center"/>
              <w:cnfStyle w:val="000000000000" w:firstRow="0" w:lastRow="0" w:firstColumn="0" w:lastColumn="0" w:oddVBand="0" w:evenVBand="0" w:oddHBand="0" w:evenHBand="0" w:firstRowFirstColumn="0" w:firstRowLastColumn="0" w:lastRowFirstColumn="0" w:lastRowLastColumn="0"/>
            </w:pPr>
            <w:r>
              <w:rPr>
                <w:sz w:val="20"/>
                <w:szCs w:val="20"/>
              </w:rPr>
              <w:t>269,213,100</w:t>
            </w:r>
          </w:p>
        </w:tc>
      </w:tr>
    </w:tbl>
    <w:p w14:paraId="704AFDF6" w14:textId="77777777" w:rsidR="005D0C5D" w:rsidRDefault="005D0C5D">
      <w:pPr>
        <w:spacing w:after="60"/>
      </w:pPr>
    </w:p>
    <w:p w14:paraId="07FDAC6C" w14:textId="77777777" w:rsidR="005D0C5D" w:rsidRPr="00DB34FC" w:rsidRDefault="00000000">
      <w:pPr>
        <w:pStyle w:val="Heading2"/>
        <w:rPr>
          <w:color w:val="0D0D0D" w:themeColor="text1" w:themeTint="F2"/>
        </w:rPr>
      </w:pPr>
      <w:r w:rsidRPr="00DB34FC">
        <w:rPr>
          <w:color w:val="0D0D0D" w:themeColor="text1" w:themeTint="F2"/>
        </w:rPr>
        <w:t>4.5 Key Observations from Task 1</w:t>
      </w:r>
    </w:p>
    <w:p w14:paraId="29CC6DFF" w14:textId="77777777" w:rsidR="005D0C5D" w:rsidRDefault="00000000">
      <w:pPr>
        <w:pStyle w:val="ListParagraph"/>
        <w:numPr>
          <w:ilvl w:val="0"/>
          <w:numId w:val="1"/>
        </w:numPr>
        <w:spacing w:after="80"/>
      </w:pPr>
      <w:r>
        <w:t>The median Close price of $35.49 versus the mean of $36.00 indicates a nearly symmetric distribution with slight right skew driven by the April 2022 acquisition spike.</w:t>
      </w:r>
    </w:p>
    <w:p w14:paraId="22A4A369" w14:textId="77777777" w:rsidR="005D0C5D" w:rsidRDefault="00000000">
      <w:pPr>
        <w:pStyle w:val="ListParagraph"/>
        <w:numPr>
          <w:ilvl w:val="0"/>
          <w:numId w:val="1"/>
        </w:numPr>
        <w:spacing w:after="80"/>
      </w:pPr>
      <w:r>
        <w:t>The maximum Close price of $77.63 occurred in April 2022 when Elon Musk's $54.20/share offer drove speculative trading well above the offer price.</w:t>
      </w:r>
    </w:p>
    <w:p w14:paraId="211DA978" w14:textId="77777777" w:rsidR="005D0C5D" w:rsidRDefault="00000000">
      <w:pPr>
        <w:pStyle w:val="ListParagraph"/>
        <w:numPr>
          <w:ilvl w:val="0"/>
          <w:numId w:val="1"/>
        </w:numPr>
        <w:spacing w:after="80"/>
      </w:pPr>
      <w:r>
        <w:t>The minimum Close of $14.01 aligns with the COVID-19 market crash of March 2020, Twitter's all-time low within this dataset.</w:t>
      </w:r>
    </w:p>
    <w:p w14:paraId="09FB2E86" w14:textId="77777777" w:rsidR="005D0C5D" w:rsidRDefault="00000000">
      <w:pPr>
        <w:pStyle w:val="ListParagraph"/>
        <w:numPr>
          <w:ilvl w:val="0"/>
          <w:numId w:val="1"/>
        </w:numPr>
        <w:spacing w:after="80"/>
      </w:pPr>
      <w:r>
        <w:t>Volume's maximum of 269 million shares (vs. a mean of ~21.7 million) confirms extreme event-driven trading spikes — approximately 12x the average.</w:t>
      </w:r>
    </w:p>
    <w:p w14:paraId="04347A90" w14:textId="77777777" w:rsidR="005D0C5D" w:rsidRDefault="00000000">
      <w:pPr>
        <w:pStyle w:val="ListParagraph"/>
        <w:numPr>
          <w:ilvl w:val="0"/>
          <w:numId w:val="1"/>
        </w:numPr>
        <w:spacing w:after="80"/>
      </w:pPr>
      <w:proofErr w:type="spellStart"/>
      <w:r>
        <w:t>Adj</w:t>
      </w:r>
      <w:proofErr w:type="spellEnd"/>
      <w:r>
        <w:t xml:space="preserve"> Close equals Close throughout, confirming no dividend payments or stock splits occurred during the period.</w:t>
      </w:r>
    </w:p>
    <w:p w14:paraId="6C4E9C69" w14:textId="77777777" w:rsidR="005D0C5D" w:rsidRDefault="00000000">
      <w:r>
        <w:br w:type="page"/>
      </w:r>
    </w:p>
    <w:p w14:paraId="1ED34788" w14:textId="77777777" w:rsidR="005D0C5D" w:rsidRPr="00DB34FC" w:rsidRDefault="00000000">
      <w:pPr>
        <w:pStyle w:val="Heading1"/>
        <w:spacing w:before="320"/>
        <w:rPr>
          <w:color w:val="0D0D0D" w:themeColor="text1" w:themeTint="F2"/>
        </w:rPr>
      </w:pPr>
      <w:r w:rsidRPr="00DB34FC">
        <w:rPr>
          <w:color w:val="0D0D0D" w:themeColor="text1" w:themeTint="F2"/>
        </w:rPr>
        <w:lastRenderedPageBreak/>
        <w:t>5. Task 2 — Statistical Tests and Analysis</w:t>
      </w:r>
    </w:p>
    <w:p w14:paraId="2A6BE8BA" w14:textId="77777777" w:rsidR="005D0C5D" w:rsidRPr="00DB34FC" w:rsidRDefault="00000000">
      <w:pPr>
        <w:pStyle w:val="Heading2"/>
        <w:rPr>
          <w:color w:val="0D0D0D" w:themeColor="text1" w:themeTint="F2"/>
        </w:rPr>
      </w:pPr>
      <w:r w:rsidRPr="00DB34FC">
        <w:rPr>
          <w:color w:val="0D0D0D" w:themeColor="text1" w:themeTint="F2"/>
        </w:rPr>
        <w:t>5.1 T-Test Analysis (High vs Low vs Close)</w:t>
      </w:r>
    </w:p>
    <w:p w14:paraId="08CBE384" w14:textId="77777777" w:rsidR="005D0C5D" w:rsidRDefault="00000000">
      <w:pPr>
        <w:spacing w:after="120"/>
        <w:jc w:val="both"/>
      </w:pPr>
      <w:r>
        <w:t xml:space="preserve">Independent two-sample T-tests were conducted to determine whether the means of the High, Low, and Close price columns are statistically significantly different from one another. The null hypothesis (H₀) states that no significant difference exists between the </w:t>
      </w:r>
      <w:proofErr w:type="gramStart"/>
      <w:r>
        <w:t>two column</w:t>
      </w:r>
      <w:proofErr w:type="gramEnd"/>
      <w:r>
        <w:t xml:space="preserve"> means being compared. The significance threshold used is α = 0.05.</w:t>
      </w:r>
    </w:p>
    <w:p w14:paraId="10E3FE6C" w14:textId="77777777" w:rsidR="005D0C5D" w:rsidRDefault="005D0C5D">
      <w:pPr>
        <w:spacing w:after="60"/>
      </w:pPr>
    </w:p>
    <w:tbl>
      <w:tblPr>
        <w:tblStyle w:val="GridTable4"/>
        <w:tblW w:w="9000" w:type="dxa"/>
        <w:tblLook w:val="04A0" w:firstRow="1" w:lastRow="0" w:firstColumn="1" w:lastColumn="0" w:noHBand="0" w:noVBand="1"/>
      </w:tblPr>
      <w:tblGrid>
        <w:gridCol w:w="1800"/>
        <w:gridCol w:w="1800"/>
        <w:gridCol w:w="1800"/>
        <w:gridCol w:w="1800"/>
        <w:gridCol w:w="1800"/>
      </w:tblGrid>
      <w:tr w:rsidR="005D0C5D" w14:paraId="0F2D2DB4" w14:textId="77777777" w:rsidTr="00DB34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15A422F2" w14:textId="77777777" w:rsidR="005D0C5D" w:rsidRDefault="00000000">
            <w:pPr>
              <w:jc w:val="center"/>
            </w:pPr>
            <w:r>
              <w:rPr>
                <w:color w:val="FFFFFF"/>
                <w:sz w:val="20"/>
                <w:szCs w:val="20"/>
              </w:rPr>
              <w:t>Test Pair</w:t>
            </w:r>
          </w:p>
        </w:tc>
        <w:tc>
          <w:tcPr>
            <w:tcW w:w="1800" w:type="dxa"/>
          </w:tcPr>
          <w:p w14:paraId="54DD49BF" w14:textId="77777777" w:rsidR="005D0C5D"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T-Statistic</w:t>
            </w:r>
          </w:p>
        </w:tc>
        <w:tc>
          <w:tcPr>
            <w:tcW w:w="1800" w:type="dxa"/>
          </w:tcPr>
          <w:p w14:paraId="48630831" w14:textId="77777777" w:rsidR="005D0C5D"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P-Value</w:t>
            </w:r>
          </w:p>
        </w:tc>
        <w:tc>
          <w:tcPr>
            <w:tcW w:w="1800" w:type="dxa"/>
          </w:tcPr>
          <w:p w14:paraId="1A3E178B" w14:textId="77777777" w:rsidR="005D0C5D"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Decision</w:t>
            </w:r>
          </w:p>
        </w:tc>
        <w:tc>
          <w:tcPr>
            <w:tcW w:w="1800" w:type="dxa"/>
          </w:tcPr>
          <w:p w14:paraId="5B19FDDF" w14:textId="77777777" w:rsidR="005D0C5D"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Conclusion</w:t>
            </w:r>
          </w:p>
        </w:tc>
      </w:tr>
      <w:tr w:rsidR="005D0C5D" w14:paraId="70962239" w14:textId="77777777" w:rsidTr="00DB34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533F1620" w14:textId="77777777" w:rsidR="005D0C5D" w:rsidRDefault="00000000">
            <w:pPr>
              <w:jc w:val="center"/>
            </w:pPr>
            <w:r>
              <w:rPr>
                <w:sz w:val="20"/>
                <w:szCs w:val="20"/>
              </w:rPr>
              <w:t>High vs Low</w:t>
            </w:r>
          </w:p>
        </w:tc>
        <w:tc>
          <w:tcPr>
            <w:tcW w:w="1800" w:type="dxa"/>
          </w:tcPr>
          <w:p w14:paraId="3640AB42" w14:textId="77777777" w:rsidR="005D0C5D" w:rsidRDefault="00000000">
            <w:pPr>
              <w:jc w:val="center"/>
              <w:cnfStyle w:val="000000100000" w:firstRow="0" w:lastRow="0" w:firstColumn="0" w:lastColumn="0" w:oddVBand="0" w:evenVBand="0" w:oddHBand="1" w:evenHBand="0" w:firstRowFirstColumn="0" w:firstRowLastColumn="0" w:lastRowFirstColumn="0" w:lastRowLastColumn="0"/>
            </w:pPr>
            <w:r>
              <w:rPr>
                <w:sz w:val="20"/>
                <w:szCs w:val="20"/>
              </w:rPr>
              <w:t>3.2419</w:t>
            </w:r>
          </w:p>
        </w:tc>
        <w:tc>
          <w:tcPr>
            <w:tcW w:w="1800" w:type="dxa"/>
          </w:tcPr>
          <w:p w14:paraId="69F6D073" w14:textId="77777777" w:rsidR="005D0C5D" w:rsidRDefault="00000000">
            <w:pPr>
              <w:jc w:val="center"/>
              <w:cnfStyle w:val="000000100000" w:firstRow="0" w:lastRow="0" w:firstColumn="0" w:lastColumn="0" w:oddVBand="0" w:evenVBand="0" w:oddHBand="1" w:evenHBand="0" w:firstRowFirstColumn="0" w:firstRowLastColumn="0" w:lastRowFirstColumn="0" w:lastRowLastColumn="0"/>
            </w:pPr>
            <w:r>
              <w:rPr>
                <w:sz w:val="20"/>
                <w:szCs w:val="20"/>
              </w:rPr>
              <w:t>0.001196</w:t>
            </w:r>
          </w:p>
        </w:tc>
        <w:tc>
          <w:tcPr>
            <w:tcW w:w="1800" w:type="dxa"/>
          </w:tcPr>
          <w:p w14:paraId="3CA7C4F0" w14:textId="77777777" w:rsidR="005D0C5D" w:rsidRDefault="00000000">
            <w:pPr>
              <w:jc w:val="center"/>
              <w:cnfStyle w:val="000000100000" w:firstRow="0" w:lastRow="0" w:firstColumn="0" w:lastColumn="0" w:oddVBand="0" w:evenVBand="0" w:oddHBand="1" w:evenHBand="0" w:firstRowFirstColumn="0" w:firstRowLastColumn="0" w:lastRowFirstColumn="0" w:lastRowLastColumn="0"/>
            </w:pPr>
            <w:r>
              <w:rPr>
                <w:sz w:val="20"/>
                <w:szCs w:val="20"/>
              </w:rPr>
              <w:t>Reject H₀</w:t>
            </w:r>
          </w:p>
        </w:tc>
        <w:tc>
          <w:tcPr>
            <w:tcW w:w="1800" w:type="dxa"/>
          </w:tcPr>
          <w:p w14:paraId="0B3AFA04" w14:textId="77777777" w:rsidR="005D0C5D" w:rsidRDefault="00000000">
            <w:pPr>
              <w:jc w:val="center"/>
              <w:cnfStyle w:val="000000100000" w:firstRow="0" w:lastRow="0" w:firstColumn="0" w:lastColumn="0" w:oddVBand="0" w:evenVBand="0" w:oddHBand="1" w:evenHBand="0" w:firstRowFirstColumn="0" w:firstRowLastColumn="0" w:lastRowFirstColumn="0" w:lastRowLastColumn="0"/>
            </w:pPr>
            <w:r>
              <w:rPr>
                <w:sz w:val="20"/>
                <w:szCs w:val="20"/>
              </w:rPr>
              <w:t xml:space="preserve">Significant difference </w:t>
            </w:r>
            <w:r>
              <w:rPr>
                <w:rFonts w:ascii="Segoe UI Symbol" w:hAnsi="Segoe UI Symbol" w:cs="Segoe UI Symbol"/>
                <w:sz w:val="20"/>
                <w:szCs w:val="20"/>
              </w:rPr>
              <w:t>✓</w:t>
            </w:r>
          </w:p>
        </w:tc>
      </w:tr>
      <w:tr w:rsidR="005D0C5D" w14:paraId="12162306" w14:textId="77777777" w:rsidTr="00DB34FC">
        <w:tc>
          <w:tcPr>
            <w:cnfStyle w:val="001000000000" w:firstRow="0" w:lastRow="0" w:firstColumn="1" w:lastColumn="0" w:oddVBand="0" w:evenVBand="0" w:oddHBand="0" w:evenHBand="0" w:firstRowFirstColumn="0" w:firstRowLastColumn="0" w:lastRowFirstColumn="0" w:lastRowLastColumn="0"/>
            <w:tcW w:w="1800" w:type="dxa"/>
          </w:tcPr>
          <w:p w14:paraId="4AABDC71" w14:textId="77777777" w:rsidR="005D0C5D" w:rsidRDefault="00000000">
            <w:pPr>
              <w:jc w:val="center"/>
            </w:pPr>
            <w:r>
              <w:rPr>
                <w:sz w:val="20"/>
                <w:szCs w:val="20"/>
              </w:rPr>
              <w:t>High vs Close</w:t>
            </w:r>
          </w:p>
        </w:tc>
        <w:tc>
          <w:tcPr>
            <w:tcW w:w="1800" w:type="dxa"/>
          </w:tcPr>
          <w:p w14:paraId="3E34BF15" w14:textId="77777777" w:rsidR="005D0C5D" w:rsidRDefault="00000000">
            <w:pPr>
              <w:jc w:val="center"/>
              <w:cnfStyle w:val="000000000000" w:firstRow="0" w:lastRow="0" w:firstColumn="0" w:lastColumn="0" w:oddVBand="0" w:evenVBand="0" w:oddHBand="0" w:evenHBand="0" w:firstRowFirstColumn="0" w:firstRowLastColumn="0" w:lastRowFirstColumn="0" w:lastRowLastColumn="0"/>
            </w:pPr>
            <w:r>
              <w:rPr>
                <w:sz w:val="20"/>
                <w:szCs w:val="20"/>
              </w:rPr>
              <w:t>1.6442</w:t>
            </w:r>
          </w:p>
        </w:tc>
        <w:tc>
          <w:tcPr>
            <w:tcW w:w="1800" w:type="dxa"/>
          </w:tcPr>
          <w:p w14:paraId="08934EEA" w14:textId="77777777" w:rsidR="005D0C5D" w:rsidRDefault="00000000">
            <w:pPr>
              <w:jc w:val="center"/>
              <w:cnfStyle w:val="000000000000" w:firstRow="0" w:lastRow="0" w:firstColumn="0" w:lastColumn="0" w:oddVBand="0" w:evenVBand="0" w:oddHBand="0" w:evenHBand="0" w:firstRowFirstColumn="0" w:firstRowLastColumn="0" w:lastRowFirstColumn="0" w:lastRowLastColumn="0"/>
            </w:pPr>
            <w:r>
              <w:rPr>
                <w:sz w:val="20"/>
                <w:szCs w:val="20"/>
              </w:rPr>
              <w:t>0.100205</w:t>
            </w:r>
          </w:p>
        </w:tc>
        <w:tc>
          <w:tcPr>
            <w:tcW w:w="1800" w:type="dxa"/>
          </w:tcPr>
          <w:p w14:paraId="16472906" w14:textId="77777777" w:rsidR="005D0C5D" w:rsidRDefault="00000000">
            <w:pPr>
              <w:jc w:val="center"/>
              <w:cnfStyle w:val="000000000000" w:firstRow="0" w:lastRow="0" w:firstColumn="0" w:lastColumn="0" w:oddVBand="0" w:evenVBand="0" w:oddHBand="0" w:evenHBand="0" w:firstRowFirstColumn="0" w:firstRowLastColumn="0" w:lastRowFirstColumn="0" w:lastRowLastColumn="0"/>
            </w:pPr>
            <w:r>
              <w:rPr>
                <w:sz w:val="20"/>
                <w:szCs w:val="20"/>
              </w:rPr>
              <w:t>Accept H₀</w:t>
            </w:r>
          </w:p>
        </w:tc>
        <w:tc>
          <w:tcPr>
            <w:tcW w:w="1800" w:type="dxa"/>
          </w:tcPr>
          <w:p w14:paraId="42FD7FA1" w14:textId="77777777" w:rsidR="005D0C5D" w:rsidRDefault="00000000">
            <w:pPr>
              <w:jc w:val="center"/>
              <w:cnfStyle w:val="000000000000" w:firstRow="0" w:lastRow="0" w:firstColumn="0" w:lastColumn="0" w:oddVBand="0" w:evenVBand="0" w:oddHBand="0" w:evenHBand="0" w:firstRowFirstColumn="0" w:firstRowLastColumn="0" w:lastRowFirstColumn="0" w:lastRowLastColumn="0"/>
            </w:pPr>
            <w:r>
              <w:rPr>
                <w:sz w:val="20"/>
                <w:szCs w:val="20"/>
              </w:rPr>
              <w:t>No significant difference</w:t>
            </w:r>
          </w:p>
        </w:tc>
      </w:tr>
      <w:tr w:rsidR="005D0C5D" w14:paraId="21E98178" w14:textId="77777777" w:rsidTr="00DB34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764A675B" w14:textId="77777777" w:rsidR="005D0C5D" w:rsidRDefault="00000000">
            <w:pPr>
              <w:jc w:val="center"/>
            </w:pPr>
            <w:r>
              <w:rPr>
                <w:sz w:val="20"/>
                <w:szCs w:val="20"/>
              </w:rPr>
              <w:t>Low vs Close</w:t>
            </w:r>
          </w:p>
        </w:tc>
        <w:tc>
          <w:tcPr>
            <w:tcW w:w="1800" w:type="dxa"/>
          </w:tcPr>
          <w:p w14:paraId="1F6C0785" w14:textId="77777777" w:rsidR="005D0C5D" w:rsidRDefault="00000000">
            <w:pPr>
              <w:jc w:val="center"/>
              <w:cnfStyle w:val="000000100000" w:firstRow="0" w:lastRow="0" w:firstColumn="0" w:lastColumn="0" w:oddVBand="0" w:evenVBand="0" w:oddHBand="1" w:evenHBand="0" w:firstRowFirstColumn="0" w:firstRowLastColumn="0" w:lastRowFirstColumn="0" w:lastRowLastColumn="0"/>
            </w:pPr>
            <w:r>
              <w:rPr>
                <w:sz w:val="20"/>
                <w:szCs w:val="20"/>
              </w:rPr>
              <w:t>-1.5989</w:t>
            </w:r>
          </w:p>
        </w:tc>
        <w:tc>
          <w:tcPr>
            <w:tcW w:w="1800" w:type="dxa"/>
          </w:tcPr>
          <w:p w14:paraId="0E693DBB" w14:textId="77777777" w:rsidR="005D0C5D" w:rsidRDefault="00000000">
            <w:pPr>
              <w:jc w:val="center"/>
              <w:cnfStyle w:val="000000100000" w:firstRow="0" w:lastRow="0" w:firstColumn="0" w:lastColumn="0" w:oddVBand="0" w:evenVBand="0" w:oddHBand="1" w:evenHBand="0" w:firstRowFirstColumn="0" w:firstRowLastColumn="0" w:lastRowFirstColumn="0" w:lastRowLastColumn="0"/>
            </w:pPr>
            <w:r>
              <w:rPr>
                <w:sz w:val="20"/>
                <w:szCs w:val="20"/>
              </w:rPr>
              <w:t>0.109904</w:t>
            </w:r>
          </w:p>
        </w:tc>
        <w:tc>
          <w:tcPr>
            <w:tcW w:w="1800" w:type="dxa"/>
          </w:tcPr>
          <w:p w14:paraId="7671DC30" w14:textId="77777777" w:rsidR="005D0C5D" w:rsidRDefault="00000000">
            <w:pPr>
              <w:jc w:val="center"/>
              <w:cnfStyle w:val="000000100000" w:firstRow="0" w:lastRow="0" w:firstColumn="0" w:lastColumn="0" w:oddVBand="0" w:evenVBand="0" w:oddHBand="1" w:evenHBand="0" w:firstRowFirstColumn="0" w:firstRowLastColumn="0" w:lastRowFirstColumn="0" w:lastRowLastColumn="0"/>
            </w:pPr>
            <w:r>
              <w:rPr>
                <w:sz w:val="20"/>
                <w:szCs w:val="20"/>
              </w:rPr>
              <w:t>Accept H₀</w:t>
            </w:r>
          </w:p>
        </w:tc>
        <w:tc>
          <w:tcPr>
            <w:tcW w:w="1800" w:type="dxa"/>
          </w:tcPr>
          <w:p w14:paraId="0919128E" w14:textId="77777777" w:rsidR="005D0C5D" w:rsidRDefault="00000000">
            <w:pPr>
              <w:jc w:val="center"/>
              <w:cnfStyle w:val="000000100000" w:firstRow="0" w:lastRow="0" w:firstColumn="0" w:lastColumn="0" w:oddVBand="0" w:evenVBand="0" w:oddHBand="1" w:evenHBand="0" w:firstRowFirstColumn="0" w:firstRowLastColumn="0" w:lastRowFirstColumn="0" w:lastRowLastColumn="0"/>
            </w:pPr>
            <w:r>
              <w:rPr>
                <w:sz w:val="20"/>
                <w:szCs w:val="20"/>
              </w:rPr>
              <w:t>No significant difference</w:t>
            </w:r>
          </w:p>
        </w:tc>
      </w:tr>
    </w:tbl>
    <w:p w14:paraId="16188EB2" w14:textId="77777777" w:rsidR="005D0C5D" w:rsidRDefault="005D0C5D">
      <w:pPr>
        <w:spacing w:after="60"/>
      </w:pPr>
    </w:p>
    <w:p w14:paraId="4726FBAF" w14:textId="77777777" w:rsidR="005D0C5D" w:rsidRPr="00DB34FC" w:rsidRDefault="00000000">
      <w:pPr>
        <w:pStyle w:val="Heading3"/>
        <w:spacing w:before="180"/>
        <w:rPr>
          <w:color w:val="0D0D0D" w:themeColor="text1" w:themeTint="F2"/>
        </w:rPr>
      </w:pPr>
      <w:r w:rsidRPr="00DB34FC">
        <w:rPr>
          <w:color w:val="0D0D0D" w:themeColor="text1" w:themeTint="F2"/>
        </w:rPr>
        <w:t>Interpretation:</w:t>
      </w:r>
    </w:p>
    <w:p w14:paraId="3D924B2E" w14:textId="77777777" w:rsidR="005D0C5D" w:rsidRDefault="00000000">
      <w:pPr>
        <w:pStyle w:val="ListParagraph"/>
        <w:numPr>
          <w:ilvl w:val="0"/>
          <w:numId w:val="1"/>
        </w:numPr>
        <w:spacing w:after="80"/>
      </w:pPr>
      <w:r>
        <w:t>High vs Low (p = 0.0012): The null hypothesis is rejected. The mean High price and mean Low price are statistically distinct — an expected result since the High is always above the Low on any given trading day, creating a measurable long-run mean gap.</w:t>
      </w:r>
    </w:p>
    <w:p w14:paraId="305AFF0D" w14:textId="77777777" w:rsidR="005D0C5D" w:rsidRDefault="00000000">
      <w:pPr>
        <w:pStyle w:val="ListParagraph"/>
        <w:numPr>
          <w:ilvl w:val="0"/>
          <w:numId w:val="1"/>
        </w:numPr>
        <w:spacing w:after="80"/>
      </w:pPr>
      <w:r>
        <w:t>High vs Close (p = 0.100): The null hypothesis is accepted. Across 2,259 trading days, the Close price is not significantly different in mean from the High price. This occurs because the Close often settles near the top of the daily range on up-trending days, making the long-run averages statistically indistinguishable.</w:t>
      </w:r>
    </w:p>
    <w:p w14:paraId="2DF7594F" w14:textId="77777777" w:rsidR="005D0C5D" w:rsidRDefault="00000000">
      <w:pPr>
        <w:pStyle w:val="ListParagraph"/>
        <w:numPr>
          <w:ilvl w:val="0"/>
          <w:numId w:val="1"/>
        </w:numPr>
        <w:spacing w:after="80"/>
      </w:pPr>
      <w:r>
        <w:t>Low vs Close (p = 0.110): The null hypothesis is accepted. Similarly, the Close and Low prices have means that are not significantly different over the full dataset period, reflecting that the Close price moves within the same band as the daily Low over time.</w:t>
      </w:r>
    </w:p>
    <w:p w14:paraId="0529FF66" w14:textId="77777777" w:rsidR="005D0C5D" w:rsidRDefault="005D0C5D">
      <w:pPr>
        <w:spacing w:after="60"/>
      </w:pPr>
    </w:p>
    <w:p w14:paraId="37379B69" w14:textId="77777777" w:rsidR="005D0C5D" w:rsidRPr="00532F93" w:rsidRDefault="00000000">
      <w:pPr>
        <w:pStyle w:val="Heading2"/>
        <w:rPr>
          <w:color w:val="0D0D0D" w:themeColor="text1" w:themeTint="F2"/>
        </w:rPr>
      </w:pPr>
      <w:r w:rsidRPr="00532F93">
        <w:rPr>
          <w:color w:val="0D0D0D" w:themeColor="text1" w:themeTint="F2"/>
        </w:rPr>
        <w:t>5.2 Chi-Square Test (Close Price vs Volume)</w:t>
      </w:r>
    </w:p>
    <w:p w14:paraId="6B51DD30" w14:textId="77777777" w:rsidR="005D0C5D" w:rsidRDefault="00000000">
      <w:pPr>
        <w:spacing w:after="120"/>
        <w:jc w:val="both"/>
      </w:pPr>
      <w:r>
        <w:t>To test whether Close price level and trading volume are statistically related (dependent), both columns were discretized into three equal-width bins (Low / Mid / High) and a contingency table was constructed. The Chi-Square test checks whether the observed cell frequencies differ significantly from what would be expected under independence.</w:t>
      </w:r>
    </w:p>
    <w:p w14:paraId="3E9F76AB" w14:textId="77777777" w:rsidR="005D0C5D" w:rsidRDefault="005D0C5D">
      <w:pPr>
        <w:spacing w:after="60"/>
      </w:pPr>
    </w:p>
    <w:p w14:paraId="06985E42" w14:textId="77777777" w:rsidR="005D0C5D" w:rsidRDefault="00000000">
      <w:pPr>
        <w:spacing w:after="80"/>
      </w:pPr>
      <w:r>
        <w:rPr>
          <w:b/>
          <w:bCs/>
        </w:rPr>
        <w:t>Contingency Table — Close Category vs Volume Category:</w:t>
      </w:r>
    </w:p>
    <w:tbl>
      <w:tblPr>
        <w:tblStyle w:val="GridTable4"/>
        <w:tblW w:w="9000" w:type="dxa"/>
        <w:tblLook w:val="04A0" w:firstRow="1" w:lastRow="0" w:firstColumn="1" w:lastColumn="0" w:noHBand="0" w:noVBand="1"/>
      </w:tblPr>
      <w:tblGrid>
        <w:gridCol w:w="2250"/>
        <w:gridCol w:w="2250"/>
        <w:gridCol w:w="2250"/>
        <w:gridCol w:w="2250"/>
      </w:tblGrid>
      <w:tr w:rsidR="005D0C5D" w14:paraId="59BFFFE3" w14:textId="77777777" w:rsidTr="00DB34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1E64BF2E" w14:textId="77777777" w:rsidR="005D0C5D" w:rsidRDefault="00000000">
            <w:pPr>
              <w:jc w:val="center"/>
            </w:pPr>
            <w:r>
              <w:rPr>
                <w:color w:val="FFFFFF"/>
                <w:sz w:val="20"/>
                <w:szCs w:val="20"/>
              </w:rPr>
              <w:t>Close \ Volume</w:t>
            </w:r>
          </w:p>
        </w:tc>
        <w:tc>
          <w:tcPr>
            <w:tcW w:w="2250" w:type="dxa"/>
          </w:tcPr>
          <w:p w14:paraId="1A06F9D7" w14:textId="77777777" w:rsidR="005D0C5D"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Low Volume</w:t>
            </w:r>
          </w:p>
        </w:tc>
        <w:tc>
          <w:tcPr>
            <w:tcW w:w="2250" w:type="dxa"/>
          </w:tcPr>
          <w:p w14:paraId="18AB7471" w14:textId="77777777" w:rsidR="005D0C5D"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Mid Volume</w:t>
            </w:r>
          </w:p>
        </w:tc>
        <w:tc>
          <w:tcPr>
            <w:tcW w:w="2250" w:type="dxa"/>
          </w:tcPr>
          <w:p w14:paraId="049EC389" w14:textId="77777777" w:rsidR="005D0C5D"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High Volume</w:t>
            </w:r>
          </w:p>
        </w:tc>
      </w:tr>
      <w:tr w:rsidR="005D0C5D" w14:paraId="1D871567" w14:textId="77777777" w:rsidTr="00DB34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35C88C3F" w14:textId="77777777" w:rsidR="005D0C5D" w:rsidRDefault="00000000">
            <w:pPr>
              <w:jc w:val="center"/>
            </w:pPr>
            <w:r>
              <w:rPr>
                <w:sz w:val="20"/>
                <w:szCs w:val="20"/>
              </w:rPr>
              <w:t>Low Price</w:t>
            </w:r>
          </w:p>
        </w:tc>
        <w:tc>
          <w:tcPr>
            <w:tcW w:w="2250" w:type="dxa"/>
          </w:tcPr>
          <w:p w14:paraId="69B90C20" w14:textId="77777777" w:rsidR="005D0C5D" w:rsidRDefault="00000000">
            <w:pPr>
              <w:jc w:val="center"/>
              <w:cnfStyle w:val="000000100000" w:firstRow="0" w:lastRow="0" w:firstColumn="0" w:lastColumn="0" w:oddVBand="0" w:evenVBand="0" w:oddHBand="1" w:evenHBand="0" w:firstRowFirstColumn="0" w:firstRowLastColumn="0" w:lastRowFirstColumn="0" w:lastRowLastColumn="0"/>
            </w:pPr>
            <w:r>
              <w:rPr>
                <w:sz w:val="20"/>
                <w:szCs w:val="20"/>
              </w:rPr>
              <w:t>1100</w:t>
            </w:r>
          </w:p>
        </w:tc>
        <w:tc>
          <w:tcPr>
            <w:tcW w:w="2250" w:type="dxa"/>
          </w:tcPr>
          <w:p w14:paraId="7B130D26" w14:textId="77777777" w:rsidR="005D0C5D" w:rsidRDefault="00000000">
            <w:pPr>
              <w:jc w:val="center"/>
              <w:cnfStyle w:val="000000100000" w:firstRow="0" w:lastRow="0" w:firstColumn="0" w:lastColumn="0" w:oddVBand="0" w:evenVBand="0" w:oddHBand="1" w:evenHBand="0" w:firstRowFirstColumn="0" w:firstRowLastColumn="0" w:lastRowFirstColumn="0" w:lastRowLastColumn="0"/>
            </w:pPr>
            <w:r>
              <w:rPr>
                <w:sz w:val="20"/>
                <w:szCs w:val="20"/>
              </w:rPr>
              <w:t>11</w:t>
            </w:r>
          </w:p>
        </w:tc>
        <w:tc>
          <w:tcPr>
            <w:tcW w:w="2250" w:type="dxa"/>
          </w:tcPr>
          <w:p w14:paraId="24EC6FBB" w14:textId="77777777" w:rsidR="005D0C5D" w:rsidRDefault="00000000">
            <w:pPr>
              <w:jc w:val="center"/>
              <w:cnfStyle w:val="000000100000" w:firstRow="0" w:lastRow="0" w:firstColumn="0" w:lastColumn="0" w:oddVBand="0" w:evenVBand="0" w:oddHBand="1" w:evenHBand="0" w:firstRowFirstColumn="0" w:firstRowLastColumn="0" w:lastRowFirstColumn="0" w:lastRowLastColumn="0"/>
            </w:pPr>
            <w:r>
              <w:rPr>
                <w:sz w:val="20"/>
                <w:szCs w:val="20"/>
              </w:rPr>
              <w:t>1</w:t>
            </w:r>
          </w:p>
        </w:tc>
      </w:tr>
      <w:tr w:rsidR="005D0C5D" w14:paraId="68CCEAFB" w14:textId="77777777" w:rsidTr="00DB34FC">
        <w:tc>
          <w:tcPr>
            <w:cnfStyle w:val="001000000000" w:firstRow="0" w:lastRow="0" w:firstColumn="1" w:lastColumn="0" w:oddVBand="0" w:evenVBand="0" w:oddHBand="0" w:evenHBand="0" w:firstRowFirstColumn="0" w:firstRowLastColumn="0" w:lastRowFirstColumn="0" w:lastRowLastColumn="0"/>
            <w:tcW w:w="2250" w:type="dxa"/>
          </w:tcPr>
          <w:p w14:paraId="624CDA4C" w14:textId="77777777" w:rsidR="005D0C5D" w:rsidRDefault="00000000">
            <w:pPr>
              <w:jc w:val="center"/>
            </w:pPr>
            <w:proofErr w:type="spellStart"/>
            <w:r>
              <w:rPr>
                <w:sz w:val="20"/>
                <w:szCs w:val="20"/>
              </w:rPr>
              <w:t>Mid Price</w:t>
            </w:r>
            <w:proofErr w:type="spellEnd"/>
          </w:p>
        </w:tc>
        <w:tc>
          <w:tcPr>
            <w:tcW w:w="2250" w:type="dxa"/>
          </w:tcPr>
          <w:p w14:paraId="395F7332" w14:textId="77777777" w:rsidR="005D0C5D" w:rsidRDefault="00000000">
            <w:pPr>
              <w:jc w:val="center"/>
              <w:cnfStyle w:val="000000000000" w:firstRow="0" w:lastRow="0" w:firstColumn="0" w:lastColumn="0" w:oddVBand="0" w:evenVBand="0" w:oddHBand="0" w:evenHBand="0" w:firstRowFirstColumn="0" w:firstRowLastColumn="0" w:lastRowFirstColumn="0" w:lastRowLastColumn="0"/>
            </w:pPr>
            <w:r>
              <w:rPr>
                <w:sz w:val="20"/>
                <w:szCs w:val="20"/>
              </w:rPr>
              <w:t>918</w:t>
            </w:r>
          </w:p>
        </w:tc>
        <w:tc>
          <w:tcPr>
            <w:tcW w:w="2250" w:type="dxa"/>
          </w:tcPr>
          <w:p w14:paraId="1DD319FC" w14:textId="77777777" w:rsidR="005D0C5D" w:rsidRDefault="00000000">
            <w:pPr>
              <w:jc w:val="center"/>
              <w:cnfStyle w:val="000000000000" w:firstRow="0" w:lastRow="0" w:firstColumn="0" w:lastColumn="0" w:oddVBand="0" w:evenVBand="0" w:oddHBand="0" w:evenHBand="0" w:firstRowFirstColumn="0" w:firstRowLastColumn="0" w:lastRowFirstColumn="0" w:lastRowLastColumn="0"/>
            </w:pPr>
            <w:r>
              <w:rPr>
                <w:sz w:val="20"/>
                <w:szCs w:val="20"/>
              </w:rPr>
              <w:t>18</w:t>
            </w:r>
          </w:p>
        </w:tc>
        <w:tc>
          <w:tcPr>
            <w:tcW w:w="2250" w:type="dxa"/>
          </w:tcPr>
          <w:p w14:paraId="4698A3B3" w14:textId="77777777" w:rsidR="005D0C5D" w:rsidRDefault="00000000">
            <w:pPr>
              <w:jc w:val="center"/>
              <w:cnfStyle w:val="000000000000" w:firstRow="0" w:lastRow="0" w:firstColumn="0" w:lastColumn="0" w:oddVBand="0" w:evenVBand="0" w:oddHBand="0" w:evenHBand="0" w:firstRowFirstColumn="0" w:firstRowLastColumn="0" w:lastRowFirstColumn="0" w:lastRowLastColumn="0"/>
            </w:pPr>
            <w:r>
              <w:rPr>
                <w:sz w:val="20"/>
                <w:szCs w:val="20"/>
              </w:rPr>
              <w:t>3</w:t>
            </w:r>
          </w:p>
        </w:tc>
      </w:tr>
      <w:tr w:rsidR="005D0C5D" w14:paraId="7738C5A3" w14:textId="77777777" w:rsidTr="00DB34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185FA109" w14:textId="77777777" w:rsidR="005D0C5D" w:rsidRDefault="00000000">
            <w:pPr>
              <w:jc w:val="center"/>
            </w:pPr>
            <w:r>
              <w:rPr>
                <w:sz w:val="20"/>
                <w:szCs w:val="20"/>
              </w:rPr>
              <w:t>High Price</w:t>
            </w:r>
          </w:p>
        </w:tc>
        <w:tc>
          <w:tcPr>
            <w:tcW w:w="2250" w:type="dxa"/>
          </w:tcPr>
          <w:p w14:paraId="27B1A7CB" w14:textId="77777777" w:rsidR="005D0C5D" w:rsidRDefault="00000000">
            <w:pPr>
              <w:jc w:val="center"/>
              <w:cnfStyle w:val="000000100000" w:firstRow="0" w:lastRow="0" w:firstColumn="0" w:lastColumn="0" w:oddVBand="0" w:evenVBand="0" w:oddHBand="1" w:evenHBand="0" w:firstRowFirstColumn="0" w:firstRowLastColumn="0" w:lastRowFirstColumn="0" w:lastRowLastColumn="0"/>
            </w:pPr>
            <w:r>
              <w:rPr>
                <w:sz w:val="20"/>
                <w:szCs w:val="20"/>
              </w:rPr>
              <w:t>208</w:t>
            </w:r>
          </w:p>
        </w:tc>
        <w:tc>
          <w:tcPr>
            <w:tcW w:w="2250" w:type="dxa"/>
          </w:tcPr>
          <w:p w14:paraId="657EE232" w14:textId="77777777" w:rsidR="005D0C5D" w:rsidRDefault="00000000">
            <w:pPr>
              <w:jc w:val="center"/>
              <w:cnfStyle w:val="000000100000" w:firstRow="0" w:lastRow="0" w:firstColumn="0" w:lastColumn="0" w:oddVBand="0" w:evenVBand="0" w:oddHBand="1" w:evenHBand="0" w:firstRowFirstColumn="0" w:firstRowLastColumn="0" w:lastRowFirstColumn="0" w:lastRowLastColumn="0"/>
            </w:pPr>
            <w:r>
              <w:rPr>
                <w:sz w:val="20"/>
                <w:szCs w:val="20"/>
              </w:rPr>
              <w:t>0</w:t>
            </w:r>
          </w:p>
        </w:tc>
        <w:tc>
          <w:tcPr>
            <w:tcW w:w="2250" w:type="dxa"/>
          </w:tcPr>
          <w:p w14:paraId="4FB894FE" w14:textId="77777777" w:rsidR="005D0C5D" w:rsidRDefault="00000000">
            <w:pPr>
              <w:jc w:val="center"/>
              <w:cnfStyle w:val="000000100000" w:firstRow="0" w:lastRow="0" w:firstColumn="0" w:lastColumn="0" w:oddVBand="0" w:evenVBand="0" w:oddHBand="1" w:evenHBand="0" w:firstRowFirstColumn="0" w:firstRowLastColumn="0" w:lastRowFirstColumn="0" w:lastRowLastColumn="0"/>
            </w:pPr>
            <w:r>
              <w:rPr>
                <w:sz w:val="20"/>
                <w:szCs w:val="20"/>
              </w:rPr>
              <w:t>0</w:t>
            </w:r>
          </w:p>
        </w:tc>
      </w:tr>
    </w:tbl>
    <w:p w14:paraId="5802F799" w14:textId="77777777" w:rsidR="005D0C5D" w:rsidRDefault="005D0C5D">
      <w:pPr>
        <w:spacing w:after="60"/>
      </w:pPr>
    </w:p>
    <w:tbl>
      <w:tblPr>
        <w:tblStyle w:val="GridTable4"/>
        <w:tblW w:w="9000" w:type="dxa"/>
        <w:tblLook w:val="04A0" w:firstRow="1" w:lastRow="0" w:firstColumn="1" w:lastColumn="0" w:noHBand="0" w:noVBand="1"/>
      </w:tblPr>
      <w:tblGrid>
        <w:gridCol w:w="4500"/>
        <w:gridCol w:w="4500"/>
      </w:tblGrid>
      <w:tr w:rsidR="005D0C5D" w14:paraId="6F10493C" w14:textId="77777777" w:rsidTr="00DB34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04E18C51" w14:textId="77777777" w:rsidR="005D0C5D" w:rsidRDefault="00000000">
            <w:pPr>
              <w:jc w:val="center"/>
            </w:pPr>
            <w:r>
              <w:rPr>
                <w:color w:val="FFFFFF"/>
                <w:sz w:val="20"/>
                <w:szCs w:val="20"/>
              </w:rPr>
              <w:t>Test Parameter</w:t>
            </w:r>
          </w:p>
        </w:tc>
        <w:tc>
          <w:tcPr>
            <w:tcW w:w="4500" w:type="dxa"/>
          </w:tcPr>
          <w:p w14:paraId="5BD0A9D5" w14:textId="77777777" w:rsidR="005D0C5D"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Value</w:t>
            </w:r>
          </w:p>
        </w:tc>
      </w:tr>
      <w:tr w:rsidR="005D0C5D" w14:paraId="640B82A3" w14:textId="77777777" w:rsidTr="00DB34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5ED68279" w14:textId="77777777" w:rsidR="005D0C5D" w:rsidRDefault="00000000">
            <w:pPr>
              <w:jc w:val="center"/>
            </w:pPr>
            <w:r>
              <w:rPr>
                <w:sz w:val="20"/>
                <w:szCs w:val="20"/>
              </w:rPr>
              <w:t>Chi-Square Statistic</w:t>
            </w:r>
          </w:p>
        </w:tc>
        <w:tc>
          <w:tcPr>
            <w:tcW w:w="4500" w:type="dxa"/>
          </w:tcPr>
          <w:p w14:paraId="66584993" w14:textId="77777777" w:rsidR="005D0C5D" w:rsidRDefault="00000000">
            <w:pPr>
              <w:jc w:val="center"/>
              <w:cnfStyle w:val="000000100000" w:firstRow="0" w:lastRow="0" w:firstColumn="0" w:lastColumn="0" w:oddVBand="0" w:evenVBand="0" w:oddHBand="1" w:evenHBand="0" w:firstRowFirstColumn="0" w:firstRowLastColumn="0" w:lastRowFirstColumn="0" w:lastRowLastColumn="0"/>
            </w:pPr>
            <w:r>
              <w:rPr>
                <w:sz w:val="20"/>
                <w:szCs w:val="20"/>
              </w:rPr>
              <w:t>8.3938</w:t>
            </w:r>
          </w:p>
        </w:tc>
      </w:tr>
      <w:tr w:rsidR="005D0C5D" w14:paraId="415B67A9" w14:textId="77777777" w:rsidTr="00DB34FC">
        <w:tc>
          <w:tcPr>
            <w:cnfStyle w:val="001000000000" w:firstRow="0" w:lastRow="0" w:firstColumn="1" w:lastColumn="0" w:oddVBand="0" w:evenVBand="0" w:oddHBand="0" w:evenHBand="0" w:firstRowFirstColumn="0" w:firstRowLastColumn="0" w:lastRowFirstColumn="0" w:lastRowLastColumn="0"/>
            <w:tcW w:w="4500" w:type="dxa"/>
          </w:tcPr>
          <w:p w14:paraId="289F992F" w14:textId="77777777" w:rsidR="005D0C5D" w:rsidRDefault="00000000">
            <w:pPr>
              <w:jc w:val="center"/>
            </w:pPr>
            <w:r>
              <w:rPr>
                <w:sz w:val="20"/>
                <w:szCs w:val="20"/>
              </w:rPr>
              <w:t>P-Value</w:t>
            </w:r>
          </w:p>
        </w:tc>
        <w:tc>
          <w:tcPr>
            <w:tcW w:w="4500" w:type="dxa"/>
          </w:tcPr>
          <w:p w14:paraId="0DC45E1E" w14:textId="77777777" w:rsidR="005D0C5D" w:rsidRDefault="00000000">
            <w:pPr>
              <w:jc w:val="center"/>
              <w:cnfStyle w:val="000000000000" w:firstRow="0" w:lastRow="0" w:firstColumn="0" w:lastColumn="0" w:oddVBand="0" w:evenVBand="0" w:oddHBand="0" w:evenHBand="0" w:firstRowFirstColumn="0" w:firstRowLastColumn="0" w:lastRowFirstColumn="0" w:lastRowLastColumn="0"/>
            </w:pPr>
            <w:r>
              <w:rPr>
                <w:sz w:val="20"/>
                <w:szCs w:val="20"/>
              </w:rPr>
              <w:t>0.0782</w:t>
            </w:r>
          </w:p>
        </w:tc>
      </w:tr>
      <w:tr w:rsidR="005D0C5D" w14:paraId="71F0DED6" w14:textId="77777777" w:rsidTr="00DB34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6AA49229" w14:textId="77777777" w:rsidR="005D0C5D" w:rsidRDefault="00000000">
            <w:pPr>
              <w:jc w:val="center"/>
            </w:pPr>
            <w:r>
              <w:rPr>
                <w:sz w:val="20"/>
                <w:szCs w:val="20"/>
              </w:rPr>
              <w:t>Degrees of Freedom</w:t>
            </w:r>
          </w:p>
        </w:tc>
        <w:tc>
          <w:tcPr>
            <w:tcW w:w="4500" w:type="dxa"/>
          </w:tcPr>
          <w:p w14:paraId="468831F2" w14:textId="77777777" w:rsidR="005D0C5D" w:rsidRDefault="00000000">
            <w:pPr>
              <w:jc w:val="center"/>
              <w:cnfStyle w:val="000000100000" w:firstRow="0" w:lastRow="0" w:firstColumn="0" w:lastColumn="0" w:oddVBand="0" w:evenVBand="0" w:oddHBand="1" w:evenHBand="0" w:firstRowFirstColumn="0" w:firstRowLastColumn="0" w:lastRowFirstColumn="0" w:lastRowLastColumn="0"/>
            </w:pPr>
            <w:r>
              <w:rPr>
                <w:sz w:val="20"/>
                <w:szCs w:val="20"/>
              </w:rPr>
              <w:t>4</w:t>
            </w:r>
          </w:p>
        </w:tc>
      </w:tr>
      <w:tr w:rsidR="005D0C5D" w14:paraId="43F8A900" w14:textId="77777777" w:rsidTr="00DB34FC">
        <w:tc>
          <w:tcPr>
            <w:cnfStyle w:val="001000000000" w:firstRow="0" w:lastRow="0" w:firstColumn="1" w:lastColumn="0" w:oddVBand="0" w:evenVBand="0" w:oddHBand="0" w:evenHBand="0" w:firstRowFirstColumn="0" w:firstRowLastColumn="0" w:lastRowFirstColumn="0" w:lastRowLastColumn="0"/>
            <w:tcW w:w="4500" w:type="dxa"/>
          </w:tcPr>
          <w:p w14:paraId="40A1B459" w14:textId="77777777" w:rsidR="005D0C5D" w:rsidRDefault="00000000">
            <w:pPr>
              <w:jc w:val="center"/>
            </w:pPr>
            <w:r>
              <w:rPr>
                <w:sz w:val="20"/>
                <w:szCs w:val="20"/>
              </w:rPr>
              <w:t>Decision</w:t>
            </w:r>
          </w:p>
        </w:tc>
        <w:tc>
          <w:tcPr>
            <w:tcW w:w="4500" w:type="dxa"/>
          </w:tcPr>
          <w:p w14:paraId="169096DF" w14:textId="77777777" w:rsidR="005D0C5D" w:rsidRDefault="00000000">
            <w:pPr>
              <w:jc w:val="center"/>
              <w:cnfStyle w:val="000000000000" w:firstRow="0" w:lastRow="0" w:firstColumn="0" w:lastColumn="0" w:oddVBand="0" w:evenVBand="0" w:oddHBand="0" w:evenHBand="0" w:firstRowFirstColumn="0" w:firstRowLastColumn="0" w:lastRowFirstColumn="0" w:lastRowLastColumn="0"/>
            </w:pPr>
            <w:r>
              <w:rPr>
                <w:sz w:val="20"/>
                <w:szCs w:val="20"/>
              </w:rPr>
              <w:t>Accept H₀ (p &gt; 0.05)</w:t>
            </w:r>
          </w:p>
        </w:tc>
      </w:tr>
      <w:tr w:rsidR="005D0C5D" w14:paraId="621943E7" w14:textId="77777777" w:rsidTr="00DB34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3578437C" w14:textId="77777777" w:rsidR="005D0C5D" w:rsidRDefault="00000000">
            <w:pPr>
              <w:jc w:val="center"/>
            </w:pPr>
            <w:r>
              <w:rPr>
                <w:sz w:val="20"/>
                <w:szCs w:val="20"/>
              </w:rPr>
              <w:t>Conclusion</w:t>
            </w:r>
          </w:p>
        </w:tc>
        <w:tc>
          <w:tcPr>
            <w:tcW w:w="4500" w:type="dxa"/>
          </w:tcPr>
          <w:p w14:paraId="61C1C7C2" w14:textId="77777777" w:rsidR="005D0C5D" w:rsidRDefault="00000000">
            <w:pPr>
              <w:jc w:val="center"/>
              <w:cnfStyle w:val="000000100000" w:firstRow="0" w:lastRow="0" w:firstColumn="0" w:lastColumn="0" w:oddVBand="0" w:evenVBand="0" w:oddHBand="1" w:evenHBand="0" w:firstRowFirstColumn="0" w:firstRowLastColumn="0" w:lastRowFirstColumn="0" w:lastRowLastColumn="0"/>
            </w:pPr>
            <w:r>
              <w:rPr>
                <w:sz w:val="20"/>
                <w:szCs w:val="20"/>
              </w:rPr>
              <w:t>Close Price and Volume are INDEPENDENT</w:t>
            </w:r>
          </w:p>
        </w:tc>
      </w:tr>
    </w:tbl>
    <w:p w14:paraId="7E4EDA5E" w14:textId="77777777" w:rsidR="005D0C5D" w:rsidRDefault="005D0C5D">
      <w:pPr>
        <w:spacing w:after="60"/>
      </w:pPr>
    </w:p>
    <w:p w14:paraId="321C461B" w14:textId="77777777" w:rsidR="005D0C5D" w:rsidRPr="00DB34FC" w:rsidRDefault="00000000">
      <w:pPr>
        <w:pStyle w:val="Heading3"/>
        <w:spacing w:before="180"/>
        <w:rPr>
          <w:color w:val="0D0D0D" w:themeColor="text1" w:themeTint="F2"/>
        </w:rPr>
      </w:pPr>
      <w:r w:rsidRPr="00DB34FC">
        <w:rPr>
          <w:color w:val="0D0D0D" w:themeColor="text1" w:themeTint="F2"/>
        </w:rPr>
        <w:t>Interpretation:</w:t>
      </w:r>
    </w:p>
    <w:p w14:paraId="01BA3A53" w14:textId="77777777" w:rsidR="005D0C5D" w:rsidRDefault="00000000">
      <w:pPr>
        <w:spacing w:after="120"/>
        <w:jc w:val="both"/>
      </w:pPr>
      <w:r>
        <w:lastRenderedPageBreak/>
        <w:t>With a p-value of 0.078, marginally above the 0.05 threshold, we accept the null hypothesis and conclude that Close price level and trading volume are statistically independent. Notably, the contingency table reveals a severe distributional skew: over 96% of all trading days fall into the 'Low Volume' bucket, with only 33 days classified as Mid or High Volume. This skew limits the statistical power of the Chi-Square test. While the test result suggests independence, the rare high-volume days do coincide with significant price movements — these anomalies are visible in the dashboard's volume panel but are too infrequent to establish a statistically significant pattern.</w:t>
      </w:r>
    </w:p>
    <w:p w14:paraId="605C44B0" w14:textId="77777777" w:rsidR="005D0C5D" w:rsidRDefault="00000000">
      <w:r>
        <w:br w:type="page"/>
      </w:r>
    </w:p>
    <w:p w14:paraId="4EC3F92B" w14:textId="77777777" w:rsidR="005D0C5D" w:rsidRPr="00DB34FC" w:rsidRDefault="00000000">
      <w:pPr>
        <w:pStyle w:val="Heading1"/>
        <w:spacing w:before="320"/>
        <w:rPr>
          <w:color w:val="0D0D0D" w:themeColor="text1" w:themeTint="F2"/>
        </w:rPr>
      </w:pPr>
      <w:r w:rsidRPr="00DB34FC">
        <w:rPr>
          <w:color w:val="0D0D0D" w:themeColor="text1" w:themeTint="F2"/>
        </w:rPr>
        <w:lastRenderedPageBreak/>
        <w:t>6. Task 3 — Visualizations and Analysis</w:t>
      </w:r>
    </w:p>
    <w:p w14:paraId="4F3AC04F" w14:textId="77777777" w:rsidR="005D0C5D" w:rsidRPr="00DB34FC" w:rsidRDefault="00000000">
      <w:pPr>
        <w:pStyle w:val="Heading2"/>
        <w:rPr>
          <w:color w:val="0D0D0D" w:themeColor="text1" w:themeTint="F2"/>
        </w:rPr>
      </w:pPr>
      <w:r w:rsidRPr="00DB34FC">
        <w:rPr>
          <w:color w:val="0D0D0D" w:themeColor="text1" w:themeTint="F2"/>
        </w:rPr>
        <w:t>6.1 Twitter Stock Prices Over the Years (All Price Lines)</w:t>
      </w:r>
    </w:p>
    <w:p w14:paraId="1BF080CD" w14:textId="77777777" w:rsidR="005D0C5D" w:rsidRDefault="00000000">
      <w:pPr>
        <w:spacing w:before="120" w:after="60"/>
        <w:jc w:val="center"/>
      </w:pPr>
      <w:r>
        <w:rPr>
          <w:noProof/>
        </w:rPr>
        <w:drawing>
          <wp:inline distT="0" distB="0" distL="0" distR="0" wp14:anchorId="013C67AE" wp14:editId="0562281A">
            <wp:extent cx="5810250" cy="247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810250" cy="2476500"/>
                    </a:xfrm>
                    <a:prstGeom prst="rect">
                      <a:avLst/>
                    </a:prstGeom>
                  </pic:spPr>
                </pic:pic>
              </a:graphicData>
            </a:graphic>
          </wp:inline>
        </w:drawing>
      </w:r>
    </w:p>
    <w:p w14:paraId="7489F3BD" w14:textId="77777777" w:rsidR="005D0C5D" w:rsidRDefault="00000000">
      <w:pPr>
        <w:spacing w:after="160"/>
        <w:jc w:val="center"/>
      </w:pPr>
      <w:r>
        <w:rPr>
          <w:i/>
          <w:iCs/>
          <w:color w:val="555555"/>
          <w:sz w:val="20"/>
          <w:szCs w:val="20"/>
        </w:rPr>
        <w:t>Figure 1: Open, High, Low, and Close prices plotted together (2018–2024)</w:t>
      </w:r>
    </w:p>
    <w:p w14:paraId="6B588D7F" w14:textId="77777777" w:rsidR="005D0C5D" w:rsidRPr="00DB34FC" w:rsidRDefault="00000000">
      <w:pPr>
        <w:pStyle w:val="Heading3"/>
        <w:spacing w:before="180"/>
        <w:rPr>
          <w:color w:val="0D0D0D" w:themeColor="text1" w:themeTint="F2"/>
        </w:rPr>
      </w:pPr>
      <w:r w:rsidRPr="00DB34FC">
        <w:rPr>
          <w:color w:val="0D0D0D" w:themeColor="text1" w:themeTint="F2"/>
        </w:rPr>
        <w:t>Insight:</w:t>
      </w:r>
    </w:p>
    <w:p w14:paraId="3F393A72" w14:textId="77777777" w:rsidR="005D0C5D" w:rsidRDefault="00000000">
      <w:pPr>
        <w:spacing w:after="120"/>
        <w:jc w:val="both"/>
      </w:pPr>
      <w:r>
        <w:t>All four price lines (Open, High, Low, Close) move in near-perfect synchrony throughout the dataset, confirming that intra-day price spread is small relative to overall price levels. Three major phases are clearly visible: (1) the 2018 peak and subsequent decline to a trough in 2020, (2) the 2020–2021 recovery, and (3) the sharp spike in April 2022 driven by the Musk acquisition offer, followed by stabilization in the $30–$55 range post-delisting as OTC trading continued.</w:t>
      </w:r>
    </w:p>
    <w:p w14:paraId="11840441" w14:textId="77777777" w:rsidR="005D0C5D" w:rsidRDefault="005D0C5D">
      <w:pPr>
        <w:spacing w:after="60"/>
      </w:pPr>
    </w:p>
    <w:p w14:paraId="10A3E71E" w14:textId="77777777" w:rsidR="005D0C5D" w:rsidRPr="00DB34FC" w:rsidRDefault="00000000">
      <w:pPr>
        <w:pStyle w:val="Heading2"/>
        <w:rPr>
          <w:color w:val="0D0D0D" w:themeColor="text1" w:themeTint="F2"/>
        </w:rPr>
      </w:pPr>
      <w:r w:rsidRPr="00DB34FC">
        <w:rPr>
          <w:color w:val="0D0D0D" w:themeColor="text1" w:themeTint="F2"/>
        </w:rPr>
        <w:t>6.2 Close Price vs Date</w:t>
      </w:r>
    </w:p>
    <w:p w14:paraId="7AE61188" w14:textId="77777777" w:rsidR="005D0C5D" w:rsidRDefault="00000000">
      <w:pPr>
        <w:spacing w:after="120"/>
        <w:jc w:val="both"/>
      </w:pPr>
      <w:r>
        <w:t>A dedicated area-fill plot of the Close price over time was generated to isolate the price trend signal from the noise of multiple overlapping lines. The shaded area beneath the line emphasizes periods of sustained high or low valuation.</w:t>
      </w:r>
    </w:p>
    <w:p w14:paraId="08127B21" w14:textId="1860D397" w:rsidR="00DB34FC" w:rsidRDefault="00DB34FC">
      <w:pPr>
        <w:spacing w:after="120"/>
        <w:jc w:val="both"/>
      </w:pPr>
      <w:r>
        <w:rPr>
          <w:noProof/>
        </w:rPr>
        <w:drawing>
          <wp:inline distT="0" distB="0" distL="0" distR="0" wp14:anchorId="4700879B" wp14:editId="6C79CB5D">
            <wp:extent cx="5960110" cy="2128520"/>
            <wp:effectExtent l="0" t="0" r="2540" b="5080"/>
            <wp:docPr id="1008823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64633" cy="2130135"/>
                    </a:xfrm>
                    <a:prstGeom prst="rect">
                      <a:avLst/>
                    </a:prstGeom>
                    <a:noFill/>
                    <a:ln>
                      <a:noFill/>
                    </a:ln>
                  </pic:spPr>
                </pic:pic>
              </a:graphicData>
            </a:graphic>
          </wp:inline>
        </w:drawing>
      </w:r>
    </w:p>
    <w:p w14:paraId="4572782D" w14:textId="5CE188C5" w:rsidR="00DB34FC" w:rsidRDefault="00DB34FC" w:rsidP="00DB34FC">
      <w:pPr>
        <w:spacing w:after="160"/>
        <w:jc w:val="center"/>
      </w:pPr>
      <w:r>
        <w:rPr>
          <w:i/>
          <w:iCs/>
          <w:color w:val="555555"/>
          <w:sz w:val="20"/>
          <w:szCs w:val="20"/>
        </w:rPr>
        <w:t xml:space="preserve">Figure </w:t>
      </w:r>
      <w:r>
        <w:rPr>
          <w:i/>
          <w:iCs/>
          <w:color w:val="555555"/>
          <w:sz w:val="20"/>
          <w:szCs w:val="20"/>
        </w:rPr>
        <w:t>2</w:t>
      </w:r>
      <w:r>
        <w:rPr>
          <w:i/>
          <w:iCs/>
          <w:color w:val="555555"/>
          <w:sz w:val="20"/>
          <w:szCs w:val="20"/>
        </w:rPr>
        <w:t xml:space="preserve">: </w:t>
      </w:r>
      <w:r>
        <w:rPr>
          <w:i/>
          <w:iCs/>
          <w:color w:val="555555"/>
          <w:sz w:val="20"/>
          <w:szCs w:val="20"/>
        </w:rPr>
        <w:t xml:space="preserve">Close price over time of high or low </w:t>
      </w:r>
      <w:proofErr w:type="gramStart"/>
      <w:r>
        <w:rPr>
          <w:i/>
          <w:iCs/>
          <w:color w:val="555555"/>
          <w:sz w:val="20"/>
          <w:szCs w:val="20"/>
        </w:rPr>
        <w:t>valuation</w:t>
      </w:r>
      <w:r>
        <w:rPr>
          <w:i/>
          <w:iCs/>
          <w:color w:val="555555"/>
          <w:sz w:val="20"/>
          <w:szCs w:val="20"/>
        </w:rPr>
        <w:t>(</w:t>
      </w:r>
      <w:proofErr w:type="gramEnd"/>
      <w:r>
        <w:rPr>
          <w:i/>
          <w:iCs/>
          <w:color w:val="555555"/>
          <w:sz w:val="20"/>
          <w:szCs w:val="20"/>
        </w:rPr>
        <w:t>2018–2024)</w:t>
      </w:r>
    </w:p>
    <w:p w14:paraId="673B91FA" w14:textId="77777777" w:rsidR="005D0C5D" w:rsidRPr="00DB34FC" w:rsidRDefault="00000000">
      <w:pPr>
        <w:pStyle w:val="Heading3"/>
        <w:spacing w:before="180"/>
        <w:rPr>
          <w:color w:val="0D0D0D" w:themeColor="text1" w:themeTint="F2"/>
        </w:rPr>
      </w:pPr>
      <w:r w:rsidRPr="00DB34FC">
        <w:rPr>
          <w:color w:val="0D0D0D" w:themeColor="text1" w:themeTint="F2"/>
        </w:rPr>
        <w:t>Insight:</w:t>
      </w:r>
    </w:p>
    <w:p w14:paraId="30A54E70" w14:textId="49927E38" w:rsidR="005D0C5D" w:rsidRDefault="00000000" w:rsidP="00DB34FC">
      <w:pPr>
        <w:spacing w:after="120"/>
        <w:jc w:val="both"/>
      </w:pPr>
      <w:r>
        <w:t>The Close price chart reveals three distinct market regimes: a high-volatility phase in 2018 ($40–$75), a prolonged bear phase through 2019–2020 ($14–$40), and a strong bull recovery from 2021 onwards culminating in the acquisition spike. The 2023–2024 OTC period shows Twitter trading in the $30–$55 range after delisting.</w:t>
      </w:r>
    </w:p>
    <w:p w14:paraId="50BEFDEC" w14:textId="77777777" w:rsidR="005D0C5D" w:rsidRPr="00DB34FC" w:rsidRDefault="00000000">
      <w:pPr>
        <w:pStyle w:val="Heading2"/>
        <w:rPr>
          <w:color w:val="0D0D0D" w:themeColor="text1" w:themeTint="F2"/>
        </w:rPr>
      </w:pPr>
      <w:r w:rsidRPr="00DB34FC">
        <w:rPr>
          <w:color w:val="0D0D0D" w:themeColor="text1" w:themeTint="F2"/>
        </w:rPr>
        <w:lastRenderedPageBreak/>
        <w:t>6.3 Year-wise Time Period Analysis</w:t>
      </w:r>
    </w:p>
    <w:p w14:paraId="5CAD11AA" w14:textId="1B73EE87" w:rsidR="00DB34FC" w:rsidRPr="00DB34FC" w:rsidRDefault="00000000" w:rsidP="00DB34FC">
      <w:pPr>
        <w:spacing w:after="120"/>
        <w:jc w:val="both"/>
      </w:pPr>
      <w:r>
        <w:t xml:space="preserve">Twitter's stock was </w:t>
      </w:r>
      <w:proofErr w:type="spellStart"/>
      <w:r>
        <w:t>analyzed</w:t>
      </w:r>
      <w:proofErr w:type="spellEnd"/>
      <w:r>
        <w:t xml:space="preserve"> year-by-year to identify specific annual trends and turning points that would be obscured in a full-range chart.</w:t>
      </w:r>
    </w:p>
    <w:p w14:paraId="55D58B45" w14:textId="7C4CBC7D" w:rsidR="00DB34FC" w:rsidRDefault="00DB34FC">
      <w:pPr>
        <w:spacing w:after="120"/>
        <w:jc w:val="both"/>
      </w:pPr>
      <w:r>
        <w:rPr>
          <w:noProof/>
        </w:rPr>
        <w:drawing>
          <wp:inline distT="0" distB="0" distL="0" distR="0" wp14:anchorId="1B7AEB38" wp14:editId="33B61CC0">
            <wp:extent cx="4101866" cy="8366760"/>
            <wp:effectExtent l="0" t="0" r="0" b="0"/>
            <wp:docPr id="9776492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12192" cy="8387822"/>
                    </a:xfrm>
                    <a:prstGeom prst="rect">
                      <a:avLst/>
                    </a:prstGeom>
                    <a:noFill/>
                    <a:ln>
                      <a:noFill/>
                    </a:ln>
                  </pic:spPr>
                </pic:pic>
              </a:graphicData>
            </a:graphic>
          </wp:inline>
        </w:drawing>
      </w:r>
    </w:p>
    <w:p w14:paraId="0AC81C31" w14:textId="7F35D8F4" w:rsidR="00DB34FC" w:rsidRDefault="00DB34FC" w:rsidP="00DB34FC">
      <w:pPr>
        <w:spacing w:after="160"/>
        <w:jc w:val="center"/>
      </w:pPr>
      <w:r>
        <w:rPr>
          <w:i/>
          <w:iCs/>
          <w:color w:val="555555"/>
          <w:sz w:val="20"/>
          <w:szCs w:val="20"/>
        </w:rPr>
        <w:t xml:space="preserve">Figure </w:t>
      </w:r>
      <w:r>
        <w:rPr>
          <w:i/>
          <w:iCs/>
          <w:color w:val="555555"/>
          <w:sz w:val="20"/>
          <w:szCs w:val="20"/>
        </w:rPr>
        <w:t>3</w:t>
      </w:r>
      <w:r>
        <w:rPr>
          <w:i/>
          <w:iCs/>
          <w:color w:val="555555"/>
          <w:sz w:val="20"/>
          <w:szCs w:val="20"/>
        </w:rPr>
        <w:t xml:space="preserve">: </w:t>
      </w:r>
      <w:r>
        <w:rPr>
          <w:i/>
          <w:iCs/>
          <w:color w:val="555555"/>
          <w:sz w:val="20"/>
          <w:szCs w:val="20"/>
        </w:rPr>
        <w:t>Twitter stock price range of every year</w:t>
      </w:r>
    </w:p>
    <w:p w14:paraId="4CC821FF" w14:textId="77777777" w:rsidR="005D0C5D" w:rsidRPr="00DB34FC" w:rsidRDefault="00000000">
      <w:pPr>
        <w:pStyle w:val="Heading3"/>
        <w:spacing w:before="180"/>
        <w:rPr>
          <w:color w:val="0D0D0D" w:themeColor="text1" w:themeTint="F2"/>
        </w:rPr>
      </w:pPr>
      <w:r w:rsidRPr="00DB34FC">
        <w:rPr>
          <w:color w:val="0D0D0D" w:themeColor="text1" w:themeTint="F2"/>
        </w:rPr>
        <w:lastRenderedPageBreak/>
        <w:t>Year-wise Summary:</w:t>
      </w:r>
    </w:p>
    <w:tbl>
      <w:tblPr>
        <w:tblStyle w:val="GridTable4"/>
        <w:tblW w:w="9000" w:type="dxa"/>
        <w:tblLook w:val="04A0" w:firstRow="1" w:lastRow="0" w:firstColumn="1" w:lastColumn="0" w:noHBand="0" w:noVBand="1"/>
      </w:tblPr>
      <w:tblGrid>
        <w:gridCol w:w="3000"/>
        <w:gridCol w:w="3000"/>
        <w:gridCol w:w="3000"/>
      </w:tblGrid>
      <w:tr w:rsidR="005D0C5D" w14:paraId="0860088E" w14:textId="77777777" w:rsidTr="00532F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34CD1CD6" w14:textId="77777777" w:rsidR="005D0C5D" w:rsidRDefault="00000000">
            <w:pPr>
              <w:jc w:val="center"/>
            </w:pPr>
            <w:r>
              <w:rPr>
                <w:color w:val="FFFFFF"/>
                <w:sz w:val="20"/>
                <w:szCs w:val="20"/>
              </w:rPr>
              <w:t>Year</w:t>
            </w:r>
          </w:p>
        </w:tc>
        <w:tc>
          <w:tcPr>
            <w:tcW w:w="3000" w:type="dxa"/>
          </w:tcPr>
          <w:p w14:paraId="3BD8187B" w14:textId="77777777" w:rsidR="005D0C5D"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Price Range (Close)</w:t>
            </w:r>
          </w:p>
        </w:tc>
        <w:tc>
          <w:tcPr>
            <w:tcW w:w="3000" w:type="dxa"/>
          </w:tcPr>
          <w:p w14:paraId="6C2FFF3F" w14:textId="77777777" w:rsidR="005D0C5D"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Key Event / Trend</w:t>
            </w:r>
          </w:p>
        </w:tc>
      </w:tr>
      <w:tr w:rsidR="005D0C5D" w14:paraId="5BC4B7ED" w14:textId="77777777" w:rsidTr="00532F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6734DC04" w14:textId="77777777" w:rsidR="005D0C5D" w:rsidRDefault="00000000">
            <w:pPr>
              <w:jc w:val="center"/>
            </w:pPr>
            <w:r>
              <w:rPr>
                <w:sz w:val="20"/>
                <w:szCs w:val="20"/>
              </w:rPr>
              <w:t>2018</w:t>
            </w:r>
          </w:p>
        </w:tc>
        <w:tc>
          <w:tcPr>
            <w:tcW w:w="3000" w:type="dxa"/>
          </w:tcPr>
          <w:p w14:paraId="71E97AA3" w14:textId="77777777" w:rsidR="005D0C5D" w:rsidRDefault="00000000">
            <w:pPr>
              <w:jc w:val="center"/>
              <w:cnfStyle w:val="000000100000" w:firstRow="0" w:lastRow="0" w:firstColumn="0" w:lastColumn="0" w:oddVBand="0" w:evenVBand="0" w:oddHBand="1" w:evenHBand="0" w:firstRowFirstColumn="0" w:firstRowLastColumn="0" w:lastRowFirstColumn="0" w:lastRowLastColumn="0"/>
            </w:pPr>
            <w:r>
              <w:rPr>
                <w:sz w:val="20"/>
                <w:szCs w:val="20"/>
              </w:rPr>
              <w:t>$29 – $75</w:t>
            </w:r>
          </w:p>
        </w:tc>
        <w:tc>
          <w:tcPr>
            <w:tcW w:w="3000" w:type="dxa"/>
          </w:tcPr>
          <w:p w14:paraId="2512C2B7" w14:textId="77777777" w:rsidR="005D0C5D" w:rsidRDefault="00000000">
            <w:pPr>
              <w:jc w:val="center"/>
              <w:cnfStyle w:val="000000100000" w:firstRow="0" w:lastRow="0" w:firstColumn="0" w:lastColumn="0" w:oddVBand="0" w:evenVBand="0" w:oddHBand="1" w:evenHBand="0" w:firstRowFirstColumn="0" w:firstRowLastColumn="0" w:lastRowFirstColumn="0" w:lastRowLastColumn="0"/>
            </w:pPr>
            <w:r>
              <w:rPr>
                <w:sz w:val="20"/>
                <w:szCs w:val="20"/>
              </w:rPr>
              <w:t>High volatility; strong early peak, steep mid-year decline</w:t>
            </w:r>
          </w:p>
        </w:tc>
      </w:tr>
      <w:tr w:rsidR="005D0C5D" w14:paraId="32381651" w14:textId="77777777" w:rsidTr="00532F93">
        <w:tc>
          <w:tcPr>
            <w:cnfStyle w:val="001000000000" w:firstRow="0" w:lastRow="0" w:firstColumn="1" w:lastColumn="0" w:oddVBand="0" w:evenVBand="0" w:oddHBand="0" w:evenHBand="0" w:firstRowFirstColumn="0" w:firstRowLastColumn="0" w:lastRowFirstColumn="0" w:lastRowLastColumn="0"/>
            <w:tcW w:w="3000" w:type="dxa"/>
          </w:tcPr>
          <w:p w14:paraId="24D0E9F3" w14:textId="77777777" w:rsidR="005D0C5D" w:rsidRDefault="00000000">
            <w:pPr>
              <w:jc w:val="center"/>
            </w:pPr>
            <w:r>
              <w:rPr>
                <w:sz w:val="20"/>
                <w:szCs w:val="20"/>
              </w:rPr>
              <w:t>2019</w:t>
            </w:r>
          </w:p>
        </w:tc>
        <w:tc>
          <w:tcPr>
            <w:tcW w:w="3000" w:type="dxa"/>
          </w:tcPr>
          <w:p w14:paraId="7DABC380" w14:textId="77777777" w:rsidR="005D0C5D" w:rsidRDefault="00000000">
            <w:pPr>
              <w:jc w:val="center"/>
              <w:cnfStyle w:val="000000000000" w:firstRow="0" w:lastRow="0" w:firstColumn="0" w:lastColumn="0" w:oddVBand="0" w:evenVBand="0" w:oddHBand="0" w:evenHBand="0" w:firstRowFirstColumn="0" w:firstRowLastColumn="0" w:lastRowFirstColumn="0" w:lastRowLastColumn="0"/>
            </w:pPr>
            <w:r>
              <w:rPr>
                <w:sz w:val="20"/>
                <w:szCs w:val="20"/>
              </w:rPr>
              <w:t>$24 – $45</w:t>
            </w:r>
          </w:p>
        </w:tc>
        <w:tc>
          <w:tcPr>
            <w:tcW w:w="3000" w:type="dxa"/>
          </w:tcPr>
          <w:p w14:paraId="4177F67E" w14:textId="77777777" w:rsidR="005D0C5D" w:rsidRDefault="00000000">
            <w:pPr>
              <w:jc w:val="center"/>
              <w:cnfStyle w:val="000000000000" w:firstRow="0" w:lastRow="0" w:firstColumn="0" w:lastColumn="0" w:oddVBand="0" w:evenVBand="0" w:oddHBand="0" w:evenHBand="0" w:firstRowFirstColumn="0" w:firstRowLastColumn="0" w:lastRowFirstColumn="0" w:lastRowLastColumn="0"/>
            </w:pPr>
            <w:r>
              <w:rPr>
                <w:sz w:val="20"/>
                <w:szCs w:val="20"/>
              </w:rPr>
              <w:t>Bear trend; range-bound with moderate recovery late in year</w:t>
            </w:r>
          </w:p>
        </w:tc>
      </w:tr>
      <w:tr w:rsidR="005D0C5D" w14:paraId="48EA5EA3" w14:textId="77777777" w:rsidTr="00532F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2CBCF366" w14:textId="77777777" w:rsidR="005D0C5D" w:rsidRDefault="00000000">
            <w:pPr>
              <w:jc w:val="center"/>
            </w:pPr>
            <w:r>
              <w:rPr>
                <w:sz w:val="20"/>
                <w:szCs w:val="20"/>
              </w:rPr>
              <w:t>2020</w:t>
            </w:r>
          </w:p>
        </w:tc>
        <w:tc>
          <w:tcPr>
            <w:tcW w:w="3000" w:type="dxa"/>
          </w:tcPr>
          <w:p w14:paraId="67D25EF4" w14:textId="77777777" w:rsidR="005D0C5D" w:rsidRDefault="00000000">
            <w:pPr>
              <w:jc w:val="center"/>
              <w:cnfStyle w:val="000000100000" w:firstRow="0" w:lastRow="0" w:firstColumn="0" w:lastColumn="0" w:oddVBand="0" w:evenVBand="0" w:oddHBand="1" w:evenHBand="0" w:firstRowFirstColumn="0" w:firstRowLastColumn="0" w:lastRowFirstColumn="0" w:lastRowLastColumn="0"/>
            </w:pPr>
            <w:r>
              <w:rPr>
                <w:sz w:val="20"/>
                <w:szCs w:val="20"/>
              </w:rPr>
              <w:t>$14 – $45</w:t>
            </w:r>
          </w:p>
        </w:tc>
        <w:tc>
          <w:tcPr>
            <w:tcW w:w="3000" w:type="dxa"/>
          </w:tcPr>
          <w:p w14:paraId="0C919AC0" w14:textId="77777777" w:rsidR="005D0C5D" w:rsidRDefault="00000000">
            <w:pPr>
              <w:jc w:val="center"/>
              <w:cnfStyle w:val="000000100000" w:firstRow="0" w:lastRow="0" w:firstColumn="0" w:lastColumn="0" w:oddVBand="0" w:evenVBand="0" w:oddHBand="1" w:evenHBand="0" w:firstRowFirstColumn="0" w:firstRowLastColumn="0" w:lastRowFirstColumn="0" w:lastRowLastColumn="0"/>
            </w:pPr>
            <w:r>
              <w:rPr>
                <w:sz w:val="20"/>
                <w:szCs w:val="20"/>
              </w:rPr>
              <w:t>COVID crash to $14 in March; strong recovery by year end</w:t>
            </w:r>
          </w:p>
        </w:tc>
      </w:tr>
      <w:tr w:rsidR="005D0C5D" w14:paraId="138CD910" w14:textId="77777777" w:rsidTr="00532F93">
        <w:tc>
          <w:tcPr>
            <w:cnfStyle w:val="001000000000" w:firstRow="0" w:lastRow="0" w:firstColumn="1" w:lastColumn="0" w:oddVBand="0" w:evenVBand="0" w:oddHBand="0" w:evenHBand="0" w:firstRowFirstColumn="0" w:firstRowLastColumn="0" w:lastRowFirstColumn="0" w:lastRowLastColumn="0"/>
            <w:tcW w:w="3000" w:type="dxa"/>
          </w:tcPr>
          <w:p w14:paraId="623D7778" w14:textId="77777777" w:rsidR="005D0C5D" w:rsidRDefault="00000000">
            <w:pPr>
              <w:jc w:val="center"/>
            </w:pPr>
            <w:r>
              <w:rPr>
                <w:sz w:val="20"/>
                <w:szCs w:val="20"/>
              </w:rPr>
              <w:t>2021</w:t>
            </w:r>
          </w:p>
        </w:tc>
        <w:tc>
          <w:tcPr>
            <w:tcW w:w="3000" w:type="dxa"/>
          </w:tcPr>
          <w:p w14:paraId="6B1D11C7" w14:textId="77777777" w:rsidR="005D0C5D" w:rsidRDefault="00000000">
            <w:pPr>
              <w:jc w:val="center"/>
              <w:cnfStyle w:val="000000000000" w:firstRow="0" w:lastRow="0" w:firstColumn="0" w:lastColumn="0" w:oddVBand="0" w:evenVBand="0" w:oddHBand="0" w:evenHBand="0" w:firstRowFirstColumn="0" w:firstRowLastColumn="0" w:lastRowFirstColumn="0" w:lastRowLastColumn="0"/>
            </w:pPr>
            <w:r>
              <w:rPr>
                <w:sz w:val="20"/>
                <w:szCs w:val="20"/>
              </w:rPr>
              <w:t>$28 – $77</w:t>
            </w:r>
          </w:p>
        </w:tc>
        <w:tc>
          <w:tcPr>
            <w:tcW w:w="3000" w:type="dxa"/>
          </w:tcPr>
          <w:p w14:paraId="554001AB" w14:textId="77777777" w:rsidR="005D0C5D" w:rsidRDefault="00000000">
            <w:pPr>
              <w:jc w:val="center"/>
              <w:cnfStyle w:val="000000000000" w:firstRow="0" w:lastRow="0" w:firstColumn="0" w:lastColumn="0" w:oddVBand="0" w:evenVBand="0" w:oddHBand="0" w:evenHBand="0" w:firstRowFirstColumn="0" w:firstRowLastColumn="0" w:lastRowFirstColumn="0" w:lastRowLastColumn="0"/>
            </w:pPr>
            <w:r>
              <w:rPr>
                <w:sz w:val="20"/>
                <w:szCs w:val="20"/>
              </w:rPr>
              <w:t>Bull run; multiple peaks driven by user growth optimism</w:t>
            </w:r>
          </w:p>
        </w:tc>
      </w:tr>
      <w:tr w:rsidR="005D0C5D" w14:paraId="642455DD" w14:textId="77777777" w:rsidTr="00532F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1D6FE96C" w14:textId="77777777" w:rsidR="005D0C5D" w:rsidRDefault="00000000">
            <w:pPr>
              <w:jc w:val="center"/>
            </w:pPr>
            <w:r>
              <w:rPr>
                <w:sz w:val="20"/>
                <w:szCs w:val="20"/>
              </w:rPr>
              <w:t>2022</w:t>
            </w:r>
          </w:p>
        </w:tc>
        <w:tc>
          <w:tcPr>
            <w:tcW w:w="3000" w:type="dxa"/>
          </w:tcPr>
          <w:p w14:paraId="695A86F5" w14:textId="77777777" w:rsidR="005D0C5D" w:rsidRDefault="00000000">
            <w:pPr>
              <w:jc w:val="center"/>
              <w:cnfStyle w:val="000000100000" w:firstRow="0" w:lastRow="0" w:firstColumn="0" w:lastColumn="0" w:oddVBand="0" w:evenVBand="0" w:oddHBand="1" w:evenHBand="0" w:firstRowFirstColumn="0" w:firstRowLastColumn="0" w:lastRowFirstColumn="0" w:lastRowLastColumn="0"/>
            </w:pPr>
            <w:r>
              <w:rPr>
                <w:sz w:val="20"/>
                <w:szCs w:val="20"/>
              </w:rPr>
              <w:t>$29 – $70+</w:t>
            </w:r>
          </w:p>
        </w:tc>
        <w:tc>
          <w:tcPr>
            <w:tcW w:w="3000" w:type="dxa"/>
          </w:tcPr>
          <w:p w14:paraId="50F86415" w14:textId="77777777" w:rsidR="005D0C5D" w:rsidRDefault="00000000">
            <w:pPr>
              <w:jc w:val="center"/>
              <w:cnfStyle w:val="000000100000" w:firstRow="0" w:lastRow="0" w:firstColumn="0" w:lastColumn="0" w:oddVBand="0" w:evenVBand="0" w:oddHBand="1" w:evenHBand="0" w:firstRowFirstColumn="0" w:firstRowLastColumn="0" w:lastRowFirstColumn="0" w:lastRowLastColumn="0"/>
            </w:pPr>
            <w:r>
              <w:rPr>
                <w:sz w:val="20"/>
                <w:szCs w:val="20"/>
              </w:rPr>
              <w:t>Musk offer spike in April; delisting in October 2022</w:t>
            </w:r>
          </w:p>
        </w:tc>
      </w:tr>
      <w:tr w:rsidR="005D0C5D" w14:paraId="3EACA77A" w14:textId="77777777" w:rsidTr="00532F93">
        <w:tc>
          <w:tcPr>
            <w:cnfStyle w:val="001000000000" w:firstRow="0" w:lastRow="0" w:firstColumn="1" w:lastColumn="0" w:oddVBand="0" w:evenVBand="0" w:oddHBand="0" w:evenHBand="0" w:firstRowFirstColumn="0" w:firstRowLastColumn="0" w:lastRowFirstColumn="0" w:lastRowLastColumn="0"/>
            <w:tcW w:w="3000" w:type="dxa"/>
          </w:tcPr>
          <w:p w14:paraId="60FEF020" w14:textId="77777777" w:rsidR="005D0C5D" w:rsidRDefault="00000000">
            <w:pPr>
              <w:jc w:val="center"/>
            </w:pPr>
            <w:r>
              <w:rPr>
                <w:sz w:val="20"/>
                <w:szCs w:val="20"/>
              </w:rPr>
              <w:t>2023</w:t>
            </w:r>
          </w:p>
        </w:tc>
        <w:tc>
          <w:tcPr>
            <w:tcW w:w="3000" w:type="dxa"/>
          </w:tcPr>
          <w:p w14:paraId="2F4EEA98" w14:textId="77777777" w:rsidR="005D0C5D" w:rsidRDefault="00000000">
            <w:pPr>
              <w:jc w:val="center"/>
              <w:cnfStyle w:val="000000000000" w:firstRow="0" w:lastRow="0" w:firstColumn="0" w:lastColumn="0" w:oddVBand="0" w:evenVBand="0" w:oddHBand="0" w:evenHBand="0" w:firstRowFirstColumn="0" w:firstRowLastColumn="0" w:lastRowFirstColumn="0" w:lastRowLastColumn="0"/>
            </w:pPr>
            <w:r>
              <w:rPr>
                <w:sz w:val="20"/>
                <w:szCs w:val="20"/>
              </w:rPr>
              <w:t>$33 – $80</w:t>
            </w:r>
          </w:p>
        </w:tc>
        <w:tc>
          <w:tcPr>
            <w:tcW w:w="3000" w:type="dxa"/>
          </w:tcPr>
          <w:p w14:paraId="018AA370" w14:textId="77777777" w:rsidR="005D0C5D" w:rsidRDefault="00000000">
            <w:pPr>
              <w:jc w:val="center"/>
              <w:cnfStyle w:val="000000000000" w:firstRow="0" w:lastRow="0" w:firstColumn="0" w:lastColumn="0" w:oddVBand="0" w:evenVBand="0" w:oddHBand="0" w:evenHBand="0" w:firstRowFirstColumn="0" w:firstRowLastColumn="0" w:lastRowFirstColumn="0" w:lastRowLastColumn="0"/>
            </w:pPr>
            <w:r>
              <w:rPr>
                <w:sz w:val="20"/>
                <w:szCs w:val="20"/>
              </w:rPr>
              <w:t>Post-delisting OTC trading; highest prices in dataset</w:t>
            </w:r>
          </w:p>
        </w:tc>
      </w:tr>
      <w:tr w:rsidR="005D0C5D" w14:paraId="0FBA912A" w14:textId="77777777" w:rsidTr="00532F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00A1B81C" w14:textId="77777777" w:rsidR="005D0C5D" w:rsidRDefault="00000000">
            <w:pPr>
              <w:jc w:val="center"/>
            </w:pPr>
            <w:r>
              <w:rPr>
                <w:sz w:val="20"/>
                <w:szCs w:val="20"/>
              </w:rPr>
              <w:t>2024</w:t>
            </w:r>
          </w:p>
        </w:tc>
        <w:tc>
          <w:tcPr>
            <w:tcW w:w="3000" w:type="dxa"/>
          </w:tcPr>
          <w:p w14:paraId="5720BF5F" w14:textId="77777777" w:rsidR="005D0C5D" w:rsidRDefault="00000000">
            <w:pPr>
              <w:jc w:val="center"/>
              <w:cnfStyle w:val="000000100000" w:firstRow="0" w:lastRow="0" w:firstColumn="0" w:lastColumn="0" w:oddVBand="0" w:evenVBand="0" w:oddHBand="1" w:evenHBand="0" w:firstRowFirstColumn="0" w:firstRowLastColumn="0" w:lastRowFirstColumn="0" w:lastRowLastColumn="0"/>
            </w:pPr>
            <w:r>
              <w:rPr>
                <w:sz w:val="20"/>
                <w:szCs w:val="20"/>
              </w:rPr>
              <w:t>$33 – $54</w:t>
            </w:r>
          </w:p>
        </w:tc>
        <w:tc>
          <w:tcPr>
            <w:tcW w:w="3000" w:type="dxa"/>
          </w:tcPr>
          <w:p w14:paraId="1E5A7801" w14:textId="77777777" w:rsidR="005D0C5D" w:rsidRDefault="00000000">
            <w:pPr>
              <w:jc w:val="center"/>
              <w:cnfStyle w:val="000000100000" w:firstRow="0" w:lastRow="0" w:firstColumn="0" w:lastColumn="0" w:oddVBand="0" w:evenVBand="0" w:oddHBand="1" w:evenHBand="0" w:firstRowFirstColumn="0" w:firstRowLastColumn="0" w:lastRowFirstColumn="0" w:lastRowLastColumn="0"/>
            </w:pPr>
            <w:r>
              <w:rPr>
                <w:sz w:val="20"/>
                <w:szCs w:val="20"/>
              </w:rPr>
              <w:t>Partial year (Jan–Mar); stable OTC trading range</w:t>
            </w:r>
          </w:p>
        </w:tc>
      </w:tr>
    </w:tbl>
    <w:p w14:paraId="035FA0B9" w14:textId="77777777" w:rsidR="005D0C5D" w:rsidRDefault="005D0C5D">
      <w:pPr>
        <w:spacing w:after="60"/>
      </w:pPr>
    </w:p>
    <w:p w14:paraId="06A58FFC" w14:textId="77777777" w:rsidR="005D0C5D" w:rsidRPr="00532F93" w:rsidRDefault="00000000">
      <w:pPr>
        <w:pStyle w:val="Heading2"/>
        <w:rPr>
          <w:color w:val="0D0D0D" w:themeColor="text1" w:themeTint="F2"/>
        </w:rPr>
      </w:pPr>
      <w:r w:rsidRPr="00532F93">
        <w:rPr>
          <w:color w:val="0D0D0D" w:themeColor="text1" w:themeTint="F2"/>
        </w:rPr>
        <w:t>6.4 Complete Timeline with Key Events</w:t>
      </w:r>
    </w:p>
    <w:p w14:paraId="1891618F" w14:textId="77777777" w:rsidR="005D0C5D" w:rsidRDefault="00000000">
      <w:pPr>
        <w:spacing w:after="120"/>
        <w:jc w:val="both"/>
      </w:pPr>
      <w:r>
        <w:t>A full annotated timeline was generated marking four critical events in Twitter's stock market history using vertical dashed lines.</w:t>
      </w:r>
    </w:p>
    <w:p w14:paraId="21A91414" w14:textId="28A6DB34" w:rsidR="00DB34FC" w:rsidRDefault="00DB34FC">
      <w:pPr>
        <w:spacing w:after="120"/>
        <w:jc w:val="both"/>
      </w:pPr>
      <w:r>
        <w:rPr>
          <w:noProof/>
        </w:rPr>
        <w:drawing>
          <wp:inline distT="0" distB="0" distL="0" distR="0" wp14:anchorId="02F2AB22" wp14:editId="21E6F0F1">
            <wp:extent cx="5960110" cy="2235200"/>
            <wp:effectExtent l="0" t="0" r="2540" b="0"/>
            <wp:docPr id="14647930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60110" cy="2235200"/>
                    </a:xfrm>
                    <a:prstGeom prst="rect">
                      <a:avLst/>
                    </a:prstGeom>
                    <a:noFill/>
                    <a:ln>
                      <a:noFill/>
                    </a:ln>
                  </pic:spPr>
                </pic:pic>
              </a:graphicData>
            </a:graphic>
          </wp:inline>
        </w:drawing>
      </w:r>
    </w:p>
    <w:p w14:paraId="0E2E9D5E" w14:textId="6E7E7AFD" w:rsidR="00DB34FC" w:rsidRPr="00DB34FC" w:rsidRDefault="00DB34FC" w:rsidP="00DB34FC">
      <w:pPr>
        <w:spacing w:after="160"/>
        <w:jc w:val="center"/>
        <w:rPr>
          <w:i/>
          <w:iCs/>
          <w:color w:val="555555"/>
          <w:sz w:val="20"/>
          <w:szCs w:val="20"/>
        </w:rPr>
      </w:pPr>
      <w:r>
        <w:rPr>
          <w:i/>
          <w:iCs/>
          <w:color w:val="555555"/>
          <w:sz w:val="20"/>
          <w:szCs w:val="20"/>
        </w:rPr>
        <w:t xml:space="preserve">Figure </w:t>
      </w:r>
      <w:r>
        <w:rPr>
          <w:i/>
          <w:iCs/>
          <w:color w:val="555555"/>
          <w:sz w:val="20"/>
          <w:szCs w:val="20"/>
        </w:rPr>
        <w:t>4</w:t>
      </w:r>
      <w:r>
        <w:rPr>
          <w:i/>
          <w:iCs/>
          <w:color w:val="555555"/>
          <w:sz w:val="20"/>
          <w:szCs w:val="20"/>
        </w:rPr>
        <w:t xml:space="preserve">: </w:t>
      </w:r>
      <w:r w:rsidR="00532F93">
        <w:rPr>
          <w:i/>
          <w:iCs/>
          <w:color w:val="555555"/>
          <w:sz w:val="20"/>
          <w:szCs w:val="20"/>
        </w:rPr>
        <w:t>Annotated</w:t>
      </w:r>
      <w:r>
        <w:rPr>
          <w:i/>
          <w:iCs/>
          <w:color w:val="555555"/>
          <w:sz w:val="20"/>
          <w:szCs w:val="20"/>
        </w:rPr>
        <w:t xml:space="preserve"> Timeline of Stock Market</w:t>
      </w:r>
      <w:r w:rsidR="00532F93">
        <w:rPr>
          <w:i/>
          <w:iCs/>
          <w:color w:val="555555"/>
          <w:sz w:val="20"/>
          <w:szCs w:val="20"/>
        </w:rPr>
        <w:t xml:space="preserve"> (2018-2024)</w:t>
      </w:r>
    </w:p>
    <w:p w14:paraId="1C586878" w14:textId="77777777" w:rsidR="005D0C5D" w:rsidRDefault="00000000">
      <w:pPr>
        <w:pStyle w:val="Heading3"/>
        <w:spacing w:before="180"/>
      </w:pPr>
      <w:r>
        <w:t>Insight:</w:t>
      </w:r>
    </w:p>
    <w:p w14:paraId="06AC7BF2" w14:textId="77777777" w:rsidR="005D0C5D" w:rsidRDefault="00000000">
      <w:pPr>
        <w:spacing w:after="120"/>
        <w:jc w:val="both"/>
      </w:pPr>
      <w:r>
        <w:t>The annotated timeline makes the impact of external events unmistakably clear. The COVID-19 crash (March 2020) caused the sharpest single-period decline in the dataset — a drop of approximately 60% from the 2018 high. The Musk acquisition offer (April 2022) created the largest single-day volume spike on record and drove the stock to near its all-time high. The delisting event (October 2022) marked the end of Twitter as a public equity, though grey-market OTC trading continued and is reflected in the 2023–2024 data.</w:t>
      </w:r>
    </w:p>
    <w:p w14:paraId="221B96CF" w14:textId="77777777" w:rsidR="005D0C5D" w:rsidRDefault="005D0C5D">
      <w:pPr>
        <w:spacing w:after="60"/>
      </w:pPr>
    </w:p>
    <w:p w14:paraId="177536E7" w14:textId="77777777" w:rsidR="005D0C5D" w:rsidRPr="00532F93" w:rsidRDefault="00000000">
      <w:pPr>
        <w:pStyle w:val="Heading2"/>
        <w:rPr>
          <w:color w:val="0D0D0D" w:themeColor="text1" w:themeTint="F2"/>
        </w:rPr>
      </w:pPr>
      <w:r w:rsidRPr="00532F93">
        <w:rPr>
          <w:color w:val="0D0D0D" w:themeColor="text1" w:themeTint="F2"/>
        </w:rPr>
        <w:t>6.5 Word Cloud — Analysis Insights</w:t>
      </w:r>
    </w:p>
    <w:p w14:paraId="06C7FC23" w14:textId="77777777" w:rsidR="005D0C5D" w:rsidRDefault="00000000">
      <w:pPr>
        <w:spacing w:before="120" w:after="60"/>
        <w:jc w:val="center"/>
      </w:pPr>
      <w:r>
        <w:rPr>
          <w:noProof/>
        </w:rPr>
        <w:lastRenderedPageBreak/>
        <w:drawing>
          <wp:inline distT="0" distB="0" distL="0" distR="0" wp14:anchorId="21A90F2B" wp14:editId="6DB7998D">
            <wp:extent cx="5334000" cy="2667000"/>
            <wp:effectExtent l="0" t="0" r="0" b="0"/>
            <wp:docPr id="307281768" name="Picture 307281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667000"/>
                    </a:xfrm>
                    <a:prstGeom prst="rect">
                      <a:avLst/>
                    </a:prstGeom>
                  </pic:spPr>
                </pic:pic>
              </a:graphicData>
            </a:graphic>
          </wp:inline>
        </w:drawing>
      </w:r>
    </w:p>
    <w:p w14:paraId="41207161" w14:textId="77777777" w:rsidR="005D0C5D" w:rsidRDefault="00000000">
      <w:pPr>
        <w:spacing w:after="160"/>
        <w:jc w:val="center"/>
      </w:pPr>
      <w:r>
        <w:rPr>
          <w:i/>
          <w:iCs/>
          <w:color w:val="555555"/>
          <w:sz w:val="20"/>
          <w:szCs w:val="20"/>
        </w:rPr>
        <w:t>Figure 2: Word Cloud representing the dominant themes of the Twitter stock analysis</w:t>
      </w:r>
    </w:p>
    <w:p w14:paraId="14AA6597" w14:textId="77777777" w:rsidR="005D0C5D" w:rsidRPr="00532F93" w:rsidRDefault="00000000">
      <w:pPr>
        <w:pStyle w:val="Heading3"/>
        <w:spacing w:before="180"/>
        <w:rPr>
          <w:color w:val="0D0D0D" w:themeColor="text1" w:themeTint="F2"/>
        </w:rPr>
      </w:pPr>
      <w:r w:rsidRPr="00532F93">
        <w:rPr>
          <w:color w:val="0D0D0D" w:themeColor="text1" w:themeTint="F2"/>
        </w:rPr>
        <w:t>Insight:</w:t>
      </w:r>
    </w:p>
    <w:p w14:paraId="6808130A" w14:textId="77777777" w:rsidR="005D0C5D" w:rsidRDefault="00000000">
      <w:pPr>
        <w:spacing w:after="120"/>
        <w:jc w:val="both"/>
      </w:pPr>
      <w:r>
        <w:t>The word cloud visually reinforces the dominant narratives of this analysis. 'Market', 'Twitter', 'price', and 'trend' are the largest terms, reflecting the price-focused nature of the dataset. Secondary terms such as 'acquisition', 'decline', 'volatility', 'delisted', and 'COVID' highlight the event-driven character of Twitter's stock story. Statistical terms including 'correlation', 'hypothesis', 'statistical', and 'dependent' confirm that rigorous analytical methods were applied alongside the visual analysis.</w:t>
      </w:r>
    </w:p>
    <w:p w14:paraId="18CF67E3" w14:textId="77777777" w:rsidR="005D0C5D" w:rsidRDefault="005D0C5D">
      <w:pPr>
        <w:spacing w:after="60"/>
      </w:pPr>
    </w:p>
    <w:p w14:paraId="67D12F9A" w14:textId="77777777" w:rsidR="005D0C5D" w:rsidRPr="00532F93" w:rsidRDefault="00000000">
      <w:pPr>
        <w:pStyle w:val="Heading2"/>
        <w:rPr>
          <w:color w:val="0D0D0D" w:themeColor="text1" w:themeTint="F2"/>
        </w:rPr>
      </w:pPr>
      <w:r w:rsidRPr="00532F93">
        <w:rPr>
          <w:color w:val="0D0D0D" w:themeColor="text1" w:themeTint="F2"/>
        </w:rPr>
        <w:t>6.6 Analysis Dashboard</w:t>
      </w:r>
    </w:p>
    <w:p w14:paraId="5F1C135D" w14:textId="77777777" w:rsidR="005D0C5D" w:rsidRDefault="00000000">
      <w:pPr>
        <w:spacing w:before="120" w:after="60"/>
        <w:jc w:val="center"/>
      </w:pPr>
      <w:r>
        <w:rPr>
          <w:noProof/>
        </w:rPr>
        <w:drawing>
          <wp:inline distT="0" distB="0" distL="0" distR="0" wp14:anchorId="378AA83A" wp14:editId="5D648DD0">
            <wp:extent cx="5905500" cy="2952750"/>
            <wp:effectExtent l="0" t="0" r="0" b="0"/>
            <wp:docPr id="79155795" name="Picture 79155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2952750"/>
                    </a:xfrm>
                    <a:prstGeom prst="rect">
                      <a:avLst/>
                    </a:prstGeom>
                  </pic:spPr>
                </pic:pic>
              </a:graphicData>
            </a:graphic>
          </wp:inline>
        </w:drawing>
      </w:r>
    </w:p>
    <w:p w14:paraId="531FD09E" w14:textId="77777777" w:rsidR="005D0C5D" w:rsidRDefault="00000000">
      <w:pPr>
        <w:spacing w:after="160"/>
        <w:jc w:val="center"/>
      </w:pPr>
      <w:r>
        <w:rPr>
          <w:i/>
          <w:iCs/>
          <w:color w:val="555555"/>
          <w:sz w:val="20"/>
          <w:szCs w:val="20"/>
        </w:rPr>
        <w:t>Figure 3: Four-panel dashboard — Close price timeline, yearly averages, trading volume, daily spread</w:t>
      </w:r>
    </w:p>
    <w:p w14:paraId="06932494" w14:textId="77777777" w:rsidR="005D0C5D" w:rsidRPr="00532F93" w:rsidRDefault="00000000">
      <w:pPr>
        <w:pStyle w:val="Heading3"/>
        <w:spacing w:before="180"/>
        <w:rPr>
          <w:color w:val="0D0D0D" w:themeColor="text1" w:themeTint="F2"/>
        </w:rPr>
      </w:pPr>
      <w:r w:rsidRPr="00532F93">
        <w:rPr>
          <w:color w:val="0D0D0D" w:themeColor="text1" w:themeTint="F2"/>
        </w:rPr>
        <w:t>Dashboard Panel Insights:</w:t>
      </w:r>
    </w:p>
    <w:p w14:paraId="55EEF9D0" w14:textId="77777777" w:rsidR="005D0C5D" w:rsidRDefault="00000000">
      <w:pPr>
        <w:pStyle w:val="ListParagraph"/>
        <w:numPr>
          <w:ilvl w:val="0"/>
          <w:numId w:val="1"/>
        </w:numPr>
        <w:spacing w:after="80"/>
      </w:pPr>
      <w:r>
        <w:t>Panel 1 (Close Price Timeline): Confirms the full price arc from 2018 to 2024, with clear identification of all three major market phases.</w:t>
      </w:r>
    </w:p>
    <w:p w14:paraId="4BF2754E" w14:textId="77777777" w:rsidR="005D0C5D" w:rsidRDefault="00000000">
      <w:pPr>
        <w:pStyle w:val="ListParagraph"/>
        <w:numPr>
          <w:ilvl w:val="0"/>
          <w:numId w:val="1"/>
        </w:numPr>
        <w:spacing w:after="80"/>
      </w:pPr>
      <w:r>
        <w:t>Panel 2 (Yearly Average Close): 2020 had the lowest yearly average (~$20) due to the COVID crash. 2023 had the highest (~$53) reflecting OTC trading at premium prices post-acquisition. 2018 started strong (~$46) before the mid-year decline.</w:t>
      </w:r>
    </w:p>
    <w:p w14:paraId="2F8B1BE3" w14:textId="77777777" w:rsidR="005D0C5D" w:rsidRDefault="00000000">
      <w:pPr>
        <w:pStyle w:val="ListParagraph"/>
        <w:numPr>
          <w:ilvl w:val="0"/>
          <w:numId w:val="1"/>
        </w:numPr>
        <w:spacing w:after="80"/>
      </w:pPr>
      <w:r>
        <w:lastRenderedPageBreak/>
        <w:t>Panel 3 (Daily Trading Volume): The largest volume spike occurred in early 2020 (~190M shares) during the COVID-19 market panic. A secondary large spike appears in 2024. The vast majority of trading days saw volume under 50 million shares.</w:t>
      </w:r>
    </w:p>
    <w:p w14:paraId="06B9922F" w14:textId="77777777" w:rsidR="005D0C5D" w:rsidRDefault="00000000">
      <w:pPr>
        <w:pStyle w:val="ListParagraph"/>
        <w:numPr>
          <w:ilvl w:val="0"/>
          <w:numId w:val="1"/>
        </w:numPr>
        <w:spacing w:after="80"/>
      </w:pPr>
      <w:r>
        <w:t>Panel 4 (Daily Spread — High minus Low): A price spread spike of ~$14 occurred in early 2019, indicating an extremely volatile intra-day session. Spread generally stays under $4 during calm periods, widening during uncertainty (2022 acquisition period).</w:t>
      </w:r>
    </w:p>
    <w:p w14:paraId="1829C9D4" w14:textId="77777777" w:rsidR="005D0C5D" w:rsidRDefault="00000000">
      <w:r>
        <w:br w:type="page"/>
      </w:r>
    </w:p>
    <w:p w14:paraId="163078B3" w14:textId="77777777" w:rsidR="005D0C5D" w:rsidRPr="00532F93" w:rsidRDefault="00000000">
      <w:pPr>
        <w:pStyle w:val="Heading1"/>
        <w:spacing w:before="320"/>
        <w:rPr>
          <w:color w:val="0D0D0D" w:themeColor="text1" w:themeTint="F2"/>
        </w:rPr>
      </w:pPr>
      <w:r w:rsidRPr="00532F93">
        <w:rPr>
          <w:color w:val="0D0D0D" w:themeColor="text1" w:themeTint="F2"/>
        </w:rPr>
        <w:lastRenderedPageBreak/>
        <w:t>7. Summary Conclusion</w:t>
      </w:r>
    </w:p>
    <w:p w14:paraId="5C9324B9" w14:textId="77777777" w:rsidR="005D0C5D" w:rsidRPr="00532F93" w:rsidRDefault="00000000">
      <w:pPr>
        <w:pStyle w:val="Heading2"/>
        <w:rPr>
          <w:color w:val="0D0D0D" w:themeColor="text1" w:themeTint="F2"/>
        </w:rPr>
      </w:pPr>
      <w:r w:rsidRPr="00532F93">
        <w:rPr>
          <w:color w:val="0D0D0D" w:themeColor="text1" w:themeTint="F2"/>
        </w:rPr>
        <w:t>7.1 Key Findings</w:t>
      </w:r>
    </w:p>
    <w:tbl>
      <w:tblPr>
        <w:tblStyle w:val="GridTable4"/>
        <w:tblW w:w="9000" w:type="dxa"/>
        <w:tblLook w:val="04A0" w:firstRow="1" w:lastRow="0" w:firstColumn="1" w:lastColumn="0" w:noHBand="0" w:noVBand="1"/>
      </w:tblPr>
      <w:tblGrid>
        <w:gridCol w:w="4500"/>
        <w:gridCol w:w="4500"/>
      </w:tblGrid>
      <w:tr w:rsidR="005D0C5D" w14:paraId="56F29CF3" w14:textId="77777777" w:rsidTr="00532F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13F4A1CE" w14:textId="77777777" w:rsidR="005D0C5D" w:rsidRDefault="00000000">
            <w:pPr>
              <w:jc w:val="center"/>
            </w:pPr>
            <w:r>
              <w:rPr>
                <w:color w:val="FFFFFF"/>
                <w:sz w:val="20"/>
                <w:szCs w:val="20"/>
              </w:rPr>
              <w:t>Area</w:t>
            </w:r>
          </w:p>
        </w:tc>
        <w:tc>
          <w:tcPr>
            <w:tcW w:w="4500" w:type="dxa"/>
          </w:tcPr>
          <w:p w14:paraId="2AF01216" w14:textId="77777777" w:rsidR="005D0C5D"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Finding</w:t>
            </w:r>
          </w:p>
        </w:tc>
      </w:tr>
      <w:tr w:rsidR="005D0C5D" w14:paraId="4BB91FAA" w14:textId="77777777" w:rsidTr="00532F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347BF0A4" w14:textId="77777777" w:rsidR="005D0C5D" w:rsidRDefault="00000000">
            <w:pPr>
              <w:jc w:val="center"/>
            </w:pPr>
            <w:r>
              <w:rPr>
                <w:sz w:val="20"/>
                <w:szCs w:val="20"/>
              </w:rPr>
              <w:t>Dataset Quality</w:t>
            </w:r>
          </w:p>
        </w:tc>
        <w:tc>
          <w:tcPr>
            <w:tcW w:w="4500" w:type="dxa"/>
          </w:tcPr>
          <w:p w14:paraId="11CB9FAB" w14:textId="77777777" w:rsidR="005D0C5D" w:rsidRDefault="00000000">
            <w:pPr>
              <w:jc w:val="center"/>
              <w:cnfStyle w:val="000000100000" w:firstRow="0" w:lastRow="0" w:firstColumn="0" w:lastColumn="0" w:oddVBand="0" w:evenVBand="0" w:oddHBand="1" w:evenHBand="0" w:firstRowFirstColumn="0" w:firstRowLastColumn="0" w:lastRowFirstColumn="0" w:lastRowLastColumn="0"/>
            </w:pPr>
            <w:r>
              <w:rPr>
                <w:sz w:val="20"/>
                <w:szCs w:val="20"/>
              </w:rPr>
              <w:t>2,259 clean records after removing 5 trailing null rows. No structural data issues found.</w:t>
            </w:r>
          </w:p>
        </w:tc>
      </w:tr>
      <w:tr w:rsidR="005D0C5D" w14:paraId="459F1D20" w14:textId="77777777" w:rsidTr="00532F93">
        <w:tc>
          <w:tcPr>
            <w:cnfStyle w:val="001000000000" w:firstRow="0" w:lastRow="0" w:firstColumn="1" w:lastColumn="0" w:oddVBand="0" w:evenVBand="0" w:oddHBand="0" w:evenHBand="0" w:firstRowFirstColumn="0" w:firstRowLastColumn="0" w:lastRowFirstColumn="0" w:lastRowLastColumn="0"/>
            <w:tcW w:w="4500" w:type="dxa"/>
          </w:tcPr>
          <w:p w14:paraId="18008D9C" w14:textId="77777777" w:rsidR="005D0C5D" w:rsidRDefault="00000000">
            <w:pPr>
              <w:jc w:val="center"/>
            </w:pPr>
            <w:r>
              <w:rPr>
                <w:sz w:val="20"/>
                <w:szCs w:val="20"/>
              </w:rPr>
              <w:t>Price Range</w:t>
            </w:r>
          </w:p>
        </w:tc>
        <w:tc>
          <w:tcPr>
            <w:tcW w:w="4500" w:type="dxa"/>
          </w:tcPr>
          <w:p w14:paraId="68454CC5" w14:textId="77777777" w:rsidR="005D0C5D" w:rsidRDefault="00000000">
            <w:pPr>
              <w:jc w:val="center"/>
              <w:cnfStyle w:val="000000000000" w:firstRow="0" w:lastRow="0" w:firstColumn="0" w:lastColumn="0" w:oddVBand="0" w:evenVBand="0" w:oddHBand="0" w:evenHBand="0" w:firstRowFirstColumn="0" w:firstRowLastColumn="0" w:lastRowFirstColumn="0" w:lastRowLastColumn="0"/>
            </w:pPr>
            <w:r>
              <w:rPr>
                <w:sz w:val="20"/>
                <w:szCs w:val="20"/>
              </w:rPr>
              <w:t>Close ranged from $14.01 (COVID low, Mar 2020) to $77.63 (acquisition spike, Apr 2022).</w:t>
            </w:r>
          </w:p>
        </w:tc>
      </w:tr>
      <w:tr w:rsidR="005D0C5D" w14:paraId="498E5FE0" w14:textId="77777777" w:rsidTr="00532F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042D1C43" w14:textId="77777777" w:rsidR="005D0C5D" w:rsidRDefault="00000000">
            <w:pPr>
              <w:jc w:val="center"/>
            </w:pPr>
            <w:r>
              <w:rPr>
                <w:sz w:val="20"/>
                <w:szCs w:val="20"/>
              </w:rPr>
              <w:t>T-Test</w:t>
            </w:r>
          </w:p>
        </w:tc>
        <w:tc>
          <w:tcPr>
            <w:tcW w:w="4500" w:type="dxa"/>
          </w:tcPr>
          <w:p w14:paraId="51A1DC54" w14:textId="77777777" w:rsidR="005D0C5D" w:rsidRDefault="00000000">
            <w:pPr>
              <w:jc w:val="center"/>
              <w:cnfStyle w:val="000000100000" w:firstRow="0" w:lastRow="0" w:firstColumn="0" w:lastColumn="0" w:oddVBand="0" w:evenVBand="0" w:oddHBand="1" w:evenHBand="0" w:firstRowFirstColumn="0" w:firstRowLastColumn="0" w:lastRowFirstColumn="0" w:lastRowLastColumn="0"/>
            </w:pPr>
            <w:r>
              <w:rPr>
                <w:sz w:val="20"/>
                <w:szCs w:val="20"/>
              </w:rPr>
              <w:t>High vs Low: statistically different (p=0.001). High/Low vs Close: not significantly different.</w:t>
            </w:r>
          </w:p>
        </w:tc>
      </w:tr>
      <w:tr w:rsidR="005D0C5D" w14:paraId="7C1FDAE7" w14:textId="77777777" w:rsidTr="00532F93">
        <w:tc>
          <w:tcPr>
            <w:cnfStyle w:val="001000000000" w:firstRow="0" w:lastRow="0" w:firstColumn="1" w:lastColumn="0" w:oddVBand="0" w:evenVBand="0" w:oddHBand="0" w:evenHBand="0" w:firstRowFirstColumn="0" w:firstRowLastColumn="0" w:lastRowFirstColumn="0" w:lastRowLastColumn="0"/>
            <w:tcW w:w="4500" w:type="dxa"/>
          </w:tcPr>
          <w:p w14:paraId="7600FAA6" w14:textId="77777777" w:rsidR="005D0C5D" w:rsidRDefault="00000000">
            <w:pPr>
              <w:jc w:val="center"/>
            </w:pPr>
            <w:r>
              <w:rPr>
                <w:sz w:val="20"/>
                <w:szCs w:val="20"/>
              </w:rPr>
              <w:t>Chi-Square</w:t>
            </w:r>
          </w:p>
        </w:tc>
        <w:tc>
          <w:tcPr>
            <w:tcW w:w="4500" w:type="dxa"/>
          </w:tcPr>
          <w:p w14:paraId="1E9CB030" w14:textId="77777777" w:rsidR="005D0C5D" w:rsidRDefault="00000000">
            <w:pPr>
              <w:jc w:val="center"/>
              <w:cnfStyle w:val="000000000000" w:firstRow="0" w:lastRow="0" w:firstColumn="0" w:lastColumn="0" w:oddVBand="0" w:evenVBand="0" w:oddHBand="0" w:evenHBand="0" w:firstRowFirstColumn="0" w:firstRowLastColumn="0" w:lastRowFirstColumn="0" w:lastRowLastColumn="0"/>
            </w:pPr>
            <w:r>
              <w:rPr>
                <w:sz w:val="20"/>
                <w:szCs w:val="20"/>
              </w:rPr>
              <w:t>Close price and Volume are statistically independent (p=0.078), though volume spikes align with events.</w:t>
            </w:r>
          </w:p>
        </w:tc>
      </w:tr>
      <w:tr w:rsidR="005D0C5D" w14:paraId="1DE00436" w14:textId="77777777" w:rsidTr="00532F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6D1DDC55" w14:textId="77777777" w:rsidR="005D0C5D" w:rsidRDefault="00000000">
            <w:pPr>
              <w:jc w:val="center"/>
            </w:pPr>
            <w:r>
              <w:rPr>
                <w:sz w:val="20"/>
                <w:szCs w:val="20"/>
              </w:rPr>
              <w:t>Price Trend</w:t>
            </w:r>
          </w:p>
        </w:tc>
        <w:tc>
          <w:tcPr>
            <w:tcW w:w="4500" w:type="dxa"/>
          </w:tcPr>
          <w:p w14:paraId="2D9A9201" w14:textId="77777777" w:rsidR="005D0C5D" w:rsidRDefault="00000000">
            <w:pPr>
              <w:jc w:val="center"/>
              <w:cnfStyle w:val="000000100000" w:firstRow="0" w:lastRow="0" w:firstColumn="0" w:lastColumn="0" w:oddVBand="0" w:evenVBand="0" w:oddHBand="1" w:evenHBand="0" w:firstRowFirstColumn="0" w:firstRowLastColumn="0" w:lastRowFirstColumn="0" w:lastRowLastColumn="0"/>
            </w:pPr>
            <w:r>
              <w:rPr>
                <w:sz w:val="20"/>
                <w:szCs w:val="20"/>
              </w:rPr>
              <w:t>Three clear regimes: 2018 peak → 2019-20 bear → 2021-22 bull/acquisition spike.</w:t>
            </w:r>
          </w:p>
        </w:tc>
      </w:tr>
      <w:tr w:rsidR="005D0C5D" w14:paraId="4488FE65" w14:textId="77777777" w:rsidTr="00532F93">
        <w:tc>
          <w:tcPr>
            <w:cnfStyle w:val="001000000000" w:firstRow="0" w:lastRow="0" w:firstColumn="1" w:lastColumn="0" w:oddVBand="0" w:evenVBand="0" w:oddHBand="0" w:evenHBand="0" w:firstRowFirstColumn="0" w:firstRowLastColumn="0" w:lastRowFirstColumn="0" w:lastRowLastColumn="0"/>
            <w:tcW w:w="4500" w:type="dxa"/>
          </w:tcPr>
          <w:p w14:paraId="360E48E9" w14:textId="77777777" w:rsidR="005D0C5D" w:rsidRDefault="00000000">
            <w:pPr>
              <w:jc w:val="center"/>
            </w:pPr>
            <w:r>
              <w:rPr>
                <w:sz w:val="20"/>
                <w:szCs w:val="20"/>
              </w:rPr>
              <w:t xml:space="preserve">Volume </w:t>
            </w:r>
            <w:proofErr w:type="spellStart"/>
            <w:r>
              <w:rPr>
                <w:sz w:val="20"/>
                <w:szCs w:val="20"/>
              </w:rPr>
              <w:t>Behavior</w:t>
            </w:r>
            <w:proofErr w:type="spellEnd"/>
          </w:p>
        </w:tc>
        <w:tc>
          <w:tcPr>
            <w:tcW w:w="4500" w:type="dxa"/>
          </w:tcPr>
          <w:p w14:paraId="5D0FDC73" w14:textId="77777777" w:rsidR="005D0C5D" w:rsidRDefault="00000000">
            <w:pPr>
              <w:jc w:val="center"/>
              <w:cnfStyle w:val="000000000000" w:firstRow="0" w:lastRow="0" w:firstColumn="0" w:lastColumn="0" w:oddVBand="0" w:evenVBand="0" w:oddHBand="0" w:evenHBand="0" w:firstRowFirstColumn="0" w:firstRowLastColumn="0" w:lastRowFirstColumn="0" w:lastRowLastColumn="0"/>
            </w:pPr>
            <w:proofErr w:type="spellStart"/>
            <w:r>
              <w:rPr>
                <w:sz w:val="20"/>
                <w:szCs w:val="20"/>
              </w:rPr>
              <w:t>Avg</w:t>
            </w:r>
            <w:proofErr w:type="spellEnd"/>
            <w:r>
              <w:rPr>
                <w:sz w:val="20"/>
                <w:szCs w:val="20"/>
              </w:rPr>
              <w:t xml:space="preserve"> ~21.7M shares/day; extreme spikes (up to 269M) align with COVID panic and acquisition news.</w:t>
            </w:r>
          </w:p>
        </w:tc>
      </w:tr>
      <w:tr w:rsidR="005D0C5D" w14:paraId="65863AF7" w14:textId="77777777" w:rsidTr="00532F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569441A1" w14:textId="77777777" w:rsidR="005D0C5D" w:rsidRDefault="00000000">
            <w:pPr>
              <w:jc w:val="center"/>
            </w:pPr>
            <w:r>
              <w:rPr>
                <w:sz w:val="20"/>
                <w:szCs w:val="20"/>
              </w:rPr>
              <w:t>Post-Delisting</w:t>
            </w:r>
          </w:p>
        </w:tc>
        <w:tc>
          <w:tcPr>
            <w:tcW w:w="4500" w:type="dxa"/>
          </w:tcPr>
          <w:p w14:paraId="10A6AEA2" w14:textId="77777777" w:rsidR="005D0C5D" w:rsidRDefault="00000000">
            <w:pPr>
              <w:jc w:val="center"/>
              <w:cnfStyle w:val="000000100000" w:firstRow="0" w:lastRow="0" w:firstColumn="0" w:lastColumn="0" w:oddVBand="0" w:evenVBand="0" w:oddHBand="1" w:evenHBand="0" w:firstRowFirstColumn="0" w:firstRowLastColumn="0" w:lastRowFirstColumn="0" w:lastRowLastColumn="0"/>
            </w:pPr>
            <w:r>
              <w:rPr>
                <w:sz w:val="20"/>
                <w:szCs w:val="20"/>
              </w:rPr>
              <w:t>OTC trading data (2023-24) shows Twitter stock continued trading at $30–$80 range after NYSE exit.</w:t>
            </w:r>
          </w:p>
        </w:tc>
      </w:tr>
    </w:tbl>
    <w:p w14:paraId="699105D2" w14:textId="77777777" w:rsidR="005D0C5D" w:rsidRDefault="005D0C5D">
      <w:pPr>
        <w:spacing w:after="60"/>
      </w:pPr>
    </w:p>
    <w:p w14:paraId="7B993F4C" w14:textId="77777777" w:rsidR="005D0C5D" w:rsidRPr="00532F93" w:rsidRDefault="00000000">
      <w:pPr>
        <w:pStyle w:val="Heading2"/>
        <w:rPr>
          <w:color w:val="0D0D0D" w:themeColor="text1" w:themeTint="F2"/>
        </w:rPr>
      </w:pPr>
      <w:r w:rsidRPr="00532F93">
        <w:rPr>
          <w:color w:val="0D0D0D" w:themeColor="text1" w:themeTint="F2"/>
        </w:rPr>
        <w:t>7.2 Overall Conclusion</w:t>
      </w:r>
    </w:p>
    <w:p w14:paraId="411E4A09" w14:textId="77777777" w:rsidR="005D0C5D" w:rsidRDefault="00000000">
      <w:pPr>
        <w:spacing w:after="120"/>
        <w:jc w:val="both"/>
      </w:pPr>
      <w:r>
        <w:t xml:space="preserve">Twitter's stock market journey from 2018 to 2024 tells the story of a high-profile technology company whose market valuation was more reactive to external events than driven by consistent fundamental performance. The COVID-19 pandemic, Elon Musk's acquisition offer, and the subsequent delisting from the NYSE were the three defining catalysts that shaped the stock's price and volume </w:t>
      </w:r>
      <w:proofErr w:type="spellStart"/>
      <w:r>
        <w:t>behavior</w:t>
      </w:r>
      <w:proofErr w:type="spellEnd"/>
      <w:r>
        <w:t>.</w:t>
      </w:r>
    </w:p>
    <w:p w14:paraId="420B05D3" w14:textId="77777777" w:rsidR="005D0C5D" w:rsidRDefault="00000000">
      <w:pPr>
        <w:spacing w:after="120"/>
        <w:jc w:val="both"/>
      </w:pPr>
      <w:r>
        <w:t xml:space="preserve">From a statistical standpoint, the analysis confirms that intra-day High and Low prices are meaningfully distinct, while the Close price tends to settle within the same long-run band as both. The independence of Close price from Volume suggests that Twitter's price was primarily news-driven and sentiment-driven rather than volume-driven — a characteristic </w:t>
      </w:r>
      <w:proofErr w:type="spellStart"/>
      <w:r>
        <w:t>behavior</w:t>
      </w:r>
      <w:proofErr w:type="spellEnd"/>
      <w:r>
        <w:t xml:space="preserve"> of event-heavy stocks.</w:t>
      </w:r>
    </w:p>
    <w:p w14:paraId="3BEB3F3A" w14:textId="77777777" w:rsidR="005D0C5D" w:rsidRDefault="00000000">
      <w:pPr>
        <w:spacing w:after="120"/>
        <w:jc w:val="both"/>
      </w:pPr>
      <w:r>
        <w:t>The visualizations collectively paint a complete picture: a volatile 2018, a depressed 2019–2020, a cautious recovery through 2021, a dramatic event-driven peak in 2022, and a post-delisting OTC trading life from 2023 onward. For investors and analysts, Twitter's stock history serves as a compelling case study in how corporate events, macroeconomic shocks, and investor sentiment interact to determine a company's market value.</w:t>
      </w:r>
    </w:p>
    <w:p w14:paraId="47ED9A11" w14:textId="391375B2" w:rsidR="005D0C5D" w:rsidRDefault="005D0C5D" w:rsidP="00532F93">
      <w:pPr>
        <w:spacing w:after="80"/>
      </w:pPr>
    </w:p>
    <w:sectPr w:rsidR="005D0C5D">
      <w:pgSz w:w="11906" w:h="16838"/>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80A32"/>
    <w:multiLevelType w:val="hybridMultilevel"/>
    <w:tmpl w:val="A01A9696"/>
    <w:lvl w:ilvl="0" w:tplc="969A1E54">
      <w:start w:val="1"/>
      <w:numFmt w:val="bullet"/>
      <w:lvlText w:val="•"/>
      <w:lvlJc w:val="left"/>
      <w:pPr>
        <w:ind w:left="720" w:hanging="260"/>
      </w:pPr>
    </w:lvl>
    <w:lvl w:ilvl="1" w:tplc="D8AE3390">
      <w:numFmt w:val="decimal"/>
      <w:lvlText w:val=""/>
      <w:lvlJc w:val="left"/>
    </w:lvl>
    <w:lvl w:ilvl="2" w:tplc="8A74F3B6">
      <w:numFmt w:val="decimal"/>
      <w:lvlText w:val=""/>
      <w:lvlJc w:val="left"/>
    </w:lvl>
    <w:lvl w:ilvl="3" w:tplc="291C9BD8">
      <w:numFmt w:val="decimal"/>
      <w:lvlText w:val=""/>
      <w:lvlJc w:val="left"/>
    </w:lvl>
    <w:lvl w:ilvl="4" w:tplc="16900BFC">
      <w:numFmt w:val="decimal"/>
      <w:lvlText w:val=""/>
      <w:lvlJc w:val="left"/>
    </w:lvl>
    <w:lvl w:ilvl="5" w:tplc="3D6A62C8">
      <w:numFmt w:val="decimal"/>
      <w:lvlText w:val=""/>
      <w:lvlJc w:val="left"/>
    </w:lvl>
    <w:lvl w:ilvl="6" w:tplc="04A81F30">
      <w:numFmt w:val="decimal"/>
      <w:lvlText w:val=""/>
      <w:lvlJc w:val="left"/>
    </w:lvl>
    <w:lvl w:ilvl="7" w:tplc="DD3AAC46">
      <w:numFmt w:val="decimal"/>
      <w:lvlText w:val=""/>
      <w:lvlJc w:val="left"/>
    </w:lvl>
    <w:lvl w:ilvl="8" w:tplc="9198119A">
      <w:numFmt w:val="decimal"/>
      <w:lvlText w:val=""/>
      <w:lvlJc w:val="left"/>
    </w:lvl>
  </w:abstractNum>
  <w:abstractNum w:abstractNumId="1" w15:restartNumberingAfterBreak="0">
    <w:nsid w:val="437B129C"/>
    <w:multiLevelType w:val="hybridMultilevel"/>
    <w:tmpl w:val="26CCDDD8"/>
    <w:lvl w:ilvl="0" w:tplc="696825E6">
      <w:start w:val="1"/>
      <w:numFmt w:val="bullet"/>
      <w:lvlText w:val="●"/>
      <w:lvlJc w:val="left"/>
      <w:pPr>
        <w:ind w:left="720" w:hanging="360"/>
      </w:pPr>
    </w:lvl>
    <w:lvl w:ilvl="1" w:tplc="5E5A2B52">
      <w:start w:val="1"/>
      <w:numFmt w:val="bullet"/>
      <w:lvlText w:val="○"/>
      <w:lvlJc w:val="left"/>
      <w:pPr>
        <w:ind w:left="1440" w:hanging="360"/>
      </w:pPr>
    </w:lvl>
    <w:lvl w:ilvl="2" w:tplc="5F7452A0">
      <w:start w:val="1"/>
      <w:numFmt w:val="bullet"/>
      <w:lvlText w:val="■"/>
      <w:lvlJc w:val="left"/>
      <w:pPr>
        <w:ind w:left="2160" w:hanging="360"/>
      </w:pPr>
    </w:lvl>
    <w:lvl w:ilvl="3" w:tplc="2988C6C0">
      <w:start w:val="1"/>
      <w:numFmt w:val="bullet"/>
      <w:lvlText w:val="●"/>
      <w:lvlJc w:val="left"/>
      <w:pPr>
        <w:ind w:left="2880" w:hanging="360"/>
      </w:pPr>
    </w:lvl>
    <w:lvl w:ilvl="4" w:tplc="69A8F006">
      <w:start w:val="1"/>
      <w:numFmt w:val="bullet"/>
      <w:lvlText w:val="○"/>
      <w:lvlJc w:val="left"/>
      <w:pPr>
        <w:ind w:left="3600" w:hanging="360"/>
      </w:pPr>
    </w:lvl>
    <w:lvl w:ilvl="5" w:tplc="A0289CC4">
      <w:start w:val="1"/>
      <w:numFmt w:val="bullet"/>
      <w:lvlText w:val="■"/>
      <w:lvlJc w:val="left"/>
      <w:pPr>
        <w:ind w:left="4320" w:hanging="360"/>
      </w:pPr>
    </w:lvl>
    <w:lvl w:ilvl="6" w:tplc="80FA7EAE">
      <w:start w:val="1"/>
      <w:numFmt w:val="bullet"/>
      <w:lvlText w:val="●"/>
      <w:lvlJc w:val="left"/>
      <w:pPr>
        <w:ind w:left="5040" w:hanging="360"/>
      </w:pPr>
    </w:lvl>
    <w:lvl w:ilvl="7" w:tplc="387EB492">
      <w:start w:val="1"/>
      <w:numFmt w:val="bullet"/>
      <w:lvlText w:val="●"/>
      <w:lvlJc w:val="left"/>
      <w:pPr>
        <w:ind w:left="5760" w:hanging="360"/>
      </w:pPr>
    </w:lvl>
    <w:lvl w:ilvl="8" w:tplc="B276EA5E">
      <w:start w:val="1"/>
      <w:numFmt w:val="bullet"/>
      <w:lvlText w:val="●"/>
      <w:lvlJc w:val="left"/>
      <w:pPr>
        <w:ind w:left="6480" w:hanging="360"/>
      </w:pPr>
    </w:lvl>
  </w:abstractNum>
  <w:num w:numId="1" w16cid:durableId="63375213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0C5D"/>
    <w:rsid w:val="00532F93"/>
    <w:rsid w:val="005D0C5D"/>
    <w:rsid w:val="00880051"/>
    <w:rsid w:val="00963D29"/>
    <w:rsid w:val="00DB34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5A8B3"/>
  <w15:docId w15:val="{BF76885E-1A0E-4B20-B57C-75719C972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34FC"/>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unhideWhenUsed/>
    <w:qFormat/>
    <w:pPr>
      <w:spacing w:before="160" w:after="6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GridTable4">
    <w:name w:val="Grid Table 4"/>
    <w:basedOn w:val="TableNormal"/>
    <w:uiPriority w:val="49"/>
    <w:rsid w:val="00963D2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1F5763-C686-44C6-A4FD-49B6556533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14</Pages>
  <Words>2455</Words>
  <Characters>13999</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Vaibhavi Hambire</cp:lastModifiedBy>
  <cp:revision>2</cp:revision>
  <dcterms:created xsi:type="dcterms:W3CDTF">2026-07-01T18:31:00Z</dcterms:created>
  <dcterms:modified xsi:type="dcterms:W3CDTF">2026-07-02T13:56:00Z</dcterms:modified>
</cp:coreProperties>
</file>