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PRESENTATION NOTE</w:t>
      </w:r>
    </w:p>
    <w:p>
      <w:pPr>
        <w:jc w:val="center"/>
      </w:pPr>
      <w:r>
        <w:rPr>
          <w:i/>
          <w:sz w:val="21"/>
        </w:rPr>
        <w:t>Every abbreviation, technical term, diagram and status used in this document is explained in plain English at first use.</w:t>
      </w:r>
    </w:p>
    <w:p>
      <w:pPr>
        <w:pStyle w:val="Title"/>
        <w:jc w:val="center"/>
      </w:pPr>
      <w:r>
        <w:rPr>
          <w:b/>
        </w:rPr>
        <w:t>DIGITRUCE</w:t>
      </w:r>
    </w:p>
    <w:p>
      <w:pPr>
        <w:jc w:val="center"/>
      </w:pPr>
      <w:r>
        <w:rPr>
          <w:i/>
          <w:sz w:val="26"/>
        </w:rPr>
        <w:t>Executive Presentation &amp; Live Demo Playbook</w:t>
      </w:r>
    </w:p>
    <w:p>
      <w:pPr>
        <w:jc w:val="center"/>
      </w:pPr>
      <w:r>
        <w:rPr>
          <w:b/>
          <w:sz w:val="34"/>
        </w:rPr>
        <w:t>Continuous DPDP Compliance Operating System</w:t>
      </w:r>
    </w:p>
    <w:p>
      <w:pPr>
        <w:jc w:val="center"/>
      </w:pPr>
      <w:r>
        <w:t>Board • Executive • DPO • Legal • Compliance • Business Stakeholders</w:t>
      </w:r>
    </w:p>
    <w:p>
      <w:pPr>
        <w:jc w:val="center"/>
      </w:pPr>
      <w:r>
        <w:t>Statutory basis: Digital Personal Data Protection Act, 2023 &amp; DPDP Rules, 2025</w:t>
      </w:r>
    </w:p>
    <w:p>
      <w:pPr>
        <w:jc w:val="center"/>
      </w:pPr>
      <w:r>
        <w:t>Purpose: explain the solution, demonstrate the workflow, and show how evidence moves from discovery to remediation.</w:t>
      </w:r>
    </w:p>
    <w:p>
      <w:r>
        <w:br w:type="page"/>
      </w:r>
    </w:p>
    <w:p>
      <w:pPr>
        <w:pStyle w:val="Heading1"/>
      </w:pPr>
      <w:r>
        <w:t>1. The Executive Story — What DigiTruce Does</w:t>
      </w:r>
    </w:p>
    <w:p>
      <w:pPr>
        <w:ind w:left="360"/>
      </w:pPr>
      <w:r>
        <w:rPr>
          <w:i/>
          <w:sz w:val="21"/>
        </w:rPr>
        <w:t>“DigiTruce is a continuous DPDP compliance operating layer. It does not simply ask whether a control exists; it discovers the environment, maps personal-data processing, compares written claims with technical facts, creates evidence-backed findings, supports remediation, requires a fresh retest, and packages the result for audit.”</w:t>
      </w:r>
    </w:p>
    <w:p>
      <w:pPr>
        <w:pStyle w:val="Heading2"/>
      </w:pPr>
      <w:r>
        <w:t>The simplest way to understand it</w:t>
      </w:r>
    </w:p>
    <w:tbl>
      <w:tblPr>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Traditional approach</w:t>
            </w:r>
          </w:p>
        </w:tc>
        <w:tc>
          <w:tcPr>
            <w:tcW w:type="dxa" w:w="3360"/>
            <w:vAlign w:val="center"/>
            <w:shd w:fill="D9EAF7"/>
          </w:tcPr>
          <w:p>
            <w:r/>
            <w:r>
              <w:rPr>
                <w:b/>
                <w:sz w:val="19"/>
              </w:rPr>
              <w:t>DigiTruce</w:t>
            </w:r>
          </w:p>
        </w:tc>
        <w:tc>
          <w:tcPr>
            <w:tcW w:type="dxa" w:w="3360"/>
            <w:vAlign w:val="center"/>
            <w:shd w:fill="D9EAF7"/>
          </w:tcPr>
          <w:p>
            <w:r/>
            <w:r>
              <w:rPr>
                <w:b/>
                <w:sz w:val="19"/>
              </w:rPr>
              <w:t>Business outcome</w:t>
            </w:r>
          </w:p>
        </w:tc>
      </w:tr>
      <w:tr>
        <w:tc>
          <w:tcPr>
            <w:tcW w:type="dxa" w:w="3360"/>
            <w:vAlign w:val="center"/>
          </w:tcPr>
          <w:p>
            <w:r/>
            <w:r>
              <w:rPr>
                <w:b w:val="0"/>
                <w:sz w:val="19"/>
              </w:rPr>
              <w:t>Excel / questionnaires</w:t>
            </w:r>
          </w:p>
        </w:tc>
        <w:tc>
          <w:tcPr>
            <w:tcW w:type="dxa" w:w="3360"/>
            <w:vAlign w:val="center"/>
          </w:tcPr>
          <w:p>
            <w:r/>
            <w:r>
              <w:rPr>
                <w:b w:val="0"/>
                <w:sz w:val="19"/>
              </w:rPr>
              <w:t>Technical discovery + evidence</w:t>
            </w:r>
          </w:p>
        </w:tc>
        <w:tc>
          <w:tcPr>
            <w:tcW w:type="dxa" w:w="3360"/>
            <w:vAlign w:val="center"/>
          </w:tcPr>
          <w:p>
            <w:r/>
            <w:r>
              <w:rPr>
                <w:b w:val="0"/>
                <w:sz w:val="19"/>
              </w:rPr>
              <w:t>Less reliance on self-attestation</w:t>
            </w:r>
          </w:p>
        </w:tc>
      </w:tr>
      <w:tr>
        <w:tc>
          <w:tcPr>
            <w:tcW w:type="dxa" w:w="3360"/>
            <w:vAlign w:val="center"/>
          </w:tcPr>
          <w:p>
            <w:r/>
            <w:r>
              <w:rPr>
                <w:b w:val="0"/>
                <w:sz w:val="19"/>
              </w:rPr>
              <w:t>Policy says it is secure</w:t>
            </w:r>
          </w:p>
        </w:tc>
        <w:tc>
          <w:tcPr>
            <w:tcW w:type="dxa" w:w="3360"/>
            <w:vAlign w:val="center"/>
          </w:tcPr>
          <w:p>
            <w:r/>
            <w:r>
              <w:rPr>
                <w:b w:val="0"/>
                <w:sz w:val="19"/>
              </w:rPr>
              <w:t>Policy vs. telemetry reconciliation</w:t>
            </w:r>
          </w:p>
        </w:tc>
        <w:tc>
          <w:tcPr>
            <w:tcW w:type="dxa" w:w="3360"/>
            <w:vAlign w:val="center"/>
          </w:tcPr>
          <w:p>
            <w:r/>
            <w:r>
              <w:rPr>
                <w:b w:val="0"/>
                <w:sz w:val="19"/>
              </w:rPr>
              <w:t>Find contradictions</w:t>
            </w:r>
          </w:p>
        </w:tc>
      </w:tr>
      <w:tr>
        <w:tc>
          <w:tcPr>
            <w:tcW w:type="dxa" w:w="3360"/>
            <w:vAlign w:val="center"/>
          </w:tcPr>
          <w:p>
            <w:r/>
            <w:r>
              <w:rPr>
                <w:b w:val="0"/>
                <w:sz w:val="19"/>
              </w:rPr>
              <w:t>Ticket marked fixed</w:t>
            </w:r>
          </w:p>
        </w:tc>
        <w:tc>
          <w:tcPr>
            <w:tcW w:type="dxa" w:w="3360"/>
            <w:vAlign w:val="center"/>
          </w:tcPr>
          <w:p>
            <w:r/>
            <w:r>
              <w:rPr>
                <w:b w:val="0"/>
                <w:sz w:val="19"/>
              </w:rPr>
              <w:t>Fresh technical retest gate</w:t>
            </w:r>
          </w:p>
        </w:tc>
        <w:tc>
          <w:tcPr>
            <w:tcW w:type="dxa" w:w="3360"/>
            <w:vAlign w:val="center"/>
          </w:tcPr>
          <w:p>
            <w:r/>
            <w:r>
              <w:rPr>
                <w:b w:val="0"/>
                <w:sz w:val="19"/>
              </w:rPr>
              <w:t>Verify the actual fix</w:t>
            </w:r>
          </w:p>
        </w:tc>
      </w:tr>
      <w:tr>
        <w:tc>
          <w:tcPr>
            <w:tcW w:type="dxa" w:w="3360"/>
            <w:vAlign w:val="center"/>
          </w:tcPr>
          <w:p>
            <w:r/>
            <w:r>
              <w:rPr>
                <w:b w:val="0"/>
                <w:sz w:val="19"/>
              </w:rPr>
              <w:t>Evidence assembled at audit time</w:t>
            </w:r>
          </w:p>
        </w:tc>
        <w:tc>
          <w:tcPr>
            <w:tcW w:type="dxa" w:w="3360"/>
            <w:vAlign w:val="center"/>
          </w:tcPr>
          <w:p>
            <w:r/>
            <w:r>
              <w:rPr>
                <w:b w:val="0"/>
                <w:sz w:val="19"/>
              </w:rPr>
              <w:t>Evidence captured during operation</w:t>
            </w:r>
          </w:p>
        </w:tc>
        <w:tc>
          <w:tcPr>
            <w:tcW w:type="dxa" w:w="3360"/>
            <w:vAlign w:val="center"/>
          </w:tcPr>
          <w:p>
            <w:r/>
            <w:r>
              <w:rPr>
                <w:b w:val="0"/>
                <w:sz w:val="19"/>
              </w:rPr>
              <w:t>Better audit readiness</w:t>
            </w:r>
          </w:p>
        </w:tc>
      </w:tr>
    </w:tbl>
    <w:p>
      <w:pPr>
        <w:pStyle w:val="Heading2"/>
      </w:pPr>
      <w:r>
        <w:t>Car diagnostic analogy</w:t>
      </w:r>
    </w:p>
    <w:p>
      <w:pPr>
        <w:pStyle w:val="ListBullet"/>
        <w:spacing w:after="60"/>
      </w:pPr>
      <w:r>
        <w:t>Traditional compliance: ask the driver, “Are the brakes working?” and record the answer.</w:t>
      </w:r>
    </w:p>
    <w:p>
      <w:pPr>
        <w:pStyle w:val="ListBullet"/>
        <w:spacing w:after="60"/>
      </w:pPr>
      <w:r>
        <w:t>DigiTruce: connect a diagnostic scanner, inspect measurable facts, preserve the readout, identify a fault, repair it, and test again.</w:t>
      </w:r>
    </w:p>
    <w:p>
      <w:pPr>
        <w:pStyle w:val="ListBullet"/>
        <w:spacing w:after="60"/>
      </w:pPr>
      <w:r>
        <w:t>The key idea: move from “someone said it is compliant” to “here is the evidence showing what was tested.”</w:t>
      </w:r>
    </w:p>
    <w:p>
      <w:r>
        <w:br w:type="page"/>
      </w:r>
    </w:p>
    <w:p>
      <w:pPr>
        <w:pStyle w:val="Heading1"/>
      </w:pPr>
      <w:r>
        <w:t>2. DigiTruce Core Engines</w:t>
      </w:r>
    </w:p>
    <w:p>
      <w:r>
        <w:rPr>
          <w:b/>
        </w:rPr>
        <w:t xml:space="preserve">1. Smart Applicability Engine — </w:t>
      </w:r>
      <w:r>
        <w:t>Maintains the statutory/control register and determines which requirements apply to the organisation.</w:t>
      </w:r>
    </w:p>
    <w:p>
      <w:r>
        <w:rPr>
          <w:b/>
        </w:rPr>
        <w:t xml:space="preserve">2. Native Discovery V2 — </w:t>
      </w:r>
      <w:r>
        <w:t>Credentialed Linux SSH, Windows WMI/WinRM, SNMP v2c/v3, cloud and database discovery.</w:t>
      </w:r>
    </w:p>
    <w:p>
      <w:r>
        <w:rPr>
          <w:b/>
        </w:rPr>
        <w:t xml:space="preserve">3. 8-Stage DPDP Data Lineage — </w:t>
      </w:r>
      <w:r>
        <w:t>Connects assets, databases, applications, data sources, PII categories, purposes, controls and evidence.</w:t>
      </w:r>
    </w:p>
    <w:p>
      <w:r>
        <w:rPr>
          <w:b/>
        </w:rPr>
        <w:t xml:space="preserve">4. OPA Reconciliation — </w:t>
      </w:r>
      <w:r>
        <w:t>Deterministically compares declared/documented claims with technical facts and surfaces contradictions.</w:t>
      </w:r>
    </w:p>
    <w:p>
      <w:r>
        <w:rPr>
          <w:b/>
        </w:rPr>
        <w:t xml:space="preserve">5. Safe SQL Remediation — </w:t>
      </w:r>
      <w:r>
        <w:t>Produces controlled dry-run SQL for retention/erasure remediation rather than blindly changing production data.</w:t>
      </w:r>
    </w:p>
    <w:p>
      <w:r>
        <w:t>6. Mandatory Retest Gate — A remediation cannot become resolved merely because a person changed a status; a fresh technical verification (running the technical check again after the fix) is required.</w:t>
      </w:r>
    </w:p>
    <w:p>
      <w:r>
        <w:rPr>
          <w:b/>
        </w:rPr>
        <w:t xml:space="preserve">7. SHA-256 Evidence Vault — </w:t>
      </w:r>
      <w:r>
        <w:t>Hash-chains telemetry and verification events so later alteration is detectable and produces an audit trail.</w:t>
      </w:r>
    </w:p>
    <w:p>
      <w:r>
        <w:br w:type="page"/>
      </w:r>
    </w:p>
    <w:p>
      <w:pPr>
        <w:pStyle w:val="Heading1"/>
      </w:pPr>
      <w:r>
        <w:t>3. Glossary — Terms Used in the Presentation</w:t>
      </w:r>
    </w:p>
    <w:p>
      <w:r>
        <w:t>Use these explanations when a technical term appears on screen. For a mixed audience, say the plain-English meaning first, then the short term if useful.</w:t>
      </w:r>
    </w:p>
    <w:p>
      <w:r>
        <w:rPr>
          <w:b/>
        </w:rPr>
        <w:t xml:space="preserve">DPDP — </w:t>
      </w:r>
      <w:r>
        <w:t>Digital Personal Data Protection — India’s law and rules governing processing and protection of digital personal data.</w:t>
      </w:r>
    </w:p>
    <w:p>
      <w:r>
        <w:rPr>
          <w:b/>
        </w:rPr>
        <w:t xml:space="preserve">DPO — </w:t>
      </w:r>
      <w:r>
        <w:t>Data Protection Officer — the person responsible for coordinating an organisation’s data-protection/compliance activities.</w:t>
      </w:r>
    </w:p>
    <w:p>
      <w:r>
        <w:rPr>
          <w:b/>
        </w:rPr>
        <w:t xml:space="preserve">PII — </w:t>
      </w:r>
      <w:r>
        <w:t>Personally Identifiable Information — information that can identify or relate to an individual. In the meeting, use “personal data” when speaking to non-technical audiences.</w:t>
      </w:r>
    </w:p>
    <w:p>
      <w:r>
        <w:rPr>
          <w:b/>
        </w:rPr>
        <w:t xml:space="preserve">SPA — </w:t>
      </w:r>
      <w:r>
        <w:t>Single-Page Application — a web application where the main page loads once and sections change without full page reloads.</w:t>
      </w:r>
    </w:p>
    <w:p>
      <w:r>
        <w:rPr>
          <w:b/>
        </w:rPr>
        <w:t xml:space="preserve">API — </w:t>
      </w:r>
      <w:r>
        <w:t>Application Programming Interface — the controlled interface through which software components communicate.</w:t>
      </w:r>
    </w:p>
    <w:p>
      <w:r>
        <w:rPr>
          <w:b/>
        </w:rPr>
        <w:t xml:space="preserve">FastAPI — </w:t>
      </w:r>
      <w:r>
        <w:t>The Python web framework used by DigiTruce to expose its backend APIs.</w:t>
      </w:r>
    </w:p>
    <w:p>
      <w:r>
        <w:rPr>
          <w:b/>
        </w:rPr>
        <w:t xml:space="preserve">RBAC — </w:t>
      </w:r>
      <w:r>
        <w:t>Role-Based Access Control — users receive permissions according to their assigned role.</w:t>
      </w:r>
    </w:p>
    <w:p>
      <w:r>
        <w:rPr>
          <w:b/>
        </w:rPr>
        <w:t xml:space="preserve">SSH — </w:t>
      </w:r>
      <w:r>
        <w:t>Secure Shell — an encrypted protocol commonly used to securely administer Linux/Unix systems.</w:t>
      </w:r>
    </w:p>
    <w:p>
      <w:r>
        <w:rPr>
          <w:b/>
        </w:rPr>
        <w:t xml:space="preserve">WMI / WinRM — </w:t>
      </w:r>
      <w:r>
        <w:t>Windows Management Instrumentation / Windows Remote Management — Windows mechanisms used for authorised remote inventory and management.</w:t>
      </w:r>
    </w:p>
    <w:p>
      <w:r>
        <w:rPr>
          <w:b/>
        </w:rPr>
        <w:t xml:space="preserve">SNMP — </w:t>
      </w:r>
      <w:r>
        <w:t>Simple Network Management Protocol — a standard protocol for collecting management/inventory information from network devices.</w:t>
      </w:r>
    </w:p>
    <w:p>
      <w:r>
        <w:rPr>
          <w:b/>
        </w:rPr>
        <w:t xml:space="preserve">OPA / Rego — </w:t>
      </w:r>
      <w:r>
        <w:t>Open Policy Agent / Rego — a policy engine and policy language used here for deterministic rule-based reconciliation. It is not an AI model.</w:t>
      </w:r>
    </w:p>
    <w:p>
      <w:r>
        <w:rPr>
          <w:b/>
        </w:rPr>
        <w:t xml:space="preserve">SQL — </w:t>
      </w:r>
      <w:r>
        <w:t>Structured Query Language — the language used to query and manage relational databases.</w:t>
      </w:r>
    </w:p>
    <w:p>
      <w:r>
        <w:rPr>
          <w:b/>
        </w:rPr>
        <w:t xml:space="preserve">SHA-256 — </w:t>
      </w:r>
      <w:r>
        <w:t>Secure Hash Algorithm 256-bit — a cryptographic hashing method. Hash chaining makes later alteration detectable; it does not prove that the original fact was truthful.</w:t>
      </w:r>
    </w:p>
    <w:p>
      <w:r>
        <w:rPr>
          <w:b/>
        </w:rPr>
        <w:t xml:space="preserve">TLS — </w:t>
      </w:r>
      <w:r>
        <w:t>Transport Layer Security — encryption used to protect data while it travels over a network, such as HTTPS.</w:t>
      </w:r>
    </w:p>
    <w:p>
      <w:r>
        <w:rPr>
          <w:b/>
        </w:rPr>
        <w:t xml:space="preserve">HTTPS — </w:t>
      </w:r>
      <w:r>
        <w:t>HTTP Secure — web communication protected using TLS encryption.</w:t>
      </w:r>
    </w:p>
    <w:p>
      <w:r>
        <w:rPr>
          <w:b/>
        </w:rPr>
        <w:t xml:space="preserve">CIDR — </w:t>
      </w:r>
      <w:r>
        <w:t>Classless Inter-Domain Routing — notation for describing an IP network range, such as 10.0.0.0/24.</w:t>
      </w:r>
    </w:p>
    <w:p>
      <w:r>
        <w:rPr>
          <w:b/>
        </w:rPr>
        <w:t xml:space="preserve">SSRF — </w:t>
      </w:r>
      <w:r>
        <w:t>Server-Side Request Forgery — a security risk where a server is tricked into making unintended network requests. DigiTruce uses target validation to reduce this risk.</w:t>
      </w:r>
    </w:p>
    <w:p>
      <w:r>
        <w:rPr>
          <w:b/>
        </w:rPr>
        <w:t xml:space="preserve">PII egress — </w:t>
      </w:r>
      <w:r>
        <w:t>Personal-data leaving the customer environment. “Zero raw-PII egress” means the design aims to send metadata/facts rather than raw personal records.</w:t>
      </w:r>
    </w:p>
    <w:p>
      <w:r>
        <w:rPr>
          <w:b/>
        </w:rPr>
        <w:t xml:space="preserve">Telemetry — </w:t>
      </w:r>
      <w:r>
        <w:t>Machine-generated technical observations, such as encryption state, service status, record counts or configuration facts.</w:t>
      </w:r>
    </w:p>
    <w:p>
      <w:r>
        <w:rPr>
          <w:b/>
        </w:rPr>
        <w:t xml:space="preserve">Dry run — </w:t>
      </w:r>
      <w:r>
        <w:t>A simulated change that shows what would happen without actually changing production data.</w:t>
      </w:r>
    </w:p>
    <w:p>
      <w:r>
        <w:t>FR-09 retest gate — The product requirement described in the playbook that requires fresh technical verification (running the technical check again after the fix) before a remediation can move to RESOLVED.</w:t>
      </w:r>
    </w:p>
    <w:p>
      <w:r>
        <w:rPr>
          <w:b/>
        </w:rPr>
        <w:t xml:space="preserve">Control — </w:t>
      </w:r>
      <w:r>
        <w:t>A specific compliance requirement or testable safeguard derived from the applicable legal/control register.</w:t>
      </w:r>
    </w:p>
    <w:p>
      <w:r>
        <w:rPr>
          <w:b/>
        </w:rPr>
        <w:t xml:space="preserve">Evidence — </w:t>
      </w:r>
      <w:r>
        <w:t>The recorded material supporting a control verdict — for example, a scan result, configuration fact, document claim or verification event.</w:t>
      </w:r>
    </w:p>
    <w:p>
      <w:r>
        <w:rPr>
          <w:b/>
        </w:rPr>
        <w:t xml:space="preserve">Contradiction — </w:t>
      </w:r>
      <w:r>
        <w:t>A state where a documented claim and technical evidence materially disagree.</w:t>
      </w:r>
    </w:p>
    <w:p>
      <w:r>
        <w:rPr>
          <w:b/>
        </w:rPr>
        <w:t xml:space="preserve">Lineage — </w:t>
      </w:r>
      <w:r>
        <w:t>The trace showing where data comes from, where it is processed, what type of personal data it contains, what purpose applies, and which control/evidence relates to it.</w:t>
      </w:r>
    </w:p>
    <w:p>
      <w:r>
        <w:rPr>
          <w:b/>
        </w:rPr>
        <w:t xml:space="preserve">Multi-tenant — </w:t>
      </w:r>
      <w:r>
        <w:t>A system design where one platform serves multiple organisations while keeping each organisation’s data and access logically isolated.</w:t>
      </w:r>
    </w:p>
    <w:p>
      <w:pPr>
        <w:pStyle w:val="Heading1"/>
      </w:pPr>
      <w:r>
        <w:t>3. System Architecture</w:t>
      </w:r>
    </w:p>
    <w:p>
      <w:pPr>
        <w:spacing w:after="120"/>
      </w:pPr>
      <w:r>
        <w:t>Diagram reading guide: Frontend = what users see; Backend = the central application logic; Connectors = approved ways to collect technical facts; Evidence Vault = the protected record of what was observed; OPA/Rego = deterministic rule evaluation; Scheduler = recurring monitoring.</w:t>
      </w:r>
    </w:p>
    <w:p>
      <w:pPr>
        <w:pStyle w:val="Heading2"/>
      </w:pPr>
      <w:r>
        <w:t>High-level flow</w:t>
      </w:r>
    </w:p>
    <w:p>
      <w:r>
        <w:rPr>
          <w:rFonts w:ascii="Consolas" w:hAnsi="Consolas"/>
        </w:rPr>
        <w:t>CLIENT / CONSULTANCY PORTALS</w:t>
        <w:br/>
        <w:t xml:space="preserve">              │</w:t>
        <w:br/>
        <w:t xml:space="preserve">              ▼</w:t>
        <w:br/>
        <w:t xml:space="preserve">        FASTAPI BACKEND</w:t>
        <w:br/>
        <w:t xml:space="preserve">              │</w:t>
        <w:br/>
        <w:t xml:space="preserve">   ┌──────────┼───────────┐</w:t>
        <w:br/>
        <w:t xml:space="preserve">   ▼          ▼           ▼</w:t>
        <w:br/>
        <w:t>Control &amp;   Discovery   Evidence /</w:t>
        <w:br/>
        <w:t>Assessment  &amp; Connectors Reports</w:t>
        <w:br/>
        <w:t xml:space="preserve">   │          │           │</w:t>
        <w:br/>
        <w:t xml:space="preserve">   └──────┬───┴──────┬────┘</w:t>
        <w:br/>
        <w:t xml:space="preserve">          ▼          ▼</w:t>
        <w:br/>
        <w:t xml:space="preserve">       OPA/Rego   SHA-256 Vault</w:t>
        <w:br/>
        <w:t xml:space="preserve">          │          │</w:t>
        <w:br/>
        <w:t xml:space="preserve">          └────┬─────┘</w:t>
        <w:br/>
        <w:t xml:space="preserve">               ▼</w:t>
        <w:br/>
        <w:t xml:space="preserve">      Findings → Remediation</w:t>
        <w:br/>
        <w:t xml:space="preserve">               │</w:t>
        <w:br/>
        <w:t xml:space="preserve">               ▼</w:t>
        <w:br/>
        <w:t xml:space="preserve">          Fresh Retest</w:t>
        <w:br/>
        <w:t xml:space="preserve">               │</w:t>
        <w:br/>
        <w:t xml:space="preserve">               ▼</w:t>
        <w:br/>
        <w:t xml:space="preserve">       Audit / Monitoring</w:t>
      </w:r>
    </w:p>
    <w:p>
      <w:pPr>
        <w:spacing w:after="120"/>
      </w:pPr>
      <w:r>
        <w:t>Diagram reading guide: the customer agent sits inside the customer network and communicates outward over HTTPS/TLS. SSH, WMI/WinRM and SNMP are the technical protocols used to collect authorised inventory or security facts from different system types.</w:t>
      </w:r>
    </w:p>
    <w:p>
      <w:pPr>
        <w:pStyle w:val="Heading2"/>
      </w:pPr>
      <w:r>
        <w:t>Customer deployment model</w:t>
      </w:r>
    </w:p>
    <w:p>
      <w:r>
        <w:rPr>
          <w:rFonts w:ascii="Consolas" w:hAnsi="Consolas"/>
        </w:rPr>
        <w:t>CENTRAL DIGITRUCE PLATFORM</w:t>
        <w:br/>
        <w:t xml:space="preserve">          │</w:t>
        <w:br/>
        <w:t xml:space="preserve">      HTTPS / TLS</w:t>
        <w:br/>
        <w:t xml:space="preserve">          │</w:t>
        <w:br/>
        <w:t xml:space="preserve">   CUSTOMER FIREWALL</w:t>
        <w:br/>
        <w:t xml:space="preserve">          │</w:t>
        <w:br/>
        <w:t xml:space="preserve">  DIGITRUCE CLIENT AGENT</w:t>
        <w:br/>
        <w:t xml:space="preserve">          │</w:t>
        <w:br/>
        <w:t xml:space="preserve">     ┌────┼────┐</w:t>
        <w:br/>
        <w:t xml:space="preserve">     ▼    ▼    ▼</w:t>
        <w:br/>
        <w:t xml:space="preserve">    SSH  WMI  SNMP</w:t>
        <w:br/>
        <w:t xml:space="preserve">     │    │    │</w:t>
        <w:br/>
        <w:t xml:space="preserve">   Linux Windows Network Devices</w:t>
      </w:r>
    </w:p>
    <w:p>
      <w:pPr>
        <w:pStyle w:val="ListBullet"/>
        <w:spacing w:after="60"/>
      </w:pPr>
      <w:r>
        <w:t>Prefer outbound agent communication so the customer network does not need inbound access to internal systems.</w:t>
      </w:r>
    </w:p>
    <w:p>
      <w:pPr>
        <w:pStyle w:val="ListBullet"/>
        <w:spacing w:after="60"/>
      </w:pPr>
      <w:r>
        <w:t>Connector execution can be central or agent-assisted depending on network reachability and security requirements.</w:t>
      </w:r>
    </w:p>
    <w:p>
      <w:pPr>
        <w:pStyle w:val="ListBullet"/>
        <w:spacing w:after="60"/>
      </w:pPr>
      <w:r>
        <w:t>Credentials should not appear in logs, evidence records, PDFs, or API responses.</w:t>
      </w:r>
    </w:p>
    <w:p>
      <w:r>
        <w:br w:type="page"/>
      </w:r>
    </w:p>
    <w:p>
      <w:pPr>
        <w:pStyle w:val="Heading1"/>
      </w:pPr>
      <w:r>
        <w:t>4. End-to-End Operational Workflow</w:t>
      </w:r>
    </w:p>
    <w:p>
      <w:r>
        <w:rPr>
          <w:b/>
        </w:rPr>
        <w:t xml:space="preserve">1 — Intake — </w:t>
      </w:r>
      <w:r>
        <w:t>Register organisation identity, sector, scale, cloud, databases, children’s data and cross-border context.</w:t>
      </w:r>
    </w:p>
    <w:p>
      <w:r>
        <w:rPr>
          <w:b/>
        </w:rPr>
        <w:t xml:space="preserve">2 — Applicability — </w:t>
      </w:r>
      <w:r>
        <w:t>Determine the relevant legal/control scope for that organisation.</w:t>
      </w:r>
    </w:p>
    <w:p>
      <w:r>
        <w:rPr>
          <w:b/>
        </w:rPr>
        <w:t xml:space="preserve">3 — Discovery — </w:t>
      </w:r>
      <w:r>
        <w:t>Inspect authorised infrastructure using native discovery and approved connectors.</w:t>
      </w:r>
    </w:p>
    <w:p>
      <w:r>
        <w:rPr>
          <w:b/>
        </w:rPr>
        <w:t xml:space="preserve">4 — Data Mapping — </w:t>
      </w:r>
      <w:r>
        <w:t>Map discovered assets to databases, applications, data sources, PII categories and purposes.</w:t>
      </w:r>
    </w:p>
    <w:p>
      <w:r>
        <w:rPr>
          <w:b/>
        </w:rPr>
        <w:t xml:space="preserve">5 — Assessment — </w:t>
      </w:r>
      <w:r>
        <w:t>Evaluate controls using evidence requirements and defined verdicts.</w:t>
      </w:r>
    </w:p>
    <w:p>
      <w:r>
        <w:t>6 — Reconcile — Compare policy/document claims (what the organisation says its policies or procedures do) against technical facts; surface contradictions.</w:t>
      </w:r>
    </w:p>
    <w:p>
      <w:r>
        <w:t>7 — Remediate &amp; Retest — Support remediation, then require fresh technical verification (running the technical check again after the fix) before resolution.</w:t>
      </w:r>
    </w:p>
    <w:p>
      <w:r>
        <w:rPr>
          <w:b/>
        </w:rPr>
        <w:t xml:space="preserve">8 — Report &amp; Monitor — </w:t>
      </w:r>
      <w:r>
        <w:t>Generate an evidence-backed audit pack and continue scheduled monitoring for drift.</w:t>
      </w:r>
    </w:p>
    <w:p>
      <w:pPr>
        <w:spacing w:after="120"/>
      </w:pPr>
      <w:r>
        <w:t>Workflow reading guide: each word is a stage. ONBOARD means register the organisation; SCOPE means decide what applies; DISCOVER means find systems/data sources; MAP DATA means connect data to purposes and controls; ASSESS/VERIFY means test controls; FIND means record gaps; REMEDIATE means fix them; RETEST means verify the fix; REPORT means package evidence; MONITOR means repeat the process.</w:t>
      </w:r>
    </w:p>
    <w:p>
      <w:r>
        <w:t>Core loop: ONBOARD → SCOPE → DISCOVER → MAP DATA → ASSESS → VERIFY → FIND → REMEDIATE → RETEST → REPORT → MONITOR</w:t>
      </w:r>
    </w:p>
    <w:p>
      <w:r>
        <w:br w:type="page"/>
      </w:r>
    </w:p>
    <w:p>
      <w:pPr>
        <w:pStyle w:val="Heading1"/>
      </w:pPr>
      <w:r>
        <w:t>5. Live Demo — 15-Minute Presentation Script</w:t>
      </w:r>
    </w:p>
    <w:p>
      <w:r>
        <w:t>0:00–2:00 | Landing Hub — Show Client Portal and Consultancy Portal. (The Client Portal is for the organisation being assessed; the Consultancy Portal is for advisors managing one or more client organisations.) Explain that the product serves both internal teams and advisors.</w:t>
      </w:r>
    </w:p>
    <w:p>
      <w:r>
        <w:rPr>
          <w:b/>
        </w:rPr>
        <w:t xml:space="preserve">2:00–5:00 | Client Portal &amp; Scope — </w:t>
      </w:r>
      <w:r>
        <w:t>Open the organisation profile and applicability view. Explain that the legal universe is filtered into an organisation-specific working scope.</w:t>
      </w:r>
    </w:p>
    <w:p>
      <w:r>
        <w:rPr>
          <w:b/>
        </w:rPr>
        <w:t xml:space="preserve">5:00–8:00 | Discovery &amp; Data Lineage — </w:t>
      </w:r>
      <w:r>
        <w:t>Show the lineage graph. Explain Asset → Database → Application → Data Source → PII Category → Purpose → Control → Evidence.</w:t>
      </w:r>
    </w:p>
    <w:p>
      <w:r>
        <w:rPr>
          <w:b/>
        </w:rPr>
        <w:t xml:space="preserve">8:00–11:00 | Policy vs Reality — </w:t>
      </w:r>
      <w:r>
        <w:t>Show a document claim and the corresponding technical fact. Demonstrate a CONTRADICTION when the two disagree.</w:t>
      </w:r>
    </w:p>
    <w:p>
      <w:r>
        <w:rPr>
          <w:b/>
        </w:rPr>
        <w:t xml:space="preserve">11:00–13:00 | Remediation &amp; Retest — </w:t>
      </w:r>
      <w:r>
        <w:t>Show a remediation item, generate a safe dry-run SQL example, request a retest, and explain why a manual “Fixed” click is insufficient.</w:t>
      </w:r>
    </w:p>
    <w:p>
      <w:r>
        <w:rPr>
          <w:b/>
        </w:rPr>
        <w:t xml:space="preserve">13:00–15:00 | Consultancy &amp; Audit Pack — </w:t>
      </w:r>
      <w:r>
        <w:t>Switch to consultancy view, show multi-tenant/client context, and generate the auditor report/evidence package.</w:t>
      </w:r>
    </w:p>
    <w:p>
      <w:pPr>
        <w:pStyle w:val="Heading2"/>
      </w:pPr>
      <w:r>
        <w:t>The strongest demo story</w:t>
      </w:r>
    </w:p>
    <w:p>
      <w:pPr>
        <w:ind w:left="360"/>
      </w:pPr>
      <w:r>
        <w:rPr>
          <w:i/>
          <w:sz w:val="21"/>
        </w:rPr>
        <w:t>“Our policy says customer data is retained for 90 days. The technical scan finds records older than that. DigiTruce does not simply accept the policy: it flags the mismatch, preserves the evidence, creates a remediation path, and then requires a fresh technical scan before the finding can be marked resolved.”</w:t>
      </w:r>
    </w:p>
    <w:p>
      <w:r>
        <w:br w:type="page"/>
      </w:r>
    </w:p>
    <w:p>
      <w:pPr>
        <w:pStyle w:val="Heading1"/>
      </w:pPr>
      <w:r>
        <w:t>6. Security, Privacy &amp; Evidence Model</w:t>
      </w:r>
    </w:p>
    <w:p>
      <w:pPr>
        <w:pStyle w:val="ListBullet"/>
        <w:spacing w:after="60"/>
      </w:pPr>
      <w:r>
        <w:t>Zero-raw-PII design: discovery should prefer metadata, counts, classifications and security facts rather than exporting customer records.</w:t>
      </w:r>
    </w:p>
    <w:p>
      <w:pPr>
        <w:pStyle w:val="ListBullet"/>
        <w:spacing w:after="60"/>
      </w:pPr>
      <w:r>
        <w:t>Multi-tenant isolation and organisation-scoped data access are foundational controls.</w:t>
      </w:r>
    </w:p>
    <w:p>
      <w:pPr>
        <w:pStyle w:val="ListBullet"/>
        <w:spacing w:after="60"/>
      </w:pPr>
      <w:r>
        <w:t>SSRF protections restrict unsafe network targets, including cloud metadata endpoints.</w:t>
      </w:r>
    </w:p>
    <w:p>
      <w:pPr>
        <w:pStyle w:val="ListBullet"/>
        <w:spacing w:after="60"/>
      </w:pPr>
      <w:r>
        <w:t>SHA-256 hash chaining makes later tampering detectable; it does not make an incorrect source fact truthful.</w:t>
      </w:r>
    </w:p>
    <w:p>
      <w:pPr>
        <w:pStyle w:val="ListBullet"/>
        <w:spacing w:after="60"/>
      </w:pPr>
      <w:r>
        <w:t>Safe remediation is intentionally constrained and should remain dry-run/approval based for production use.</w:t>
      </w:r>
    </w:p>
    <w:p>
      <w:pPr>
        <w:pStyle w:val="ListBullet"/>
        <w:spacing w:after="60"/>
      </w:pPr>
      <w:r>
        <w:t>Credential material must never be included in evidence, logs or generated reports.</w:t>
      </w:r>
    </w:p>
    <w:p>
      <w:pPr>
        <w:pStyle w:val="Heading2"/>
      </w:pPr>
      <w:r>
        <w:t>Important terminology for the meeting</w:t>
      </w:r>
    </w:p>
    <w:p>
      <w:pPr>
        <w:pStyle w:val="ListBullet"/>
        <w:spacing w:after="60"/>
      </w:pPr>
      <w:r>
        <w:t>Real-time = an immediate execution/current-state result.</w:t>
      </w:r>
    </w:p>
    <w:p>
      <w:pPr>
        <w:pStyle w:val="ListBullet"/>
        <w:spacing w:after="60"/>
      </w:pPr>
      <w:r>
        <w:t>Continuous = scheduled/recurring discovery, verification, change detection and evidence refresh.</w:t>
      </w:r>
    </w:p>
    <w:p>
      <w:pPr>
        <w:pStyle w:val="ListBullet"/>
        <w:spacing w:after="60"/>
      </w:pPr>
      <w:r>
        <w:t>Point-in-time = a frozen assessment snapshot or report.</w:t>
      </w:r>
    </w:p>
    <w:p>
      <w:pPr>
        <w:pStyle w:val="ListBullet"/>
        <w:spacing w:after="60"/>
      </w:pPr>
      <w:r>
        <w:t>Live verified = actual protocol-level telemetry succeeded; a port being reachable is not proof of authentication or authorisation.</w:t>
      </w:r>
    </w:p>
    <w:p>
      <w:r>
        <w:br w:type="page"/>
      </w:r>
    </w:p>
    <w:p>
      <w:pPr>
        <w:pStyle w:val="Heading1"/>
      </w:pPr>
      <w:r>
        <w:t>7. Executive Q&amp;A — Ready Answers</w:t>
      </w:r>
    </w:p>
    <w:p>
      <w:r>
        <w:rPr>
          <w:b/>
        </w:rPr>
        <w:t>Is DigiTruce itself a guarantee of legal compliance?</w:t>
      </w:r>
    </w:p>
    <w:p>
      <w:pPr>
        <w:ind w:left="360"/>
      </w:pPr>
      <w:r>
        <w:t>No. It is a compliance operating and assurance layer. It automates discovery, verification, evidence, reconciliation, remediation support and reporting; accountable people still make legal and business decisions.</w:t>
      </w:r>
    </w:p>
    <w:p>
      <w:r>
        <w:rPr>
          <w:b/>
        </w:rPr>
        <w:t>Does it read or export our customers’ personal data?</w:t>
      </w:r>
    </w:p>
    <w:p>
      <w:pPr>
        <w:ind w:left="360"/>
      </w:pPr>
      <w:r>
        <w:t>The intended design is metadata-first (collecting facts such as configuration flags, counts and classifications rather than copying raw personal records) and zero-raw-PII egress. The platform should collect the minimum technical facts required for verification rather than copying raw personal records.</w:t>
      </w:r>
    </w:p>
    <w:p>
      <w:r>
        <w:rPr>
          <w:b/>
        </w:rPr>
        <w:t>Why not use Excel?</w:t>
      </w:r>
    </w:p>
    <w:p>
      <w:pPr>
        <w:ind w:left="360"/>
      </w:pPr>
      <w:r>
        <w:t>Excel is useful for planning, but it is weak as a continuous source of technical truth. DigiTruce links controls to tests, evidence, findings, remediation and retesting.</w:t>
      </w:r>
    </w:p>
    <w:p>
      <w:r>
        <w:rPr>
          <w:b/>
        </w:rPr>
        <w:t>Why is the retest gate important?</w:t>
      </w:r>
    </w:p>
    <w:p>
      <w:pPr>
        <w:ind w:left="360"/>
      </w:pPr>
      <w:r>
        <w:t>A remediation ticket is not proof that the environment changed. A fresh technical test is the proof of the technical state at that moment.</w:t>
      </w:r>
    </w:p>
    <w:p>
      <w:r>
        <w:rPr>
          <w:b/>
        </w:rPr>
        <w:t>Is OPA an AI deciding compliance?</w:t>
      </w:r>
    </w:p>
    <w:p>
      <w:pPr>
        <w:ind w:left="360"/>
      </w:pPr>
      <w:r>
        <w:t>No. OPA/Rego is a deterministic policy/decision engine. The important value is repeatable reconciliation logic.</w:t>
      </w:r>
    </w:p>
    <w:p>
      <w:r>
        <w:rPr>
          <w:b/>
        </w:rPr>
        <w:t>What happens if a connector cannot reach a system?</w:t>
      </w:r>
    </w:p>
    <w:p>
      <w:pPr>
        <w:ind w:left="360"/>
      </w:pPr>
      <w:r>
        <w:t>The product should distinguish not configured, unreachable, authentication failed, authorisation failed, telemetry failed, stale verification and live verified. It should not call a system verified merely because a port responds.</w:t>
      </w:r>
    </w:p>
    <w:p>
      <w:r>
        <w:rPr>
          <w:b/>
        </w:rPr>
        <w:t>How does an auditor trace a result?</w:t>
      </w:r>
    </w:p>
    <w:p>
      <w:pPr>
        <w:ind w:left="360"/>
      </w:pPr>
      <w:r>
        <w:t>Control → applicability → assessment question → evidence requirement → test execution → evidence → verdict → finding → remediation → retest → report.</w:t>
      </w:r>
    </w:p>
    <w:p>
      <w:r>
        <w:br w:type="page"/>
      </w:r>
    </w:p>
    <w:p>
      <w:pPr>
        <w:pStyle w:val="Heading1"/>
      </w:pPr>
      <w:r>
        <w:t>8. Value Proposition</w:t>
      </w:r>
    </w:p>
    <w:tbl>
      <w:tblPr>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Problem</w:t>
            </w:r>
          </w:p>
        </w:tc>
        <w:tc>
          <w:tcPr>
            <w:tcW w:type="dxa" w:w="3360"/>
            <w:vAlign w:val="center"/>
            <w:shd w:fill="D9EAF7"/>
          </w:tcPr>
          <w:p>
            <w:r/>
            <w:r>
              <w:rPr>
                <w:b/>
                <w:sz w:val="19"/>
              </w:rPr>
              <w:t>DigiTruce response</w:t>
            </w:r>
          </w:p>
        </w:tc>
        <w:tc>
          <w:tcPr>
            <w:tcW w:type="dxa" w:w="3360"/>
            <w:vAlign w:val="center"/>
            <w:shd w:fill="D9EAF7"/>
          </w:tcPr>
          <w:p>
            <w:r/>
            <w:r>
              <w:rPr>
                <w:b/>
                <w:sz w:val="19"/>
              </w:rPr>
              <w:t>Value</w:t>
            </w:r>
          </w:p>
        </w:tc>
      </w:tr>
      <w:tr>
        <w:tc>
          <w:tcPr>
            <w:tcW w:type="dxa" w:w="3360"/>
            <w:vAlign w:val="center"/>
          </w:tcPr>
          <w:p>
            <w:r/>
            <w:r>
              <w:rPr>
                <w:b w:val="0"/>
                <w:sz w:val="19"/>
              </w:rPr>
              <w:t>Manual scope decisions</w:t>
            </w:r>
          </w:p>
        </w:tc>
        <w:tc>
          <w:tcPr>
            <w:tcW w:type="dxa" w:w="3360"/>
            <w:vAlign w:val="center"/>
          </w:tcPr>
          <w:p>
            <w:r/>
            <w:r>
              <w:rPr>
                <w:b w:val="0"/>
                <w:sz w:val="19"/>
              </w:rPr>
              <w:t>Applicability engine</w:t>
            </w:r>
          </w:p>
        </w:tc>
        <w:tc>
          <w:tcPr>
            <w:tcW w:type="dxa" w:w="3360"/>
            <w:vAlign w:val="center"/>
          </w:tcPr>
          <w:p>
            <w:r/>
            <w:r>
              <w:rPr>
                <w:b w:val="0"/>
                <w:sz w:val="19"/>
              </w:rPr>
              <w:t>More consistent control scope</w:t>
            </w:r>
          </w:p>
        </w:tc>
      </w:tr>
      <w:tr>
        <w:tc>
          <w:tcPr>
            <w:tcW w:type="dxa" w:w="3360"/>
            <w:vAlign w:val="center"/>
          </w:tcPr>
          <w:p>
            <w:r/>
            <w:r>
              <w:rPr>
                <w:b w:val="0"/>
                <w:sz w:val="19"/>
              </w:rPr>
              <w:t>Unknown assets / data locations</w:t>
            </w:r>
          </w:p>
        </w:tc>
        <w:tc>
          <w:tcPr>
            <w:tcW w:type="dxa" w:w="3360"/>
            <w:vAlign w:val="center"/>
          </w:tcPr>
          <w:p>
            <w:r/>
            <w:r>
              <w:rPr>
                <w:b w:val="0"/>
                <w:sz w:val="19"/>
              </w:rPr>
              <w:t>Native discovery + lineage</w:t>
            </w:r>
          </w:p>
        </w:tc>
        <w:tc>
          <w:tcPr>
            <w:tcW w:type="dxa" w:w="3360"/>
            <w:vAlign w:val="center"/>
          </w:tcPr>
          <w:p>
            <w:r/>
            <w:r>
              <w:rPr>
                <w:b w:val="0"/>
                <w:sz w:val="19"/>
              </w:rPr>
              <w:t>Better visibility</w:t>
            </w:r>
          </w:p>
        </w:tc>
      </w:tr>
      <w:tr>
        <w:tc>
          <w:tcPr>
            <w:tcW w:type="dxa" w:w="3360"/>
            <w:vAlign w:val="center"/>
          </w:tcPr>
          <w:p>
            <w:r/>
            <w:r>
              <w:rPr>
                <w:b w:val="0"/>
                <w:sz w:val="19"/>
              </w:rPr>
              <w:t>Policy–reality mismatch</w:t>
            </w:r>
          </w:p>
        </w:tc>
        <w:tc>
          <w:tcPr>
            <w:tcW w:type="dxa" w:w="3360"/>
            <w:vAlign w:val="center"/>
          </w:tcPr>
          <w:p>
            <w:r/>
            <w:r>
              <w:rPr>
                <w:b w:val="0"/>
                <w:sz w:val="19"/>
              </w:rPr>
              <w:t>OPA reconciliation</w:t>
            </w:r>
          </w:p>
        </w:tc>
        <w:tc>
          <w:tcPr>
            <w:tcW w:type="dxa" w:w="3360"/>
            <w:vAlign w:val="center"/>
          </w:tcPr>
          <w:p>
            <w:r/>
            <w:r>
              <w:rPr>
                <w:b w:val="0"/>
                <w:sz w:val="19"/>
              </w:rPr>
              <w:t>Earlier detection of contradictions</w:t>
            </w:r>
          </w:p>
        </w:tc>
      </w:tr>
      <w:tr>
        <w:tc>
          <w:tcPr>
            <w:tcW w:type="dxa" w:w="3360"/>
            <w:vAlign w:val="center"/>
          </w:tcPr>
          <w:p>
            <w:r/>
            <w:r>
              <w:rPr>
                <w:b w:val="0"/>
                <w:sz w:val="19"/>
              </w:rPr>
              <w:t>Stale remediation tickets</w:t>
            </w:r>
          </w:p>
        </w:tc>
        <w:tc>
          <w:tcPr>
            <w:tcW w:type="dxa" w:w="3360"/>
            <w:vAlign w:val="center"/>
          </w:tcPr>
          <w:p>
            <w:r/>
            <w:r>
              <w:rPr>
                <w:b w:val="0"/>
                <w:sz w:val="19"/>
              </w:rPr>
              <w:t>Mandatory fresh retest</w:t>
            </w:r>
          </w:p>
        </w:tc>
        <w:tc>
          <w:tcPr>
            <w:tcW w:type="dxa" w:w="3360"/>
            <w:vAlign w:val="center"/>
          </w:tcPr>
          <w:p>
            <w:r/>
            <w:r>
              <w:rPr>
                <w:b w:val="0"/>
                <w:sz w:val="19"/>
              </w:rPr>
              <w:t>Higher assurance</w:t>
            </w:r>
          </w:p>
        </w:tc>
      </w:tr>
      <w:tr>
        <w:tc>
          <w:tcPr>
            <w:tcW w:type="dxa" w:w="3360"/>
            <w:vAlign w:val="center"/>
          </w:tcPr>
          <w:p>
            <w:r/>
            <w:r>
              <w:rPr>
                <w:b w:val="0"/>
                <w:sz w:val="19"/>
              </w:rPr>
              <w:t>Audit evidence assembled late</w:t>
            </w:r>
          </w:p>
        </w:tc>
        <w:tc>
          <w:tcPr>
            <w:tcW w:type="dxa" w:w="3360"/>
            <w:vAlign w:val="center"/>
          </w:tcPr>
          <w:p>
            <w:r/>
            <w:r>
              <w:rPr>
                <w:b w:val="0"/>
                <w:sz w:val="19"/>
              </w:rPr>
              <w:t>Evidence vault + report pack</w:t>
            </w:r>
          </w:p>
        </w:tc>
        <w:tc>
          <w:tcPr>
            <w:tcW w:type="dxa" w:w="3360"/>
            <w:vAlign w:val="center"/>
          </w:tcPr>
          <w:p>
            <w:r/>
            <w:r>
              <w:rPr>
                <w:b w:val="0"/>
                <w:sz w:val="19"/>
              </w:rPr>
              <w:t>Audit readiness</w:t>
            </w:r>
          </w:p>
        </w:tc>
      </w:tr>
      <w:tr>
        <w:tc>
          <w:tcPr>
            <w:tcW w:type="dxa" w:w="3360"/>
            <w:vAlign w:val="center"/>
          </w:tcPr>
          <w:p>
            <w:r/>
            <w:r>
              <w:rPr>
                <w:b w:val="0"/>
                <w:sz w:val="19"/>
              </w:rPr>
              <w:t>Multiple clients / teams</w:t>
            </w:r>
          </w:p>
        </w:tc>
        <w:tc>
          <w:tcPr>
            <w:tcW w:type="dxa" w:w="3360"/>
            <w:vAlign w:val="center"/>
          </w:tcPr>
          <w:p>
            <w:r/>
            <w:r>
              <w:rPr>
                <w:b w:val="0"/>
                <w:sz w:val="19"/>
              </w:rPr>
              <w:t>Role-based portals + portfolio view</w:t>
            </w:r>
          </w:p>
        </w:tc>
        <w:tc>
          <w:tcPr>
            <w:tcW w:type="dxa" w:w="3360"/>
            <w:vAlign w:val="center"/>
          </w:tcPr>
          <w:p>
            <w:r/>
            <w:r>
              <w:rPr>
                <w:b w:val="0"/>
                <w:sz w:val="19"/>
              </w:rPr>
              <w:t>Operational scale</w:t>
            </w:r>
          </w:p>
        </w:tc>
      </w:tr>
    </w:tbl>
    <w:p>
      <w:pPr>
        <w:pStyle w:val="Heading2"/>
      </w:pPr>
      <w:r>
        <w:t>What DigiTruce should not claim</w:t>
      </w:r>
    </w:p>
    <w:p>
      <w:pPr>
        <w:pStyle w:val="ListBullet"/>
        <w:spacing w:after="60"/>
      </w:pPr>
      <w:r>
        <w:t>Do not say “automatically makes the organisation compliant.”</w:t>
      </w:r>
    </w:p>
    <w:p>
      <w:pPr>
        <w:pStyle w:val="ListBullet"/>
        <w:spacing w:after="60"/>
      </w:pPr>
      <w:r>
        <w:t>Do not say “100% secure” or “100% audit-defensible” without independent evidence supporting that claim.</w:t>
      </w:r>
    </w:p>
    <w:p>
      <w:pPr>
        <w:pStyle w:val="ListBullet"/>
        <w:spacing w:after="60"/>
      </w:pPr>
      <w:r>
        <w:t>Do not call a socket/port probe authentication or authorisation.</w:t>
      </w:r>
    </w:p>
    <w:p>
      <w:pPr>
        <w:pStyle w:val="ListBullet"/>
        <w:spacing w:after="60"/>
      </w:pPr>
      <w:r>
        <w:t>Do not call scheduled monitoring “real-time” unless the specific feature actually is real-time.</w:t>
      </w:r>
    </w:p>
    <w:p>
      <w:pPr>
        <w:pStyle w:val="ListBullet"/>
        <w:spacing w:after="60"/>
      </w:pPr>
      <w:r>
        <w:t>Do not mix historical test counts or control denominators. Present the current build’s verified figures and label exactly what they measure.</w:t>
      </w:r>
    </w:p>
    <w:p>
      <w:r>
        <w:br w:type="page"/>
      </w:r>
    </w:p>
    <w:p>
      <w:pPr>
        <w:pStyle w:val="Heading1"/>
      </w:pPr>
      <w:r>
        <w:t>9. Closing Statement</w:t>
      </w:r>
    </w:p>
    <w:p>
      <w:pPr>
        <w:ind w:left="360"/>
      </w:pPr>
      <w:r>
        <w:rPr>
          <w:i/>
          <w:sz w:val="21"/>
        </w:rPr>
        <w:t>“The problem DigiTruce addresses is not the absence of policies. It is the gap between what an organisation says, what its systems actually do, and what it can prove later. DigiTruce connects those three layers: legal requirements, technical reality and evidence. It helps teams continuously discover, verify, remediate and demonstrate their DPDP posture.”</w:t>
      </w:r>
    </w:p>
    <w:p>
      <w:pPr>
        <w:pStyle w:val="Heading2"/>
      </w:pPr>
      <w:r>
        <w:t>Final meeting checklist</w:t>
      </w:r>
    </w:p>
    <w:p>
      <w:pPr>
        <w:pStyle w:val="ListBullet"/>
        <w:spacing w:after="60"/>
      </w:pPr>
      <w:r>
        <w:t>Open the application before the meeting and verify every demo route.</w:t>
      </w:r>
    </w:p>
    <w:p>
      <w:pPr>
        <w:pStyle w:val="ListBullet"/>
        <w:spacing w:after="60"/>
      </w:pPr>
      <w:r>
        <w:t>Use one fictional organisation and one end-to-end story rather than jumping between unrelated features.</w:t>
      </w:r>
    </w:p>
    <w:p>
      <w:pPr>
        <w:pStyle w:val="ListBullet"/>
        <w:spacing w:after="60"/>
      </w:pPr>
      <w:r>
        <w:t>Prepare a known contradiction scenario and a known remediation/retest scenario.</w:t>
      </w:r>
    </w:p>
    <w:p>
      <w:pPr>
        <w:pStyle w:val="ListBullet"/>
        <w:spacing w:after="60"/>
      </w:pPr>
      <w:r>
        <w:t>Keep a static backup screenshot/PDF if a live connector is unavailable.</w:t>
      </w:r>
    </w:p>
    <w:p>
      <w:pPr>
        <w:pStyle w:val="ListBullet"/>
        <w:spacing w:after="60"/>
      </w:pPr>
      <w:r>
        <w:t>Use only current, verified build numbers in the meeting.</w:t>
      </w:r>
    </w:p>
    <w:p>
      <w:pPr>
        <w:pStyle w:val="ListBullet"/>
        <w:spacing w:after="60"/>
      </w:pPr>
      <w:r>
        <w:t>Show the evidence chain, not just dashboard scores.</w:t>
      </w:r>
    </w:p>
    <w:p>
      <w:pPr>
        <w:pStyle w:val="ListBullet"/>
        <w:spacing w:after="60"/>
      </w:pPr>
      <w:r>
        <w:t>End with the business outcome: less manual evidence collection, better visibility, faster remediation, and stronger audit readiness.</w:t>
      </w:r>
    </w:p>
    <w:p>
      <w:pPr>
        <w:pStyle w:val="Heading2"/>
      </w:pPr>
      <w:r>
        <w:t>Source basis</w:t>
      </w:r>
    </w:p>
    <w:p>
      <w:r>
        <w:t>This presentation document is based on the user-provided DigiTruce Executive Presentation &amp; Live Demo Playbook. The source identifies the product, statutory basis, seven core engines, architecture, eight operational phases, demo sequence, executive Q&amp;A and presentation readiness criteria. fileciteturn8file0L1-L9</w:t>
      </w:r>
    </w:p>
    <w:p>
      <w:r>
        <w:t>The source specifically describes the seven core engines and their intended functions. fileciteturn8file0L37-L89</w:t>
      </w:r>
    </w:p>
    <w:p>
      <w:r>
        <w:t>The source also provides the high-level architecture and outbound client-agent topology used in this presentation. fileciteturn8file0L93-L185</w:t>
      </w:r>
    </w:p>
    <w:p>
      <w:r>
        <w:t>The live demo sequence and executive Q&amp;A are adapted directly from the supplied playbook. fileciteturn8file0L223-L297</w:t>
      </w:r>
    </w:p>
    <w:p>
      <w:r>
        <w:br w:type="page"/>
      </w:r>
    </w:p>
    <w:p>
      <w:pPr>
        <w:pStyle w:val="Heading1"/>
      </w:pPr>
      <w:r>
        <w:t>10. Diagram &amp; Visual Speaking Notes</w:t>
      </w:r>
    </w:p>
    <w:p>
      <w:r>
        <w:rPr>
          <w:b/>
        </w:rPr>
        <w:t xml:space="preserve">Core Engines visual — </w:t>
      </w:r>
      <w:r>
        <w:t>Point to each engine from left to right. Explain: “These are not seven separate products. They are seven major capabilities working together.” Then give one sentence for each engine.</w:t>
      </w:r>
    </w:p>
    <w:p>
      <w:r>
        <w:rPr>
          <w:b/>
        </w:rPr>
        <w:t xml:space="preserve">System Architecture visual — </w:t>
      </w:r>
      <w:r>
        <w:t>Start at the top: users. Move down to the API/backend: the application logic. Then to database, evidence vault, policy engine and scheduler: where information is stored, evaluated and refreshed.</w:t>
      </w:r>
    </w:p>
    <w:p>
      <w:r>
        <w:rPr>
          <w:b/>
        </w:rPr>
        <w:t xml:space="preserve">Agent Deployment visual — </w:t>
      </w:r>
      <w:r>
        <w:t>Explain that the agent is the customer-side worker. It is useful when internal systems cannot safely be reached directly from the central platform. Outbound HTTPS/TLS carries the required results back.</w:t>
      </w:r>
    </w:p>
    <w:p>
      <w:r>
        <w:rPr>
          <w:b/>
        </w:rPr>
        <w:t xml:space="preserve">8-stage Lineage visual — </w:t>
      </w:r>
      <w:r>
        <w:t>Read it as a chain: “Where is the system? Which database? Which application? Which data source? What personal-data category? Why is it processed? Which legal/control requirement? What evidence proves the result?”</w:t>
      </w:r>
    </w:p>
    <w:p>
      <w:r>
        <w:rPr>
          <w:b/>
        </w:rPr>
        <w:t xml:space="preserve">End-to-end workflow visual — </w:t>
      </w:r>
      <w:r>
        <w:t>Tell the audience this is the operating cycle, not just a one-time audit. After reporting, monitoring starts the cycle again when changes occur.</w:t>
      </w:r>
    </w:p>
    <w:p>
      <w:r>
        <w:rPr>
          <w:b/>
        </w:rPr>
        <w:t xml:space="preserve">Contradiction visual — </w:t>
      </w:r>
      <w:r>
        <w:t>Explain that the engine compares two sources of truth: the organisation’s documented claim and the technical observation. A contradiction means they disagree and should be investigated.</w:t>
      </w:r>
    </w:p>
    <w:p>
      <w:pPr>
        <w:pStyle w:val="Heading1"/>
      </w:pPr>
      <w:r>
        <w:t>11. One-Line Explanations for Live Use</w:t>
      </w:r>
    </w:p>
    <w:p>
      <w:r>
        <w:rPr>
          <w:b/>
        </w:rPr>
        <w:t xml:space="preserve">API — </w:t>
      </w:r>
      <w:r>
        <w:t>“The API is simply the controlled doorway through which the screens talk to the backend.”</w:t>
      </w:r>
    </w:p>
    <w:p>
      <w:r>
        <w:rPr>
          <w:b/>
        </w:rPr>
        <w:t xml:space="preserve">RBAC — </w:t>
      </w:r>
      <w:r>
        <w:t>“RBAC means each person sees and can do only what their role permits.”</w:t>
      </w:r>
    </w:p>
    <w:p>
      <w:r>
        <w:rPr>
          <w:b/>
        </w:rPr>
        <w:t xml:space="preserve">OPA/Rego — </w:t>
      </w:r>
      <w:r>
        <w:t>“This is our deterministic rule engine; it applies the same decision logic every time.”</w:t>
      </w:r>
    </w:p>
    <w:p>
      <w:r>
        <w:rPr>
          <w:b/>
        </w:rPr>
        <w:t xml:space="preserve">Telemetry — </w:t>
      </w:r>
      <w:r>
        <w:t>“Telemetry is machine-generated evidence about what a system is actually doing or configured to do.”</w:t>
      </w:r>
    </w:p>
    <w:p>
      <w:r>
        <w:rPr>
          <w:b/>
        </w:rPr>
        <w:t xml:space="preserve">SHA-256 — </w:t>
      </w:r>
      <w:r>
        <w:t>“This is a cryptographic fingerprint; if the recorded evidence is altered later, the chain can reveal the change.”</w:t>
      </w:r>
    </w:p>
    <w:p>
      <w:r>
        <w:rPr>
          <w:b/>
        </w:rPr>
        <w:t xml:space="preserve">Agent — </w:t>
      </w:r>
      <w:r>
        <w:t>“The agent is a small customer-side service that performs authorised checks inside the customer network.”</w:t>
      </w:r>
    </w:p>
    <w:p>
      <w:r>
        <w:rPr>
          <w:b/>
        </w:rPr>
        <w:t xml:space="preserve">Lineage — </w:t>
      </w:r>
      <w:r>
        <w:t>“Lineage answers: where did this data come from, where did it go, why is it processed, and what evidence supports the compliance decision?”</w:t>
      </w:r>
    </w:p>
    <w:p>
      <w:r>
        <w:rPr>
          <w:b/>
        </w:rPr>
        <w:t xml:space="preserve">Retest — </w:t>
      </w:r>
      <w:r>
        <w:t>“Retest means we do not trust the ticket saying ‘fixed’; we check the system again.”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