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333399"/>
          <w:sz w:val="32"/>
          <w:szCs w:val="32"/>
        </w:rPr>
        <w:t xml:space="preserve">Introduction to AI – Concept-to-Architecture Map</w:t>
      </w:r>
    </w:p>
    <w:p>
      <w:pPr>
        <w:spacing w:after="1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Teaching flow for every topic: Concept → Architecture placement → How it works → Enterprise example → Infrastructure / security relevance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3400"/>
        <w:gridCol w:w="3300"/>
        <w:gridCol w:w="36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33339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33339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Architecture placement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33339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33339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Enterprise example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33339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Infrastructure / security relevance</w:t>
            </w:r>
          </w:p>
        </w:tc>
      </w:tr>
      <w:tr>
        <w:tc>
          <w:tcPr>
            <w:tcW w:type="dxa" w:w="14838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C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Introduction to Generative AI and Working with LLMs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LLM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Core model layer; sits behind the application and is reached through a model endpoint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Predicts the next token from patterns learned in training; prompt becomes tokens, tokens become generated text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Support assistant drafting replies to customer tickets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Needs GPU compute to serve; risks include sensitive data sent to the model, prompt injection and output leakage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Tokens and context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Between application and model; sets how much the model can see per request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 is split into tokens; the context window caps prompt, history, retrieved content and response together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Long contract summarisation split into chunks to fit the window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Tokens drive cost and latency; more context means more sensitive data exposed per call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Training vs inference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Training sits in the build phase (data platform, GPU cluster); inference sits in the run phase (endpoint serving users)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Training adjusts model weights using data; inference uses fixed weights to answer requests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Bank uses a vendor pre-trained model and runs only inference on its own infrastructure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Training needs large GPU clusters and data governance; inference needs low latency, scaling and access control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System and user prompts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Application layer; system prompt set by the developer, user prompt by the end user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System prompt sets role, rules and format; user prompt supplies the task; both travel to the model with context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 bot instructed to answer only from company policy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injection can override instructions; protect prompts and filter inputs and outputs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Structured output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Between the model and downstream systems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 is constrained to a schema (e.g., JSON) so other software can parse the result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 extracts invoice fields and passes them to the ERP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Validate output before acting on it; depends on API integration and input validation</w:t>
            </w:r>
          </w:p>
        </w:tc>
      </w:tr>
      <w:tr>
        <w:tc>
          <w:tcPr>
            <w:tcW w:type="dxa" w:w="14838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C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Embeddings, RAG and Agents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Embeddings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and retrieval layer, between source documents and the vector store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 embedding model turns text into vectors; similar meaning gives nearby vectors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 manuals converted to vectors for search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Embedding model is hosted or called via API; embeddings can leak sensitive content, so treat them as sensitive data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Vector search and vector database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Retrieval layer, alongside enterprise data stores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query is embedded and the nearest vectors are returned by similarity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Semantic search across policy documents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Needs storage and memory sizing; enforce access control per document and encrypt data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Orchestration layer between application, vector store and LLM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Retrieve relevant chunks, add them to the prompt, and the model answers grounded in them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Internal knowledge assistant over company document repositories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Needs data pipelines and connectors; risks are permission-blind retrieval and poisoned content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Agents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Above the LLM; an orchestration layer that calls tools and APIs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LLM plans steps, calls tools or APIs, observes results and repeats until the task is done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 service desk agent that resets passwords through the ticketing API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Depends on API gateway and identity; apply least privilege, human approval and audit logs</w:t>
            </w:r>
          </w:p>
        </w:tc>
      </w:tr>
      <w:tr>
        <w:tc>
          <w:tcPr>
            <w:tcW w:type="dxa" w:w="14838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C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 Architecture and Infrastructure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AI compute (CPU, GPU, accelerators)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Foundation layer beneath model serving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GPUs run parallel matrix maths; CPUs handle lighter inference and orchestration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GPU node pool serving a hosted model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Capacity, cost and availability planning; isolate workloads on shared GPUs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 hosting and endpoints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Serving layer between applications and compute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 is loaded on a serving runtime and exposed as an inference API, real-time or batch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Self-hosted open model vs vendor model API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Authentication, rate limits and network path; data residency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Cloud vs on-prem vs hybrid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Deployment decision that spans every layer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Compute, data and models are placed by data sensitivity, cost, latency and control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Regulated customer keeps data on-prem and bursts to cloud for compute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residency, compliance, connectivity and operational skills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Containers and Kubernetes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Platform layer that packages and scales services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Containers package the model server, app and retrieval services; Kubernetes schedules and scales them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RAG stack running on a Kubernetes cluster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Image scanning, secrets management, network policies and role-based access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Storage, networking, APIs and load balancers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Connective layer between users, apps, data and models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Storage holds data, models and vectors; network carries traffic; gateways and load balancers route and scale requests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Chatbot behind an API gateway and load balancer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Network segmentation, private links, TLS and throttling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Enterprise data flow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 to end across all layers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moves from source systems through pipelines to retrieval and the model; responses return to users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 data flows through a pipeline to a vector store and then the assistant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classification, encryption in transit and at rest, and logging</w:t>
            </w:r>
          </w:p>
        </w:tc>
      </w:tr>
      <w:tr>
        <w:tc>
          <w:tcPr>
            <w:tcW w:type="dxa" w:w="14838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C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Security for AI and Security of AI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Security for AI vs security of AI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Cross-cutting, applies at every layer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Security of AI protects infrastructure, data, models, RAG, APIs and agents; security for AI uses AI to strengthen defence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Risk-and-control map on the reference architecture; SOC assistant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Frame for conversations with customer security teams</w:t>
            </w:r>
          </w:p>
        </w:tc>
      </w:tr>
    </w:tbl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2026-09-28T04:52:49.428Z</dcterms:created>
  <dcterms:modified xsi:type="dcterms:W3CDTF">2026-09-28T04:52:49.438Z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