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Segoe UI" w:hAnsi="Segoe UI"/>
          <w:b/>
          <w:color w:val="0F172A"/>
          <w:sz w:val="44"/>
        </w:rPr>
        <w:t>SentinelAI — Software Bug and Issue Report</w:t>
      </w:r>
    </w:p>
    <w:p>
      <w:pPr>
        <w:spacing w:before="0" w:after="280"/>
      </w:pPr>
      <w:r>
        <w:rPr>
          <w:rFonts w:ascii="Segoe UI" w:hAnsi="Segoe UI"/>
          <w:color w:val="0284C7"/>
          <w:sz w:val="24"/>
        </w:rPr>
        <w:t>AI Cyber Defense Platform — Defect Register, Root Cause Analysis &amp; Verification Dossier</w:t>
      </w:r>
    </w:p>
    <w:tbl>
      <w:tblPr>
        <w:tblW w:type="auto" w:w="0"/>
        <w:jc w:val="center"/>
        <w:tblLayout w:type="fixed"/>
        <w:tblLook w:firstColumn="1" w:firstRow="1" w:lastColumn="0" w:lastRow="0" w:noHBand="0" w:noVBand="1" w:val="04A0"/>
      </w:tblPr>
      <w:tblGrid>
        <w:gridCol w:w="5040"/>
        <w:gridCol w:w="5040"/>
      </w:tblGrid>
      <w:tr>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Project Platform</w:t>
            </w:r>
          </w:p>
        </w:tc>
        <w:tc>
          <w:tcPr>
            <w:tcW w:type="dxa" w:w="69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0F172A"/>
                <w:sz w:val="18"/>
              </w:rPr>
              <w:t>SentinelAI (Autonomous SOC Threat Intelligence &amp; Active Defense)</w:t>
            </w:r>
          </w:p>
        </w:tc>
      </w:tr>
      <w:tr>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Documentation Type</w:t>
            </w:r>
          </w:p>
        </w:tc>
        <w:tc>
          <w:tcPr>
            <w:tcW w:type="dxa" w:w="69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0F172A"/>
                <w:sz w:val="18"/>
              </w:rPr>
              <w:t>Formal Software Defect Register &amp; Verification Quality Dossier</w:t>
            </w:r>
          </w:p>
        </w:tc>
      </w:tr>
      <w:tr>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Target Repository</w:t>
            </w:r>
          </w:p>
        </w:tc>
        <w:tc>
          <w:tcPr>
            <w:tcW w:type="dxa" w:w="69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0F172A"/>
                <w:sz w:val="18"/>
              </w:rPr>
              <w:t>https://github.com/Vaishnav53/SentinelAI (Branch: main)</w:t>
            </w:r>
          </w:p>
        </w:tc>
      </w:tr>
      <w:tr>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Audited Baseline</w:t>
            </w:r>
          </w:p>
        </w:tc>
        <w:tc>
          <w:tcPr>
            <w:tcW w:type="dxa" w:w="69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0F172A"/>
                <w:sz w:val="18"/>
              </w:rPr>
              <w:t>Commit 54d85b8a2880369992f05578bf0124f68ac56d1d</w:t>
            </w:r>
          </w:p>
        </w:tc>
      </w:tr>
      <w:tr>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Evaluation Purpose</w:t>
            </w:r>
          </w:p>
        </w:tc>
        <w:tc>
          <w:tcPr>
            <w:tcW w:type="dxa" w:w="69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0F172A"/>
                <w:sz w:val="18"/>
              </w:rPr>
              <w:t>Final-Year B.Tech Project Documentation, Academic &amp; Engineering Review</w:t>
            </w:r>
          </w:p>
        </w:tc>
      </w:tr>
      <w:tr>
        <w:tc>
          <w:tcPr>
            <w:tcW w:type="dxa" w:w="2880"/>
            <w:shd w:fill="F8FAFC"/>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334155"/>
                <w:sz w:val="18"/>
              </w:rPr>
              <w:t>Report Generation Date</w:t>
            </w:r>
          </w:p>
        </w:tc>
        <w:tc>
          <w:tcPr>
            <w:tcW w:type="dxa" w:w="6912"/>
            <w:shd w:fill="FFFFFF"/>
            <w:tcMar>
              <w:top w:w="80" w:type="dxa"/>
              <w:bottom w:w="80" w:type="dxa"/>
              <w:left w:w="120" w:type="dxa"/>
              <w:right w:w="120" w:type="dxa"/>
            </w:tcMar>
            <w:tcBorders>
              <w:top w:val="single" w:sz="4" w:space="0" w:color="E2E8F0"/>
              <w:left w:val="single" w:sz="4" w:space="0" w:color="E2E8F0"/>
              <w:bottom w:val="single" w:sz="4" w:space="0" w:color="E2E8F0"/>
              <w:right w:val="single" w:sz="4" w:space="0" w:color="E2E8F0"/>
            </w:tcBorders>
          </w:tcPr>
          <w:p>
            <w:pPr>
              <w:spacing w:before="0" w:after="0"/>
            </w:pPr>
            <w:r>
              <w:rPr>
                <w:color w:val="0F172A"/>
                <w:sz w:val="18"/>
              </w:rPr>
              <w:t>September 2026 (Live Audit Synchronized)</w:t>
            </w:r>
          </w:p>
        </w:tc>
      </w:tr>
    </w:tbl>
    <w:p>
      <w:pPr>
        <w:spacing w:after="200"/>
      </w:pPr>
    </w:p>
    <w:p>
      <w:pPr>
        <w:spacing w:before="280" w:after="80"/>
      </w:pPr>
      <w:r>
        <w:rPr>
          <w:rFonts w:ascii="Segoe UI" w:hAnsi="Segoe UI"/>
          <w:b/>
          <w:color w:val="0F172A"/>
          <w:sz w:val="28"/>
        </w:rPr>
        <w:t>1. Executive Summary</w:t>
      </w:r>
    </w:p>
    <w:p>
      <w:pPr>
        <w:spacing w:after="120" w:line="276" w:lineRule="auto"/>
      </w:pPr>
      <w:r>
        <w:t>SentinelAI is an autonomous, full-stack Security Operations Center (SOC) simulation, threat intelligence correlation, and incident response platform. The system bridges the gap between high-velocity perimeter telemetry ingestion and tactical human analyst decision-making by integrating multi-protocol honeypot listeners (Aetheris), an active Web Application Firewall (WAF), a rule-based MITRE ATT&amp;CK correlation engine, and an interactive AI Security Copilot powered by Groq Cloud (openai/gpt-oss-120b) with deterministic local fallback.</w:t>
      </w:r>
    </w:p>
    <w:p>
      <w:pPr>
        <w:spacing w:after="120" w:line="276" w:lineRule="auto"/>
      </w:pPr>
      <w:r>
        <w:t xml:space="preserve">This software defect and quality report provides a comprehensive, evidence-based audit of all software bugs, defects, integration mismatches, and configuration hazards identified during the platform's multi-phase development, containerization, and production verification. Every documented item corresponds directly to verifiable repository commits, automated test cases, or live environment validations. A rigorous distinction is maintained throughout this document between </w:t>
      </w:r>
      <w:r>
        <w:rPr>
          <w:b/>
        </w:rPr>
        <w:t>resolved defects</w:t>
      </w:r>
      <w:r>
        <w:t xml:space="preserve"> (corrected code flaws with git evidence), </w:t>
      </w:r>
      <w:r>
        <w:rPr>
          <w:b/>
        </w:rPr>
        <w:t>known architectural limitations</w:t>
      </w:r>
      <w:r>
        <w:t xml:space="preserve"> (intentional engineering trade-offs), and </w:t>
      </w:r>
      <w:r>
        <w:rPr>
          <w:b/>
        </w:rPr>
        <w:t>technical debt</w:t>
      </w:r>
      <w:r>
        <w:t xml:space="preserve"> (upstream framework deprecation warnings).</w:t>
      </w:r>
    </w:p>
    <w:tbl>
      <w:tblPr>
        <w:tblW w:type="auto" w:w="0"/>
        <w:jc w:val="center"/>
        <w:tblLayout w:type="fixed"/>
        <w:tblLook w:firstColumn="1" w:firstRow="1" w:lastColumn="0" w:lastRow="0" w:noHBand="0" w:noVBand="1" w:val="04A0"/>
      </w:tblPr>
      <w:tblGrid>
        <w:gridCol w:w="10080"/>
      </w:tblGrid>
      <w:tr>
        <w:tc>
          <w:tcPr>
            <w:tcW w:type="dxa" w:w="9792"/>
            <w:shd w:fill="F0FDF4"/>
            <w:tcMar>
              <w:top w:w="140" w:type="dxa"/>
              <w:bottom w:w="140" w:type="dxa"/>
              <w:left w:w="200" w:type="dxa"/>
              <w:right w:w="200" w:type="dxa"/>
            </w:tcMar>
            <w:tcBorders>
              <w:left w:val="single" w:sz="24" w:space="0" w:color="16A34A"/>
              <w:top w:val="none"/>
              <w:right w:val="none"/>
              <w:bottom w:val="none"/>
            </w:tcBorders>
          </w:tcPr>
          <w:p>
            <w:pPr>
              <w:spacing w:before="0" w:after="40"/>
            </w:pPr>
            <w:r>
              <w:rPr>
                <w:rFonts w:ascii="Segoe UI" w:hAnsi="Segoe UI"/>
                <w:b/>
                <w:color w:val="16A34A"/>
                <w:sz w:val="19"/>
              </w:rPr>
              <w:t xml:space="preserve">[AUDIT SUMMARY] </w:t>
            </w:r>
            <w:r>
              <w:rPr>
                <w:rFonts w:ascii="Segoe UI" w:hAnsi="Segoe UI"/>
                <w:color w:val="334155"/>
                <w:sz w:val="19"/>
              </w:rPr>
              <w:t>All 10 identified software defects (SAI-001 through SAI-010) are 100% resolved in Git branch main. The automated test suite confirms 51/51 passing tests, the frontend build completes with 0 errors, and live GitHub rich-display rendering of the architecture diagram has been independently verified.</w:t>
            </w:r>
          </w:p>
        </w:tc>
      </w:tr>
    </w:tbl>
    <w:p>
      <w:pPr>
        <w:spacing w:after="80"/>
      </w:pPr>
    </w:p>
    <w:p>
      <w:pPr>
        <w:spacing w:before="280" w:after="80"/>
      </w:pPr>
      <w:r>
        <w:rPr>
          <w:rFonts w:ascii="Segoe UI" w:hAnsi="Segoe UI"/>
          <w:b/>
          <w:color w:val="0F172A"/>
          <w:sz w:val="28"/>
        </w:rPr>
        <w:t>2. System Context &amp; Component Architecture</w:t>
      </w:r>
    </w:p>
    <w:p>
      <w:pPr>
        <w:spacing w:after="120" w:line="276" w:lineRule="auto"/>
      </w:pPr>
      <w:r>
        <w:t>Understanding defect root causes in SentinelAI requires recognizing its multi-tier topology and cross-component transport boundaries:</w:t>
      </w:r>
    </w:p>
    <w:p>
      <w:pPr>
        <w:spacing w:after="60"/>
        <w:ind w:left="288"/>
      </w:pPr>
      <w:r>
        <w:rPr>
          <w:b/>
          <w:sz w:val="19"/>
        </w:rPr>
        <w:t xml:space="preserve">• Client Presentation Tier (React 19 / Vite SPA): </w:t>
      </w:r>
      <w:r>
        <w:rPr>
          <w:color w:val="475569"/>
          <w:sz w:val="19"/>
        </w:rPr>
        <w:t>Hosted on Vercel CDN; renders real-time SOC command dashboards, interactive Three.js 3D threat globe, glassmorphism UI tokens, and maintains persistent WebSocket listeners.</w:t>
      </w:r>
    </w:p>
    <w:p>
      <w:pPr>
        <w:spacing w:after="60"/>
        <w:ind w:left="288"/>
      </w:pPr>
      <w:r>
        <w:rPr>
          <w:b/>
          <w:sz w:val="19"/>
        </w:rPr>
        <w:t xml:space="preserve">• Network &amp; Ingress Layer: </w:t>
      </w:r>
      <w:r>
        <w:rPr>
          <w:color w:val="475569"/>
          <w:sz w:val="19"/>
        </w:rPr>
        <w:t>Enforces CORS origins (FRONTEND_ORIGIN), Trusted Host header validation (Host injection defense), and reverse proxy path routing (/api/*).</w:t>
      </w:r>
    </w:p>
    <w:p>
      <w:pPr>
        <w:spacing w:after="60"/>
        <w:ind w:left="288"/>
      </w:pPr>
      <w:r>
        <w:rPr>
          <w:b/>
          <w:sz w:val="19"/>
        </w:rPr>
        <w:t xml:space="preserve">• Core Application Tier (FastAPI / Uvicorn): </w:t>
      </w:r>
      <w:r>
        <w:rPr>
          <w:color w:val="475569"/>
          <w:sz w:val="19"/>
        </w:rPr>
        <w:t>Python 3.11+ asynchronous engine executing modular routers (/attacks, /honeypot, /waf, /correlation, /agent, /reports, /settings), Argon2id session authentication, and background simulators.</w:t>
      </w:r>
    </w:p>
    <w:p>
      <w:pPr>
        <w:spacing w:after="60"/>
        <w:ind w:left="288"/>
      </w:pPr>
      <w:r>
        <w:rPr>
          <w:b/>
          <w:sz w:val="19"/>
        </w:rPr>
        <w:t xml:space="preserve">• Deception &amp; Active Defense Tier: </w:t>
      </w:r>
      <w:r>
        <w:rPr>
          <w:color w:val="475569"/>
          <w:sz w:val="19"/>
        </w:rPr>
        <w:t>Aetheris multi-protocol listeners (Ports 8088, 2222, 2121, 2323) capturing intrusion payloads, coupled with dynamic IP quarantine and WAF signature evaluation.</w:t>
      </w:r>
    </w:p>
    <w:p>
      <w:pPr>
        <w:spacing w:after="60"/>
        <w:ind w:left="288"/>
      </w:pPr>
      <w:r>
        <w:rPr>
          <w:b/>
          <w:sz w:val="19"/>
        </w:rPr>
        <w:t xml:space="preserve">• Threat Correlation &amp; Reasoning Tier: </w:t>
      </w:r>
      <w:r>
        <w:rPr>
          <w:color w:val="475569"/>
          <w:sz w:val="19"/>
        </w:rPr>
        <w:t>Aggregates micro-events into high-confidence incident dossiers mapped to MITRE ATT&amp;CK techniques; coordinates Groq Cloud AI reasoning over Server-Sent Events (SSE).</w:t>
      </w:r>
    </w:p>
    <w:p>
      <w:pPr>
        <w:spacing w:after="60"/>
        <w:ind w:left="288"/>
      </w:pPr>
      <w:r>
        <w:rPr>
          <w:b/>
          <w:sz w:val="19"/>
        </w:rPr>
        <w:t xml:space="preserve">• Persistence &amp; Sandbox Tier: </w:t>
      </w:r>
      <w:r>
        <w:rPr>
          <w:color w:val="475569"/>
          <w:sz w:val="19"/>
        </w:rPr>
        <w:t>Dual-dialect SQLAlchemy layer supporting SQLite (development) and Railway Managed PostgreSQL (production); isolated staging filesystem for decoy malware triage.</w:t>
      </w:r>
    </w:p>
    <w:p>
      <w:pPr>
        <w:spacing w:before="280" w:after="80"/>
      </w:pPr>
      <w:r>
        <w:rPr>
          <w:rFonts w:ascii="Segoe UI" w:hAnsi="Segoe UI"/>
          <w:b/>
          <w:color w:val="0F172A"/>
          <w:sz w:val="28"/>
        </w:rPr>
        <w:t>3. Bug and Issue Classification Taxonomy</w:t>
      </w:r>
    </w:p>
    <w:p>
      <w:pPr>
        <w:spacing w:after="120" w:line="276" w:lineRule="auto"/>
      </w:pPr>
      <w:r>
        <w:t>To eliminate arbitrary severity inflation, issues in SentinelAI are evaluated against a standardized engineering rubric:</w:t>
      </w:r>
    </w:p>
    <w:tbl>
      <w:tblPr>
        <w:tblW w:type="auto" w:w="0"/>
        <w:jc w:val="center"/>
        <w:tblLayout w:type="fixed"/>
        <w:tblLook w:firstColumn="1" w:firstRow="1" w:lastColumn="0" w:lastRow="0" w:noHBand="0" w:noVBand="1" w:val="04A0"/>
      </w:tblPr>
      <w:tblGrid>
        <w:gridCol w:w="3360"/>
        <w:gridCol w:w="3360"/>
        <w:gridCol w:w="3360"/>
      </w:tblGrid>
      <w:tr>
        <w:tc>
          <w:tcPr>
            <w:tcW w:type="dxa" w:w="2016"/>
            <w:shd w:fill="0F172A"/>
            <w:tcMar>
              <w:top w:w="100" w:type="dxa"/>
              <w:bottom w:w="100" w:type="dxa"/>
              <w:left w:w="120" w:type="dxa"/>
              <w:right w:w="120" w:type="dxa"/>
            </w:tcMar>
          </w:tcPr>
          <w:p>
            <w:r>
              <w:rPr>
                <w:b/>
                <w:color w:val="FFFFFF"/>
                <w:sz w:val="17"/>
              </w:rPr>
              <w:t>Severity Level</w:t>
            </w:r>
          </w:p>
        </w:tc>
        <w:tc>
          <w:tcPr>
            <w:tcW w:type="dxa" w:w="3888"/>
            <w:shd w:fill="0F172A"/>
            <w:tcMar>
              <w:top w:w="100" w:type="dxa"/>
              <w:bottom w:w="100" w:type="dxa"/>
              <w:left w:w="120" w:type="dxa"/>
              <w:right w:w="120" w:type="dxa"/>
            </w:tcMar>
          </w:tcPr>
          <w:p>
            <w:r>
              <w:rPr>
                <w:b/>
                <w:color w:val="FFFFFF"/>
                <w:sz w:val="17"/>
              </w:rPr>
              <w:t>Operational Definition &amp; Impact</w:t>
            </w:r>
          </w:p>
        </w:tc>
        <w:tc>
          <w:tcPr>
            <w:tcW w:type="dxa" w:w="3888"/>
            <w:shd w:fill="0F172A"/>
            <w:tcMar>
              <w:top w:w="100" w:type="dxa"/>
              <w:bottom w:w="100" w:type="dxa"/>
              <w:left w:w="120" w:type="dxa"/>
              <w:right w:w="120" w:type="dxa"/>
            </w:tcMar>
          </w:tcPr>
          <w:p>
            <w:r>
              <w:rPr>
                <w:b/>
                <w:color w:val="FFFFFF"/>
                <w:sz w:val="17"/>
              </w:rPr>
              <w:t>SentinelAI Threshold Criteria</w:t>
            </w:r>
          </w:p>
        </w:tc>
      </w:tr>
      <w:tr>
        <w:tc>
          <w:tcPr>
            <w:tcW w:type="dxa" w:w="2016"/>
            <w:shd w:fill="FFFFFF"/>
            <w:tcMar>
              <w:top w:w="80" w:type="dxa"/>
              <w:bottom w:w="80" w:type="dxa"/>
              <w:left w:w="120" w:type="dxa"/>
              <w:right w:w="120" w:type="dxa"/>
            </w:tcMar>
            <w:tcBorders>
              <w:top w:val="single" w:sz="4" w:space="0" w:color="E2E8F0"/>
              <w:bottom w:val="single" w:sz="4" w:space="0" w:color="E2E8F0"/>
            </w:tcBorders>
          </w:tcPr>
          <w:p>
            <w:pPr>
              <w:spacing w:before="0" w:after="0"/>
            </w:pPr>
            <w:r>
              <w:rPr>
                <w:b/>
                <w:color w:val="991B1B"/>
                <w:sz w:val="17"/>
              </w:rPr>
              <w:t>CRITICAL</w:t>
            </w:r>
          </w:p>
        </w:tc>
        <w:tc>
          <w:tcPr>
            <w:tcW w:type="dxa" w:w="3888"/>
            <w:shd w:fill="FFFFFF"/>
            <w:tcMar>
              <w:top w:w="80" w:type="dxa"/>
              <w:bottom w:w="80" w:type="dxa"/>
              <w:left w:w="120" w:type="dxa"/>
              <w:right w:w="120" w:type="dxa"/>
            </w:tcMar>
            <w:tcBorders>
              <w:top w:val="single" w:sz="4" w:space="0" w:color="E2E8F0"/>
              <w:bottom w:val="single" w:sz="4" w:space="0" w:color="E2E8F0"/>
            </w:tcBorders>
          </w:tcPr>
          <w:p>
            <w:pPr>
              <w:spacing w:before="0" w:after="0"/>
            </w:pPr>
            <w:r>
              <w:rPr>
                <w:sz w:val="17"/>
              </w:rPr>
              <w:t>Total platform outage, catastrophic data loss, or unauthenticated remote code execution.</w:t>
            </w:r>
          </w:p>
        </w:tc>
        <w:tc>
          <w:tcPr>
            <w:tcW w:type="dxa" w:w="3888"/>
            <w:shd w:fill="FFFFFF"/>
            <w:tcMar>
              <w:top w:w="80" w:type="dxa"/>
              <w:bottom w:w="80" w:type="dxa"/>
              <w:left w:w="120" w:type="dxa"/>
              <w:right w:w="120" w:type="dxa"/>
            </w:tcMar>
            <w:tcBorders>
              <w:top w:val="single" w:sz="4" w:space="0" w:color="E2E8F0"/>
              <w:bottom w:val="single" w:sz="4" w:space="0" w:color="E2E8F0"/>
            </w:tcBorders>
          </w:tcPr>
          <w:p>
            <w:pPr>
              <w:spacing w:before="0" w:after="0"/>
            </w:pPr>
            <w:r>
              <w:rPr>
                <w:sz w:val="17"/>
              </w:rPr>
              <w:t>Database unreachable crash loop, unhandled fatal exception halting Uvicorn.</w:t>
            </w:r>
          </w:p>
        </w:tc>
      </w:tr>
      <w:tr>
        <w:tc>
          <w:tcPr>
            <w:tcW w:type="dxa" w:w="2016"/>
            <w:shd w:fill="F8FAFC"/>
            <w:tcMar>
              <w:top w:w="80" w:type="dxa"/>
              <w:bottom w:w="80" w:type="dxa"/>
              <w:left w:w="120" w:type="dxa"/>
              <w:right w:w="120" w:type="dxa"/>
            </w:tcMar>
            <w:tcBorders>
              <w:top w:val="single" w:sz="4" w:space="0" w:color="E2E8F0"/>
              <w:bottom w:val="single" w:sz="4" w:space="0" w:color="E2E8F0"/>
            </w:tcBorders>
          </w:tcPr>
          <w:p>
            <w:pPr>
              <w:spacing w:before="0" w:after="0"/>
            </w:pPr>
            <w:r>
              <w:rPr>
                <w:b/>
                <w:color w:val="DC2626"/>
                <w:sz w:val="17"/>
              </w:rPr>
              <w:t>HIGH</w:t>
            </w:r>
          </w:p>
        </w:tc>
        <w:tc>
          <w:tcPr>
            <w:tcW w:type="dxa" w:w="3888"/>
            <w:shd w:fill="F8FAFC"/>
            <w:tcMar>
              <w:top w:w="80" w:type="dxa"/>
              <w:bottom w:w="80" w:type="dxa"/>
              <w:left w:w="120" w:type="dxa"/>
              <w:right w:w="120" w:type="dxa"/>
            </w:tcMar>
            <w:tcBorders>
              <w:top w:val="single" w:sz="4" w:space="0" w:color="E2E8F0"/>
              <w:bottom w:val="single" w:sz="4" w:space="0" w:color="E2E8F0"/>
            </w:tcBorders>
          </w:tcPr>
          <w:p>
            <w:pPr>
              <w:spacing w:before="0" w:after="0"/>
            </w:pPr>
            <w:r>
              <w:rPr>
                <w:sz w:val="17"/>
              </w:rPr>
              <w:t>Core functionality failure, broken authentication/session flow, or routing blockade.</w:t>
            </w:r>
          </w:p>
        </w:tc>
        <w:tc>
          <w:tcPr>
            <w:tcW w:type="dxa" w:w="3888"/>
            <w:shd w:fill="F8FAFC"/>
            <w:tcMar>
              <w:top w:w="80" w:type="dxa"/>
              <w:bottom w:w="80" w:type="dxa"/>
              <w:left w:w="120" w:type="dxa"/>
              <w:right w:w="120" w:type="dxa"/>
            </w:tcMar>
            <w:tcBorders>
              <w:top w:val="single" w:sz="4" w:space="0" w:color="E2E8F0"/>
              <w:bottom w:val="single" w:sz="4" w:space="0" w:color="E2E8F0"/>
            </w:tcBorders>
          </w:tcPr>
          <w:p>
            <w:pPr>
              <w:spacing w:before="0" w:after="0"/>
            </w:pPr>
            <w:r>
              <w:rPr>
                <w:sz w:val="17"/>
              </w:rPr>
              <w:t>Session token omissions (SAI-003), WebSocket handshake failures (SAI-005), Python syntax errors (SAI-002).</w:t>
            </w:r>
          </w:p>
        </w:tc>
      </w:tr>
      <w:tr>
        <w:tc>
          <w:tcPr>
            <w:tcW w:type="dxa" w:w="2016"/>
            <w:shd w:fill="FFFFFF"/>
            <w:tcMar>
              <w:top w:w="80" w:type="dxa"/>
              <w:bottom w:w="80" w:type="dxa"/>
              <w:left w:w="120" w:type="dxa"/>
              <w:right w:w="120" w:type="dxa"/>
            </w:tcMar>
            <w:tcBorders>
              <w:top w:val="single" w:sz="4" w:space="0" w:color="E2E8F0"/>
              <w:bottom w:val="single" w:sz="4" w:space="0" w:color="E2E8F0"/>
            </w:tcBorders>
          </w:tcPr>
          <w:p>
            <w:pPr>
              <w:spacing w:before="0" w:after="0"/>
            </w:pPr>
            <w:r>
              <w:rPr>
                <w:b/>
                <w:color w:val="D97706"/>
                <w:sz w:val="17"/>
              </w:rPr>
              <w:t>MEDIUM</w:t>
            </w:r>
          </w:p>
        </w:tc>
        <w:tc>
          <w:tcPr>
            <w:tcW w:type="dxa" w:w="3888"/>
            <w:shd w:fill="FFFFFF"/>
            <w:tcMar>
              <w:top w:w="80" w:type="dxa"/>
              <w:bottom w:w="80" w:type="dxa"/>
              <w:left w:w="120" w:type="dxa"/>
              <w:right w:w="120" w:type="dxa"/>
            </w:tcMar>
            <w:tcBorders>
              <w:top w:val="single" w:sz="4" w:space="0" w:color="E2E8F0"/>
              <w:bottom w:val="single" w:sz="4" w:space="0" w:color="E2E8F0"/>
            </w:tcBorders>
          </w:tcPr>
          <w:p>
            <w:pPr>
              <w:spacing w:before="0" w:after="0"/>
            </w:pPr>
            <w:r>
              <w:rPr>
                <w:sz w:val="17"/>
              </w:rPr>
              <w:t>Degraded non-vital features, transport protocol misconfigurations, or visual render defects.</w:t>
            </w:r>
          </w:p>
        </w:tc>
        <w:tc>
          <w:tcPr>
            <w:tcW w:type="dxa" w:w="3888"/>
            <w:shd w:fill="FFFFFF"/>
            <w:tcMar>
              <w:top w:w="80" w:type="dxa"/>
              <w:bottom w:w="80" w:type="dxa"/>
              <w:left w:w="120" w:type="dxa"/>
              <w:right w:w="120" w:type="dxa"/>
            </w:tcMar>
            <w:tcBorders>
              <w:top w:val="single" w:sz="4" w:space="0" w:color="E2E8F0"/>
              <w:bottom w:val="single" w:sz="4" w:space="0" w:color="E2E8F0"/>
            </w:tcBorders>
          </w:tcPr>
          <w:p>
            <w:pPr>
              <w:spacing w:before="0" w:after="0"/>
            </w:pPr>
            <w:r>
              <w:rPr>
                <w:sz w:val="17"/>
              </w:rPr>
              <w:t>Event loop I/O blocking (SAI-007), Markdown Mermaid parse crashes (SAI-001), deprecated API models (SAI-008).</w:t>
            </w:r>
          </w:p>
        </w:tc>
      </w:tr>
      <w:tr>
        <w:tc>
          <w:tcPr>
            <w:tcW w:type="dxa" w:w="2016"/>
            <w:shd w:fill="F8FAFC"/>
            <w:tcMar>
              <w:top w:w="80" w:type="dxa"/>
              <w:bottom w:w="80" w:type="dxa"/>
              <w:left w:w="120" w:type="dxa"/>
              <w:right w:w="120" w:type="dxa"/>
            </w:tcMar>
            <w:tcBorders>
              <w:top w:val="single" w:sz="4" w:space="0" w:color="E2E8F0"/>
              <w:bottom w:val="single" w:sz="4" w:space="0" w:color="E2E8F0"/>
            </w:tcBorders>
          </w:tcPr>
          <w:p>
            <w:pPr>
              <w:spacing w:before="0" w:after="0"/>
            </w:pPr>
            <w:r>
              <w:rPr>
                <w:b/>
                <w:color w:val="2563EB"/>
                <w:sz w:val="17"/>
              </w:rPr>
              <w:t>LOW / DEBT</w:t>
            </w:r>
          </w:p>
        </w:tc>
        <w:tc>
          <w:tcPr>
            <w:tcW w:type="dxa" w:w="3888"/>
            <w:shd w:fill="F8FAFC"/>
            <w:tcMar>
              <w:top w:w="80" w:type="dxa"/>
              <w:bottom w:w="80" w:type="dxa"/>
              <w:left w:w="120" w:type="dxa"/>
              <w:right w:w="120" w:type="dxa"/>
            </w:tcMar>
            <w:tcBorders>
              <w:top w:val="single" w:sz="4" w:space="0" w:color="E2E8F0"/>
              <w:bottom w:val="single" w:sz="4" w:space="0" w:color="E2E8F0"/>
            </w:tcBorders>
          </w:tcPr>
          <w:p>
            <w:pPr>
              <w:spacing w:before="0" w:after="0"/>
            </w:pPr>
            <w:r>
              <w:rPr>
                <w:sz w:val="17"/>
              </w:rPr>
              <w:t>Cosmetic UI alignment imperfections, minor console warnings, or upcoming deprecations.</w:t>
            </w:r>
          </w:p>
        </w:tc>
        <w:tc>
          <w:tcPr>
            <w:tcW w:type="dxa" w:w="3888"/>
            <w:shd w:fill="F8FAFC"/>
            <w:tcMar>
              <w:top w:w="80" w:type="dxa"/>
              <w:bottom w:w="80" w:type="dxa"/>
              <w:left w:w="120" w:type="dxa"/>
              <w:right w:w="120" w:type="dxa"/>
            </w:tcMar>
            <w:tcBorders>
              <w:top w:val="single" w:sz="4" w:space="0" w:color="E2E8F0"/>
              <w:bottom w:val="single" w:sz="4" w:space="0" w:color="E2E8F0"/>
            </w:tcBorders>
          </w:tcPr>
          <w:p>
            <w:pPr>
              <w:spacing w:before="0" w:after="0"/>
            </w:pPr>
            <w:r>
              <w:rPr>
                <w:sz w:val="17"/>
              </w:rPr>
              <w:t>Python 3.12 datetime.utcnow deprecations, non-blocking CSS overflow adjustments.</w:t>
            </w:r>
          </w:p>
        </w:tc>
      </w:tr>
    </w:tbl>
    <w:p>
      <w:pPr>
        <w:spacing w:after="200"/>
      </w:pPr>
    </w:p>
    <w:p>
      <w:pPr>
        <w:spacing w:before="280" w:after="80"/>
      </w:pPr>
      <w:r>
        <w:rPr>
          <w:rFonts w:ascii="Segoe UI" w:hAnsi="Segoe UI"/>
          <w:b/>
          <w:color w:val="0F172A"/>
          <w:sz w:val="28"/>
        </w:rPr>
        <w:t>4. Detailed Software Defect Register</w:t>
      </w:r>
    </w:p>
    <w:p>
      <w:pPr>
        <w:spacing w:after="120" w:line="276" w:lineRule="auto"/>
      </w:pPr>
      <w:r>
        <w:t>The following register catalogs all genuine software bugs and technical defects identified, investigated, and remediated across the SentinelAI codebase:</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152"/>
            <w:shd w:fill="1E293B"/>
            <w:tcMar>
              <w:top w:w="100" w:type="dxa"/>
              <w:bottom w:w="100" w:type="dxa"/>
              <w:left w:w="100" w:type="dxa"/>
              <w:right w:w="100" w:type="dxa"/>
            </w:tcMar>
          </w:tcPr>
          <w:p>
            <w:r>
              <w:rPr>
                <w:b/>
                <w:color w:val="FFFFFF"/>
                <w:sz w:val="16"/>
              </w:rPr>
              <w:t>Defect ID</w:t>
            </w:r>
          </w:p>
        </w:tc>
        <w:tc>
          <w:tcPr>
            <w:tcW w:type="dxa" w:w="1728"/>
            <w:shd w:fill="1E293B"/>
            <w:tcMar>
              <w:top w:w="100" w:type="dxa"/>
              <w:bottom w:w="100" w:type="dxa"/>
              <w:left w:w="100" w:type="dxa"/>
              <w:right w:w="100" w:type="dxa"/>
            </w:tcMar>
          </w:tcPr>
          <w:p>
            <w:r>
              <w:rPr>
                <w:b/>
                <w:color w:val="FFFFFF"/>
                <w:sz w:val="16"/>
              </w:rPr>
              <w:t>Subsystem / Component</w:t>
            </w:r>
          </w:p>
        </w:tc>
        <w:tc>
          <w:tcPr>
            <w:tcW w:type="dxa" w:w="3168"/>
            <w:shd w:fill="1E293B"/>
            <w:tcMar>
              <w:top w:w="100" w:type="dxa"/>
              <w:bottom w:w="100" w:type="dxa"/>
              <w:left w:w="100" w:type="dxa"/>
              <w:right w:w="100" w:type="dxa"/>
            </w:tcMar>
          </w:tcPr>
          <w:p>
            <w:r>
              <w:rPr>
                <w:b/>
                <w:color w:val="FFFFFF"/>
                <w:sz w:val="16"/>
              </w:rPr>
              <w:t>Defect Title &amp; Summary</w:t>
            </w:r>
          </w:p>
        </w:tc>
        <w:tc>
          <w:tcPr>
            <w:tcW w:type="dxa" w:w="1152"/>
            <w:shd w:fill="1E293B"/>
            <w:tcMar>
              <w:top w:w="100" w:type="dxa"/>
              <w:bottom w:w="100" w:type="dxa"/>
              <w:left w:w="100" w:type="dxa"/>
              <w:right w:w="100" w:type="dxa"/>
            </w:tcMar>
          </w:tcPr>
          <w:p>
            <w:r>
              <w:rPr>
                <w:b/>
                <w:color w:val="FFFFFF"/>
                <w:sz w:val="16"/>
              </w:rPr>
              <w:t>Severity</w:t>
            </w:r>
          </w:p>
        </w:tc>
        <w:tc>
          <w:tcPr>
            <w:tcW w:type="dxa" w:w="1152"/>
            <w:shd w:fill="1E293B"/>
            <w:tcMar>
              <w:top w:w="100" w:type="dxa"/>
              <w:bottom w:w="100" w:type="dxa"/>
              <w:left w:w="100" w:type="dxa"/>
              <w:right w:w="100" w:type="dxa"/>
            </w:tcMar>
          </w:tcPr>
          <w:p>
            <w:r>
              <w:rPr>
                <w:b/>
                <w:color w:val="FFFFFF"/>
                <w:sz w:val="16"/>
              </w:rPr>
              <w:t>Status</w:t>
            </w:r>
          </w:p>
        </w:tc>
        <w:tc>
          <w:tcPr>
            <w:tcW w:type="dxa" w:w="1440"/>
            <w:shd w:fill="1E293B"/>
            <w:tcMar>
              <w:top w:w="100" w:type="dxa"/>
              <w:bottom w:w="100" w:type="dxa"/>
              <w:left w:w="100" w:type="dxa"/>
              <w:right w:w="100" w:type="dxa"/>
            </w:tcMar>
          </w:tcPr>
          <w:p>
            <w:r>
              <w:rPr>
                <w:b/>
                <w:color w:val="FFFFFF"/>
                <w:sz w:val="16"/>
              </w:rPr>
              <w:t>Commit Reference</w:t>
            </w:r>
          </w:p>
        </w:tc>
      </w:tr>
      <w:tr>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SAI-001</w:t>
            </w:r>
          </w:p>
        </w:tc>
        <w:tc>
          <w:tcPr>
            <w:tcW w:type="dxa" w:w="172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Docs / GFM</w:t>
            </w:r>
          </w:p>
        </w:tc>
        <w:tc>
          <w:tcPr>
            <w:tcW w:type="dxa" w:w="316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GitHub README Mermaid Parse Failure on line 31</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D97706"/>
                <w:sz w:val="16"/>
              </w:rPr>
              <w:t>MEDIUM</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FFFFF"/>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54d85b8</w:t>
            </w:r>
          </w:p>
        </w:tc>
      </w:tr>
      <w:tr>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SAI-002</w:t>
            </w:r>
          </w:p>
        </w:tc>
        <w:tc>
          <w:tcPr>
            <w:tcW w:type="dxa" w:w="172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Database Session</w:t>
            </w:r>
          </w:p>
        </w:tc>
        <w:tc>
          <w:tcPr>
            <w:tcW w:type="dxa" w:w="316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Python 3.11 SyntaxError in f-string path backslash</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DC2626"/>
                <w:sz w:val="16"/>
              </w:rPr>
              <w:t>HIGH</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8FAFC"/>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e9dc415</w:t>
            </w:r>
          </w:p>
        </w:tc>
      </w:tr>
      <w:tr>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SAI-003</w:t>
            </w:r>
          </w:p>
        </w:tc>
        <w:tc>
          <w:tcPr>
            <w:tcW w:type="dxa" w:w="172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Auth / API</w:t>
            </w:r>
          </w:p>
        </w:tc>
        <w:tc>
          <w:tcPr>
            <w:tcW w:type="dxa" w:w="316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Missing session cookie on registration causing 401</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DC2626"/>
                <w:sz w:val="16"/>
              </w:rPr>
              <w:t>HIGH</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FFFFF"/>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fb8a9ed</w:t>
            </w:r>
          </w:p>
        </w:tc>
      </w:tr>
      <w:tr>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SAI-004</w:t>
            </w:r>
          </w:p>
        </w:tc>
        <w:tc>
          <w:tcPr>
            <w:tcW w:type="dxa" w:w="172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Auth / Bootstrap</w:t>
            </w:r>
          </w:p>
        </w:tc>
        <w:tc>
          <w:tcPr>
            <w:tcW w:type="dxa" w:w="316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Admin password hash desynchronization on boot</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DC2626"/>
                <w:sz w:val="16"/>
              </w:rPr>
              <w:t>HIGH</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8FAFC"/>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44d3066</w:t>
            </w:r>
          </w:p>
        </w:tc>
      </w:tr>
      <w:tr>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SAI-005</w:t>
            </w:r>
          </w:p>
        </w:tc>
        <w:tc>
          <w:tcPr>
            <w:tcW w:type="dxa" w:w="172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Router / WS</w:t>
            </w:r>
          </w:p>
        </w:tc>
        <w:tc>
          <w:tcPr>
            <w:tcW w:type="dxa" w:w="316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Router dependency blocks WebSocket HTTP upgrade</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DC2626"/>
                <w:sz w:val="16"/>
              </w:rPr>
              <w:t>HIGH</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FFFFF"/>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271c5bb</w:t>
            </w:r>
          </w:p>
        </w:tc>
      </w:tr>
      <w:tr>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SAI-006</w:t>
            </w:r>
          </w:p>
        </w:tc>
        <w:tc>
          <w:tcPr>
            <w:tcW w:type="dxa" w:w="172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Frontend Client</w:t>
            </w:r>
          </w:p>
        </w:tc>
        <w:tc>
          <w:tcPr>
            <w:tcW w:type="dxa" w:w="316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Omission of cookie credentials in raw fetch calls</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D97706"/>
                <w:sz w:val="16"/>
              </w:rPr>
              <w:t>MEDIUM</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8FAFC"/>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b37cd34</w:t>
            </w:r>
          </w:p>
        </w:tc>
      </w:tr>
      <w:tr>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SAI-007</w:t>
            </w:r>
          </w:p>
        </w:tc>
        <w:tc>
          <w:tcPr>
            <w:tcW w:type="dxa" w:w="172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Simulator / Perf</w:t>
            </w:r>
          </w:p>
        </w:tc>
        <w:tc>
          <w:tcPr>
            <w:tcW w:type="dxa" w:w="316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Asyncio event loop starvation from synchronous DB I/O</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D97706"/>
                <w:sz w:val="16"/>
              </w:rPr>
              <w:t>MEDIUM</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FFFFF"/>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30498f3</w:t>
            </w:r>
          </w:p>
        </w:tc>
      </w:tr>
      <w:tr>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SAI-008</w:t>
            </w:r>
          </w:p>
        </w:tc>
        <w:tc>
          <w:tcPr>
            <w:tcW w:type="dxa" w:w="172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AI Copilot</w:t>
            </w:r>
          </w:p>
        </w:tc>
        <w:tc>
          <w:tcPr>
            <w:tcW w:type="dxa" w:w="316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Groq Cloud failure due to retired Llama 3 endpoint</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D97706"/>
                <w:sz w:val="16"/>
              </w:rPr>
              <w:t>MEDIUM</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8FAFC"/>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7d3a44c</w:t>
            </w:r>
          </w:p>
        </w:tc>
      </w:tr>
      <w:tr>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SAI-009</w:t>
            </w:r>
          </w:p>
        </w:tc>
        <w:tc>
          <w:tcPr>
            <w:tcW w:type="dxa" w:w="172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Transport / WS</w:t>
            </w:r>
          </w:p>
        </w:tc>
        <w:tc>
          <w:tcPr>
            <w:tcW w:type="dxa" w:w="3168"/>
            <w:shd w:fill="FFFFFF"/>
            <w:tcMar>
              <w:top w:w="80" w:type="dxa"/>
              <w:bottom w:w="80" w:type="dxa"/>
              <w:left w:w="100" w:type="dxa"/>
              <w:right w:w="100" w:type="dxa"/>
            </w:tcMar>
            <w:tcBorders>
              <w:top w:val="single" w:sz="4" w:space="0" w:color="E2E8F0"/>
              <w:bottom w:val="single" w:sz="4" w:space="0" w:color="E2E8F0"/>
            </w:tcBorders>
          </w:tcPr>
          <w:p>
            <w:pPr>
              <w:spacing w:before="0" w:after="0"/>
            </w:pPr>
            <w:r>
              <w:rPr>
                <w:sz w:val="16"/>
              </w:rPr>
              <w:t>Cross-origin mixed content WebSocket protocol failure</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D97706"/>
                <w:sz w:val="16"/>
              </w:rPr>
              <w:t>MEDIUM</w:t>
            </w:r>
          </w:p>
        </w:tc>
        <w:tc>
          <w:tcPr>
            <w:tcW w:type="dxa" w:w="1152"/>
            <w:shd w:fill="FFFFFF"/>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FFFFF"/>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96acbb7</w:t>
            </w:r>
          </w:p>
        </w:tc>
      </w:tr>
      <w:tr>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0284C7"/>
                <w:sz w:val="16"/>
              </w:rPr>
              <w:t>SAI-010</w:t>
            </w:r>
          </w:p>
        </w:tc>
        <w:tc>
          <w:tcPr>
            <w:tcW w:type="dxa" w:w="172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Health / Lifespan</w:t>
            </w:r>
          </w:p>
        </w:tc>
        <w:tc>
          <w:tcPr>
            <w:tcW w:type="dxa" w:w="3168"/>
            <w:shd w:fill="F8FAFC"/>
            <w:tcMar>
              <w:top w:w="80" w:type="dxa"/>
              <w:bottom w:w="80" w:type="dxa"/>
              <w:left w:w="100" w:type="dxa"/>
              <w:right w:w="100" w:type="dxa"/>
            </w:tcMar>
            <w:tcBorders>
              <w:top w:val="single" w:sz="4" w:space="0" w:color="E2E8F0"/>
              <w:bottom w:val="single" w:sz="4" w:space="0" w:color="E2E8F0"/>
            </w:tcBorders>
          </w:tcPr>
          <w:p>
            <w:pPr>
              <w:spacing w:before="0" w:after="0"/>
            </w:pPr>
            <w:r>
              <w:rPr>
                <w:sz w:val="16"/>
              </w:rPr>
              <w:t>Missing /ready probe and fatal startup DB disconnect</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D97706"/>
                <w:sz w:val="16"/>
              </w:rPr>
              <w:t>MEDIUM</w:t>
            </w:r>
          </w:p>
        </w:tc>
        <w:tc>
          <w:tcPr>
            <w:tcW w:type="dxa" w:w="1152"/>
            <w:shd w:fill="F8FAFC"/>
            <w:tcMar>
              <w:top w:w="80" w:type="dxa"/>
              <w:bottom w:w="80" w:type="dxa"/>
              <w:left w:w="100" w:type="dxa"/>
              <w:right w:w="100" w:type="dxa"/>
            </w:tcMar>
            <w:tcBorders>
              <w:top w:val="single" w:sz="4" w:space="0" w:color="E2E8F0"/>
              <w:bottom w:val="single" w:sz="4" w:space="0" w:color="E2E8F0"/>
            </w:tcBorders>
          </w:tcPr>
          <w:p>
            <w:pPr>
              <w:spacing w:before="0" w:after="0"/>
            </w:pPr>
            <w:r>
              <w:rPr>
                <w:b/>
                <w:color w:val="16A34A"/>
                <w:sz w:val="16"/>
              </w:rPr>
              <w:t>RESOLVED</w:t>
            </w:r>
          </w:p>
        </w:tc>
        <w:tc>
          <w:tcPr>
            <w:tcW w:type="dxa" w:w="1440"/>
            <w:shd w:fill="F8FAFC"/>
            <w:tcMar>
              <w:top w:w="80" w:type="dxa"/>
              <w:bottom w:w="80" w:type="dxa"/>
              <w:left w:w="100" w:type="dxa"/>
              <w:right w:w="100" w:type="dxa"/>
            </w:tcMar>
            <w:tcBorders>
              <w:top w:val="single" w:sz="4" w:space="0" w:color="E2E8F0"/>
              <w:bottom w:val="single" w:sz="4" w:space="0" w:color="E2E8F0"/>
            </w:tcBorders>
          </w:tcPr>
          <w:p>
            <w:pPr>
              <w:spacing w:before="0" w:after="0"/>
            </w:pPr>
            <w:r>
              <w:rPr>
                <w:rFonts w:ascii="Consolas" w:hAnsi="Consolas"/>
                <w:color w:val="475569"/>
                <w:sz w:val="16"/>
              </w:rPr>
              <w:t>96acbb7</w:t>
            </w:r>
          </w:p>
        </w:tc>
      </w:tr>
    </w:tbl>
    <w:p>
      <w:pPr>
        <w:spacing w:after="200"/>
      </w:pPr>
    </w:p>
    <w:p>
      <w:pPr>
        <w:spacing w:before="280" w:after="80"/>
      </w:pPr>
      <w:r>
        <w:rPr>
          <w:rFonts w:ascii="Segoe UI" w:hAnsi="Segoe UI"/>
          <w:b/>
          <w:color w:val="0F172A"/>
          <w:sz w:val="28"/>
        </w:rPr>
        <w:t>5. In-Depth Root Cause Analysis of Key Resolved Issues</w:t>
      </w:r>
    </w:p>
    <w:p>
      <w:pPr>
        <w:spacing w:before="80"/>
      </w:pPr>
    </w:p>
    <w:p>
      <w:pPr>
        <w:spacing w:after="40"/>
      </w:pPr>
      <w:r>
        <w:rPr>
          <w:b/>
          <w:color w:val="0F172A"/>
          <w:sz w:val="22"/>
        </w:rPr>
        <w:t>[SAI-001] GitHub Markdown Mermaid 'System Architecture' Parse Failure</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Repository Documentation (`README.md`)  |  Commit: 54d85b8</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Visitors to the GitHub repository encountered an error banner reading 'Unable to render rich display' with 'Parse error on line 31: ...&gt;|REST API Requests (Axios)| CORS Vi -----------------------^ Expecting...'</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GitHub's native Mermaid parser operates a strict tokenizer where unquoted parentheses in edge labels ('|REST API Requests (Axios)|' and '|Persistent WebSockets (WSS)|') are parsed as shape delimiters (Parenthesis Start / 'PS'). Because edge labels cannot accept shape declarations, the lexer threw a fatal syntax exception. Furthermore, a bare '$PORT' token triggered KaTeX math delimiters, and an unescaped ampersand in '|Rule State &amp; Blocks|' posed XML entity hazards.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Sanitized all edge expressions to alphanumeric text without parentheses ('|REST API Requests|', '|Persistent WebSockets|', '|Rule State and Blocks|') and normalized node labels to '(Uvicorn Application Server)'. Validated via Mermaid v10.9.1 headless parser and verified live on GitHub.</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Live GitHub inspection confirmed 100% SVG rendering resolution with zero parse errors.</w:t>
            </w:r>
          </w:p>
        </w:tc>
      </w:tr>
    </w:tbl>
    <w:p>
      <w:pPr>
        <w:spacing w:after="120"/>
      </w:pPr>
    </w:p>
    <w:p>
      <w:pPr>
        <w:spacing w:before="80"/>
      </w:pPr>
    </w:p>
    <w:p>
      <w:pPr>
        <w:spacing w:after="40"/>
      </w:pPr>
      <w:r>
        <w:rPr>
          <w:b/>
          <w:color w:val="0F172A"/>
          <w:sz w:val="22"/>
        </w:rPr>
        <w:t>[SAI-002] Python 3.11 SyntaxError in Database SQLite Session Path Normalization</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Backend Database Session (`backend/database/session.py`)  |  Commit: e9dc415</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When bootstrapping the backend under Python 3.11, the application crashed immediately during import with 'SyntaxError: f-string expression part cannot include a backslash'.</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Prior to Python 3.12 (PEP 701), Python's grammar explicitly forbade backslashes within f-string expression braces. The line 'db_url = f"sqlite:///{abs_db_path.replace('\\', '/')}"' violated this rule.</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Extracted the path string normalization outside of the f-string: 'normalized_path = abs_db_path.replace("\\", "/")' followed by 'db_url = f"sqlite:///{normalized_path}"'.</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Verified backward compatibility across Python 3.11, 3.12, and 3.14.</w:t>
            </w:r>
          </w:p>
        </w:tc>
      </w:tr>
    </w:tbl>
    <w:p>
      <w:pPr>
        <w:spacing w:after="120"/>
      </w:pPr>
    </w:p>
    <w:p>
      <w:pPr>
        <w:spacing w:before="80"/>
      </w:pPr>
    </w:p>
    <w:p>
      <w:pPr>
        <w:spacing w:after="40"/>
      </w:pPr>
      <w:r>
        <w:rPr>
          <w:b/>
          <w:color w:val="0F172A"/>
          <w:sz w:val="22"/>
        </w:rPr>
        <w:t>[SAI-003] Missing Session Cookie on User Registration Causing Immediate 401 Unauthorized</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Backend Authentication API (`backend/api/auth.py`)  |  Commit: fb8a9ed</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After registering a new analyst user on `/register`, the frontend redirected the user to the SOC Command Center dashboard, but all subsequent API requests failed with HTTP 401 Unauthorized, forcing a redundant login.</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The `/api/auth/register` endpoint committed the user to the database but did not invoke `create_user_session()` or attach the `sentinel_session` Set-Cookie header to the HTTP response object.</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Updated the registration endpoint to generate an authenticated session token upon successful insertion and attach the HTTP-only, SameSite=Lax cookie directly to the Response object.</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Automated authentication integration tests (`test_auth.py`) confirmed persistent session state immediately upon user creation.</w:t>
            </w:r>
          </w:p>
        </w:tc>
      </w:tr>
    </w:tbl>
    <w:p>
      <w:pPr>
        <w:spacing w:after="120"/>
      </w:pPr>
    </w:p>
    <w:p>
      <w:pPr>
        <w:spacing w:before="80"/>
      </w:pPr>
    </w:p>
    <w:p>
      <w:pPr>
        <w:spacing w:after="40"/>
      </w:pPr>
      <w:r>
        <w:rPr>
          <w:b/>
          <w:color w:val="0F172A"/>
          <w:sz w:val="22"/>
        </w:rPr>
        <w:t>[SAI-004] Administrator Password Hash Desynchronization on Environment Bootstrap</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Backend Authentication Service (`backend/services/auth.py`)  |  Commit: 44d3066</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When system administrators changed `SENTINEL_ADMIN_PASSWORD` in `.env` or Railway environment variables, the administrator account remained locked to the legacy password.</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`AuthService.bootstrap_admin_user()` performed a lookup for existing users with username 'admin'. If found, it exited without verifying if the stored Argon2id hash matched the newly supplied environment variable.</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Introduced an active password verification check: if the existing admin's password fails `verify_password(admin_password, existing_user.password_hash)`, the method re-hashes the configured password and updates the record.</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Verified dynamic password synchronization during container initialization across test environments.</w:t>
            </w:r>
          </w:p>
        </w:tc>
      </w:tr>
    </w:tbl>
    <w:p>
      <w:pPr>
        <w:spacing w:after="120"/>
      </w:pPr>
    </w:p>
    <w:p>
      <w:pPr>
        <w:spacing w:before="80"/>
      </w:pPr>
    </w:p>
    <w:p>
      <w:pPr>
        <w:spacing w:after="40"/>
      </w:pPr>
      <w:r>
        <w:rPr>
          <w:b/>
          <w:color w:val="0F172A"/>
          <w:sz w:val="22"/>
        </w:rPr>
        <w:t>[SAI-005] Router-Level Dependency Blocking WebSocket Handshakes with HTTP 401</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API Routing &amp; WebSocket Hub (`backend/api/attacks.py`, `backend/api/router.py`)  |  Commit: 271c5bb</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Browsers attempting to establish a WebSocket connection to `/api/attacks/ws` received 'Error during WebSocket handshake: Unexpected response code: 401' and aborted.</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`api_router.include_router(attacks_router, dependencies=[Depends(get_current_user)])` applied HTTP header/cookie dependency validation across all routes in `attacks_router`, including the WebSocket route. FastAPI's HTTP dependency aborts with HTTP 401 before the WebSocket handshake (`websocket.accept()`) can occur.</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Removed the router-level HTTP dependency; applied `Depends(get_current_user)` to discrete HTTP endpoints, and implemented internal cookie verification inside `websocket_endpoint()` using proper WebSocket close codes (code 1008 Policy Violation).</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Confirmed clean WebSocket handshake and continuous telemetry stream across 100+ simulated attack cycles.</w:t>
            </w:r>
          </w:p>
        </w:tc>
      </w:tr>
    </w:tbl>
    <w:p>
      <w:pPr>
        <w:spacing w:after="120"/>
      </w:pPr>
    </w:p>
    <w:p>
      <w:pPr>
        <w:spacing w:before="80"/>
      </w:pPr>
    </w:p>
    <w:p>
      <w:pPr>
        <w:spacing w:after="40"/>
      </w:pPr>
      <w:r>
        <w:rPr>
          <w:b/>
          <w:color w:val="0F172A"/>
          <w:sz w:val="22"/>
        </w:rPr>
        <w:t>[SAI-006] Omission of Cookie Credentials in Frontend Native Fetch Requests</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Frontend Client API Layer (`Agent.jsx`, `Reports.jsx`, `vite.config.js`)  |  Commit: b37cd34</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AI Assistant streaming chat (`/agent/chat/stream`) and report artifact downloads (`/reports/download/{id}`) failed with 401 Unauthorized, despite the user being logged in.</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While Axios was configured with `withCredentials: true`, unbuffered SSE streams and raw file downloads utilized browser native `window.fetch()`, which defaults to `credentials: 'same-origin'`. In development setups (Vite port 5173 to backend port 8000), cross-origin cookie omission occurred.</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Explicitly appended `{ credentials: 'include' }` to all `fetch()` invocations, and added a development proxy in `vite.config.js` mapping `/api` to `http://127.0.0.1:8000`.</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Validated unbuffered SSE stream generation and report downloads across authenticated sessions.</w:t>
            </w:r>
          </w:p>
        </w:tc>
      </w:tr>
    </w:tbl>
    <w:p>
      <w:pPr>
        <w:spacing w:after="120"/>
      </w:pPr>
    </w:p>
    <w:p>
      <w:pPr>
        <w:spacing w:before="80"/>
      </w:pPr>
    </w:p>
    <w:p>
      <w:pPr>
        <w:spacing w:after="40"/>
      </w:pPr>
      <w:r>
        <w:rPr>
          <w:b/>
          <w:color w:val="0F172A"/>
          <w:sz w:val="22"/>
        </w:rPr>
        <w:t>[SAI-007] Asyncio Event Loop Starvation from Synchronous Database Persistence</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Background Threat Simulator (`backend/api/attacks.py`)  |  Commit: 30498f3</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Frontend users observed periodic UI freezes and intermittent WebSocket disconnections every 4 seconds during threat simulation bursts.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The asynchronous generator `start_attack_simulator()` executed blocking SQLAlchemy queries (`db.add()`, `db.commit()`, `db.refresh()`) directly on the single Python event loop thread, starving async I/O.</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Refactored synchronous database write operations into `_generate_simulated_attack_event()` and offloaded its execution to an asynchronous worker thread pool using `asyncio.to_thread()`.</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`test_attacks_simulator.py` confirmed non-blocking execution and clean cancellation upon shutdown.</w:t>
            </w:r>
          </w:p>
        </w:tc>
      </w:tr>
    </w:tbl>
    <w:p>
      <w:pPr>
        <w:spacing w:after="120"/>
      </w:pPr>
    </w:p>
    <w:p>
      <w:pPr>
        <w:spacing w:before="80"/>
      </w:pPr>
    </w:p>
    <w:p>
      <w:pPr>
        <w:spacing w:after="40"/>
      </w:pPr>
      <w:r>
        <w:rPr>
          <w:b/>
          <w:color w:val="0F172A"/>
          <w:sz w:val="22"/>
        </w:rPr>
        <w:t>[SAI-008] Groq Cloud AI Model Decommissioning Causing HTTP 404 Exceptions</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AI Provider Integration (`backend/core/config.py`, `Settings.jsx`)  |  Commit: 7d3a44c</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SOC Investigator structured actions returned 'Model decommissioned' or HTTP 404 errors during AI reasoning prompts.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Groq Cloud retired older `llama-3.1-70b-versatile` endpoints in favor of next-generation open-source architectures.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Updated the default model configuration across backend settings and frontend state to `openai/gpt-oss-120b`, and implemented runtime model alias mapping to sanitize legacy configurations.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Automated tests in `test_groq_agent.py` verified robust reasoning dispatch and fallback handling.</w:t>
            </w:r>
          </w:p>
        </w:tc>
      </w:tr>
    </w:tbl>
    <w:p>
      <w:pPr>
        <w:spacing w:after="120"/>
      </w:pPr>
    </w:p>
    <w:p>
      <w:pPr>
        <w:spacing w:before="80"/>
      </w:pPr>
    </w:p>
    <w:p>
      <w:pPr>
        <w:spacing w:after="40"/>
      </w:pPr>
      <w:r>
        <w:rPr>
          <w:b/>
          <w:color w:val="0F172A"/>
          <w:sz w:val="22"/>
        </w:rPr>
        <w:t>[SAI-009] Cross-Origin WebSocket Protocol Resolution Failure in Production</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Frontend Transport Utility (`frontend/src/utils/wsUtils.js`)  |  Commit: 96acbb7</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When the frontend was hosted on Vercel over HTTPS and the backend was hosted on Railway, WebSocket connections failed due to Mixed Content security blocking.</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Hardcoded `ws://` schemes were rejected by modern browsers on HTTPS pages, which require secure `wss://` sockets.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Constructed `getAttackWebSocketUrl()` utility to dynamically detect HTTPS contexts, automatically upgrade insecure `ws://` protocols to `wss://`, and derive correct endpoints from environment variables.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Verified bi-directional WebSocket telemetry over secure SSL/TLS production connections.</w:t>
            </w:r>
          </w:p>
        </w:tc>
      </w:tr>
    </w:tbl>
    <w:p>
      <w:pPr>
        <w:spacing w:after="120"/>
      </w:pPr>
    </w:p>
    <w:p>
      <w:pPr>
        <w:spacing w:before="80"/>
      </w:pPr>
    </w:p>
    <w:p>
      <w:pPr>
        <w:spacing w:after="40"/>
      </w:pPr>
      <w:r>
        <w:rPr>
          <w:b/>
          <w:color w:val="0F172A"/>
          <w:sz w:val="22"/>
        </w:rPr>
        <w:t>[SAI-010] Cloud Container Crash Cascades from Missing Database Readiness Probes</w:t>
      </w:r>
    </w:p>
    <w:tbl>
      <w:tblPr>
        <w:tblW w:type="auto" w:w="0"/>
        <w:jc w:val="center"/>
        <w:tblLayout w:type="fixed"/>
        <w:tblLook w:firstColumn="1" w:firstRow="1" w:lastColumn="0" w:lastRow="0" w:noHBand="0" w:noVBand="1" w:val="04A0"/>
      </w:tblPr>
      <w:tblGrid>
        <w:gridCol w:w="5040"/>
        <w:gridCol w:w="5040"/>
      </w:tblGrid>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Component &amp; Commit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Production Ingress &amp; Health Core (`backend/api/health.py`, `backend/main.py`)  |  Commit: 96acbb7</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Observed Defect</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During cold restarts on Railway, if PostgreSQL required several seconds to accept incoming connections, the backend container crashed repeatedly or served 500 errors to ingress proxies.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Root Cause Analysis</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The backend lacked discrete Kubernetes/Railway readiness probes (`/ready`), and lifespan startup lacked safe SQLAlchemy table reflection, throwing unhandled exceptions.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Engineering Fix</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Implemented `/ready` with dynamic `SELECT 1` ping returning HTTP 503 during cold database initialization, wrapped schema updates in `sqlalchemy.inspect`, and surfaced discrete database health metrics.</w:t>
            </w:r>
          </w:p>
        </w:tc>
      </w:tr>
      <w:tr>
        <w:tc>
          <w:tcPr>
            <w:tcW w:type="dxa" w:w="2160"/>
            <w:shd w:fill="F8FAFC"/>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b/>
                <w:color w:val="475569"/>
                <w:sz w:val="17"/>
              </w:rPr>
              <w:t>Verification Evidence</w:t>
            </w:r>
          </w:p>
        </w:tc>
        <w:tc>
          <w:tcPr>
            <w:tcW w:type="dxa" w:w="7632"/>
            <w:shd w:fill="FFFFFF"/>
            <w:tcMar>
              <w:top w:w="60" w:type="dxa"/>
              <w:bottom w:w="60" w:type="dxa"/>
              <w:left w:w="100" w:type="dxa"/>
              <w:right w:w="100" w:type="dxa"/>
            </w:tcMar>
            <w:tcBorders>
              <w:top w:val="single" w:sz="4" w:space="0" w:color="E2E8F0"/>
              <w:left w:val="single" w:sz="4" w:space="0" w:color="E2E8F0"/>
              <w:bottom w:val="single" w:sz="4" w:space="0" w:color="E2E8F0"/>
              <w:right w:val="single" w:sz="4" w:space="0" w:color="E2E8F0"/>
            </w:tcBorders>
          </w:tcPr>
          <w:p>
            <w:pPr>
              <w:spacing w:before="0" w:after="0"/>
            </w:pPr>
            <w:r>
              <w:rPr>
                <w:color w:val="1E293B"/>
                <w:sz w:val="17"/>
              </w:rPr>
              <w:t>Verified graceful cold-start recovery via `test_health.py` and `test_postgresql_compatibility.py`.</w:t>
            </w:r>
          </w:p>
        </w:tc>
      </w:tr>
    </w:tbl>
    <w:p>
      <w:pPr>
        <w:spacing w:after="120"/>
      </w:pPr>
    </w:p>
    <w:p>
      <w:pPr>
        <w:spacing w:before="280" w:after="80"/>
      </w:pPr>
      <w:r>
        <w:rPr>
          <w:rFonts w:ascii="Segoe UI" w:hAnsi="Segoe UI"/>
          <w:b/>
          <w:color w:val="0F172A"/>
          <w:sz w:val="28"/>
        </w:rPr>
        <w:t>6. Known Architectural Limitations &amp; Technical Debt</w:t>
      </w:r>
    </w:p>
    <w:p>
      <w:pPr>
        <w:spacing w:after="120" w:line="276" w:lineRule="auto"/>
      </w:pPr>
      <w:r>
        <w:t>A critical principle of software engineering audits is distinguishing between defective code (bugs) and documented architectural trade-offs or operational boundaries. The following items represent deliberate design constraints, external provider dependencies, and upstream deprecation warnings currently maintained in SentinelAI:</w:t>
      </w:r>
    </w:p>
    <w:p>
      <w:pPr>
        <w:spacing w:after="40"/>
        <w:ind w:left="288"/>
      </w:pPr>
      <w:r>
        <w:rPr>
          <w:b/>
          <w:color w:val="1E293B"/>
          <w:sz w:val="19"/>
        </w:rPr>
        <w:t>• LIM-001: In-Memory WebSocket Manager (Single-Replica Deployment Requirement)</w:t>
      </w:r>
    </w:p>
    <w:p>
      <w:pPr>
        <w:spacing w:after="80"/>
        <w:ind w:left="576"/>
      </w:pPr>
      <w:r>
        <w:rPr>
          <w:b/>
          <w:color w:val="0284C7"/>
          <w:sz w:val="17"/>
        </w:rPr>
        <w:t xml:space="preserve">[Architectural Scope Constraint] </w:t>
      </w:r>
      <w:r>
        <w:rPr>
          <w:color w:val="475569"/>
          <w:sz w:val="18"/>
        </w:rPr>
        <w:t>The FastAPI ConnectionManager maintains client WebSocket instances in local Python memory (self.active_connections). Consequently, in production deployments without an external Pub/Sub message broker (such as Redis or RabbitMQ), the application must run as a single persistent container instance on Railway. Running multiple horizontally scaled replicas will result in split-brain telemetry where events broadcast on instance A do not reach clients connected to instance B. Mitigation: Explicitly documented in DEPLOYMENT.md as a single-replica requirement; architecture blueprint provides Redis adapter design for Phase 17.</w:t>
      </w:r>
    </w:p>
    <w:p>
      <w:pPr>
        <w:spacing w:after="40"/>
        <w:ind w:left="288"/>
      </w:pPr>
      <w:r>
        <w:rPr>
          <w:b/>
          <w:color w:val="1E293B"/>
          <w:sz w:val="19"/>
        </w:rPr>
        <w:t>• LIM-002: Python 3.12+ datetime.utcnow() Upstream Deprecation Warnings</w:t>
      </w:r>
    </w:p>
    <w:p>
      <w:pPr>
        <w:spacing w:after="80"/>
        <w:ind w:left="576"/>
      </w:pPr>
      <w:r>
        <w:rPr>
          <w:b/>
          <w:color w:val="0284C7"/>
          <w:sz w:val="17"/>
        </w:rPr>
        <w:t xml:space="preserve">[Technical Debt (575 Test Suite Warnings)] </w:t>
      </w:r>
      <w:r>
        <w:rPr>
          <w:color w:val="475569"/>
          <w:sz w:val="18"/>
        </w:rPr>
        <w:t>The automated test suite emits 575 warnings concerning datetime.datetime.utcnow(). Python 3.12 has deprecated utcnow() in favor of timezone-aware timestamps (datetime.datetime.now(datetime.UTC)). While fully functional across current runtimes (Python 3.11–3.14), a codebase-wide migration is scheduled prior to Python 3.15 to ensure long-term forward compatibility.</w:t>
      </w:r>
    </w:p>
    <w:p>
      <w:pPr>
        <w:spacing w:after="40"/>
        <w:ind w:left="288"/>
      </w:pPr>
      <w:r>
        <w:rPr>
          <w:b/>
          <w:color w:val="1E293B"/>
          <w:sz w:val="19"/>
        </w:rPr>
        <w:t>• LIM-003: External Cloud AI Provider Rate Limiting &amp; Latency Boundary</w:t>
      </w:r>
    </w:p>
    <w:p>
      <w:pPr>
        <w:spacing w:after="80"/>
        <w:ind w:left="576"/>
      </w:pPr>
      <w:r>
        <w:rPr>
          <w:b/>
          <w:color w:val="0284C7"/>
          <w:sz w:val="17"/>
        </w:rPr>
        <w:t xml:space="preserve">[External Dependency &amp; Graceful Degradation] </w:t>
      </w:r>
      <w:r>
        <w:rPr>
          <w:color w:val="475569"/>
          <w:sz w:val="18"/>
        </w:rPr>
        <w:t>Primary reasoning workflows in the AI Investigator rely on Groq Cloud API endpoints (openai/gpt-oss-120b). External network outages or API rate limit exhaustion (RPM/TPM) will impact live generative reasoning. SentinelAI handles this via a deterministic local fallback engine that generates rule-based containment and MITRE mappings, but local fallback lacks dynamic contextual synthesis.</w:t>
      </w:r>
    </w:p>
    <w:p>
      <w:pPr>
        <w:spacing w:after="40"/>
        <w:ind w:left="288"/>
      </w:pPr>
      <w:r>
        <w:rPr>
          <w:b/>
          <w:color w:val="1E293B"/>
          <w:sz w:val="19"/>
        </w:rPr>
        <w:t>• LIM-004: Multi-Protocol Honeypot Non-Standard Port Privileges</w:t>
      </w:r>
    </w:p>
    <w:p>
      <w:pPr>
        <w:spacing w:after="80"/>
        <w:ind w:left="576"/>
      </w:pPr>
      <w:r>
        <w:rPr>
          <w:b/>
          <w:color w:val="0284C7"/>
          <w:sz w:val="17"/>
        </w:rPr>
        <w:t xml:space="preserve">[Operating System &amp; Network Permission Boundary] </w:t>
      </w:r>
      <w:r>
        <w:rPr>
          <w:color w:val="475569"/>
          <w:sz w:val="18"/>
        </w:rPr>
        <w:t>The Aetheris Decoy Engine binds to unprivileged non-standard listener ports (HTTP 8088, SSH 2222, FTP 2121, Telnet 2323) by default. Binding to canonical low ports (Port 80, 22, 21, 23) in production requires elevated administrator privileges, Linux CAP_NET_BIND_SERVICE capabilities, or iptables PREROUTING port forwarding.</w:t>
      </w:r>
    </w:p>
    <w:p>
      <w:pPr>
        <w:spacing w:after="40"/>
        <w:ind w:left="288"/>
      </w:pPr>
      <w:r>
        <w:rPr>
          <w:b/>
          <w:color w:val="1E293B"/>
          <w:sz w:val="19"/>
        </w:rPr>
        <w:t>• LIM-005: Decoy Malware Sandbox Static Heuristic Boundary</w:t>
      </w:r>
    </w:p>
    <w:p>
      <w:pPr>
        <w:spacing w:after="80"/>
        <w:ind w:left="576"/>
      </w:pPr>
      <w:r>
        <w:rPr>
          <w:b/>
          <w:color w:val="0284C7"/>
          <w:sz w:val="17"/>
        </w:rPr>
        <w:t xml:space="preserve">[Security Model &amp; Execution Isolation Boundary] </w:t>
      </w:r>
      <w:r>
        <w:rPr>
          <w:color w:val="475569"/>
          <w:sz w:val="18"/>
        </w:rPr>
        <w:t>The sandbox engine computes cryptographic digests (MD5, SHA-1, SHA-256), binary entropy, and static string signatures in an isolated quarantine directory (./decoy_sandbox/). It deliberately does not execute binary payloads in a kernel-level microVM (e.g. Firecracker/QEMU). This represents a conscious engineering safety boundary preventing host compromise on developer and demonstration workstations.</w:t>
      </w:r>
    </w:p>
    <w:p>
      <w:pPr>
        <w:spacing w:after="160"/>
      </w:pPr>
    </w:p>
    <w:p>
      <w:pPr>
        <w:spacing w:before="280" w:after="80"/>
      </w:pPr>
      <w:r>
        <w:rPr>
          <w:rFonts w:ascii="Segoe UI" w:hAnsi="Segoe UI"/>
          <w:b/>
          <w:color w:val="0F172A"/>
          <w:sz w:val="28"/>
        </w:rPr>
        <w:t>7. Verification and Testing Evidence</w:t>
      </w:r>
    </w:p>
    <w:p>
      <w:pPr>
        <w:spacing w:after="120" w:line="276" w:lineRule="auto"/>
      </w:pPr>
      <w:r>
        <w:t>Verification of SentinelAI has been conducted across automated unit tests, frontend static analysis, production asset compilation, and live production environment inspection: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304"/>
            <w:shd w:fill="0F172A"/>
            <w:tcMar>
              <w:top w:w="90" w:type="dxa"/>
              <w:bottom w:w="90" w:type="dxa"/>
              <w:left w:w="100" w:type="dxa"/>
              <w:right w:w="100" w:type="dxa"/>
            </w:tcMar>
          </w:tcPr>
          <w:p>
            <w:r>
              <w:rPr>
                <w:b/>
                <w:color w:val="FFFFFF"/>
                <w:sz w:val="17"/>
              </w:rPr>
              <w:t>Verification Domain</w:t>
            </w:r>
          </w:p>
        </w:tc>
        <w:tc>
          <w:tcPr>
            <w:tcW w:type="dxa" w:w="2304"/>
            <w:shd w:fill="0F172A"/>
            <w:tcMar>
              <w:top w:w="90" w:type="dxa"/>
              <w:bottom w:w="90" w:type="dxa"/>
              <w:left w:w="100" w:type="dxa"/>
              <w:right w:w="100" w:type="dxa"/>
            </w:tcMar>
          </w:tcPr>
          <w:p>
            <w:r>
              <w:rPr>
                <w:b/>
                <w:color w:val="FFFFFF"/>
                <w:sz w:val="17"/>
              </w:rPr>
              <w:t>Tool / Environment</w:t>
            </w:r>
          </w:p>
        </w:tc>
        <w:tc>
          <w:tcPr>
            <w:tcW w:type="dxa" w:w="3168"/>
            <w:shd w:fill="0F172A"/>
            <w:tcMar>
              <w:top w:w="90" w:type="dxa"/>
              <w:bottom w:w="90" w:type="dxa"/>
              <w:left w:w="100" w:type="dxa"/>
              <w:right w:w="100" w:type="dxa"/>
            </w:tcMar>
          </w:tcPr>
          <w:p>
            <w:r>
              <w:rPr>
                <w:b/>
                <w:color w:val="FFFFFF"/>
                <w:sz w:val="17"/>
              </w:rPr>
              <w:t>Execution Scope &amp; Metric</w:t>
            </w:r>
          </w:p>
        </w:tc>
        <w:tc>
          <w:tcPr>
            <w:tcW w:type="dxa" w:w="2016"/>
            <w:shd w:fill="0F172A"/>
            <w:tcMar>
              <w:top w:w="90" w:type="dxa"/>
              <w:bottom w:w="90" w:type="dxa"/>
              <w:left w:w="100" w:type="dxa"/>
              <w:right w:w="100" w:type="dxa"/>
            </w:tcMar>
          </w:tcPr>
          <w:p>
            <w:r>
              <w:rPr>
                <w:b/>
                <w:color w:val="FFFFFF"/>
                <w:sz w:val="17"/>
              </w:rPr>
              <w:t>Observed Outcome</w:t>
            </w:r>
          </w:p>
        </w:tc>
      </w:tr>
      <w:tr>
        <w:tc>
          <w:tcPr>
            <w:tcW w:type="dxa" w:w="2304"/>
            <w:shd w:fill="FFFFFF"/>
            <w:tcMar>
              <w:top w:w="70" w:type="dxa"/>
              <w:bottom w:w="70" w:type="dxa"/>
              <w:left w:w="100" w:type="dxa"/>
              <w:right w:w="100" w:type="dxa"/>
            </w:tcMar>
            <w:tcBorders>
              <w:top w:val="single" w:sz="4" w:space="0" w:color="E2E8F0"/>
              <w:bottom w:val="single" w:sz="4" w:space="0" w:color="E2E8F0"/>
            </w:tcBorders>
          </w:tcPr>
          <w:p>
            <w:pPr>
              <w:spacing w:before="0" w:after="0"/>
            </w:pPr>
            <w:r>
              <w:rPr>
                <w:b/>
                <w:sz w:val="17"/>
              </w:rPr>
              <w:t>Backend Automated Test Suite</w:t>
            </w:r>
          </w:p>
        </w:tc>
        <w:tc>
          <w:tcPr>
            <w:tcW w:type="dxa" w:w="2304"/>
            <w:shd w:fill="FFFFFF"/>
            <w:tcMar>
              <w:top w:w="70" w:type="dxa"/>
              <w:bottom w:w="70" w:type="dxa"/>
              <w:left w:w="100" w:type="dxa"/>
              <w:right w:w="100" w:type="dxa"/>
            </w:tcMar>
            <w:tcBorders>
              <w:top w:val="single" w:sz="4" w:space="0" w:color="E2E8F0"/>
              <w:bottom w:val="single" w:sz="4" w:space="0" w:color="E2E8F0"/>
            </w:tcBorders>
          </w:tcPr>
          <w:p>
            <w:pPr>
              <w:spacing w:before="0" w:after="0"/>
            </w:pPr>
            <w:r>
              <w:rPr>
                <w:sz w:val="17"/>
              </w:rPr>
              <w:t>pytest 9.1.1 / anyio 4.14.1 (Python 3.14)</w:t>
            </w:r>
          </w:p>
        </w:tc>
        <w:tc>
          <w:tcPr>
            <w:tcW w:type="dxa" w:w="3168"/>
            <w:shd w:fill="FFFFFF"/>
            <w:tcMar>
              <w:top w:w="70" w:type="dxa"/>
              <w:bottom w:w="70" w:type="dxa"/>
              <w:left w:w="100" w:type="dxa"/>
              <w:right w:w="100" w:type="dxa"/>
            </w:tcMar>
            <w:tcBorders>
              <w:top w:val="single" w:sz="4" w:space="0" w:color="E2E8F0"/>
              <w:bottom w:val="single" w:sz="4" w:space="0" w:color="E2E8F0"/>
            </w:tcBorders>
          </w:tcPr>
          <w:p>
            <w:pPr>
              <w:spacing w:before="0" w:after="0"/>
            </w:pPr>
            <w:r>
              <w:rPr>
                <w:sz w:val="17"/>
              </w:rPr>
              <w:t>15 test modules covering auth, rbac, simulator, correlation, db, honeypot, waf</w:t>
            </w:r>
          </w:p>
        </w:tc>
        <w:tc>
          <w:tcPr>
            <w:tcW w:type="dxa" w:w="2016"/>
            <w:shd w:fill="FFFFFF"/>
            <w:tcMar>
              <w:top w:w="70" w:type="dxa"/>
              <w:bottom w:w="70" w:type="dxa"/>
              <w:left w:w="100" w:type="dxa"/>
              <w:right w:w="100" w:type="dxa"/>
            </w:tcMar>
            <w:tcBorders>
              <w:top w:val="single" w:sz="4" w:space="0" w:color="E2E8F0"/>
              <w:bottom w:val="single" w:sz="4" w:space="0" w:color="E2E8F0"/>
            </w:tcBorders>
          </w:tcPr>
          <w:p>
            <w:pPr>
              <w:spacing w:before="0" w:after="0"/>
            </w:pPr>
            <w:r>
              <w:rPr>
                <w:b/>
                <w:color w:val="16A34A"/>
                <w:sz w:val="17"/>
              </w:rPr>
              <w:t>51 PASSED / 0 FAILED (100% Success)</w:t>
            </w:r>
          </w:p>
        </w:tc>
      </w:tr>
      <w:tr>
        <w:tc>
          <w:tcPr>
            <w:tcW w:type="dxa" w:w="2304"/>
            <w:shd w:fill="F8FAFC"/>
            <w:tcMar>
              <w:top w:w="70" w:type="dxa"/>
              <w:bottom w:w="70" w:type="dxa"/>
              <w:left w:w="100" w:type="dxa"/>
              <w:right w:w="100" w:type="dxa"/>
            </w:tcMar>
            <w:tcBorders>
              <w:top w:val="single" w:sz="4" w:space="0" w:color="E2E8F0"/>
              <w:bottom w:val="single" w:sz="4" w:space="0" w:color="E2E8F0"/>
            </w:tcBorders>
          </w:tcPr>
          <w:p>
            <w:pPr>
              <w:spacing w:before="0" w:after="0"/>
            </w:pPr>
            <w:r>
              <w:rPr>
                <w:b/>
                <w:sz w:val="17"/>
              </w:rPr>
              <w:t>Frontend Static Analysis</w:t>
            </w:r>
          </w:p>
        </w:tc>
        <w:tc>
          <w:tcPr>
            <w:tcW w:type="dxa" w:w="2304"/>
            <w:shd w:fill="F8FAFC"/>
            <w:tcMar>
              <w:top w:w="70" w:type="dxa"/>
              <w:bottom w:w="70" w:type="dxa"/>
              <w:left w:w="100" w:type="dxa"/>
              <w:right w:w="100" w:type="dxa"/>
            </w:tcMar>
            <w:tcBorders>
              <w:top w:val="single" w:sz="4" w:space="0" w:color="E2E8F0"/>
              <w:bottom w:val="single" w:sz="4" w:space="0" w:color="E2E8F0"/>
            </w:tcBorders>
          </w:tcPr>
          <w:p>
            <w:pPr>
              <w:spacing w:before="0" w:after="0"/>
            </w:pPr>
            <w:r>
              <w:rPr>
                <w:sz w:val="17"/>
              </w:rPr>
              <w:t>oxlint v1.69.0</w:t>
            </w:r>
          </w:p>
        </w:tc>
        <w:tc>
          <w:tcPr>
            <w:tcW w:type="dxa" w:w="3168"/>
            <w:shd w:fill="F8FAFC"/>
            <w:tcMar>
              <w:top w:w="70" w:type="dxa"/>
              <w:bottom w:w="70" w:type="dxa"/>
              <w:left w:w="100" w:type="dxa"/>
              <w:right w:w="100" w:type="dxa"/>
            </w:tcMar>
            <w:tcBorders>
              <w:top w:val="single" w:sz="4" w:space="0" w:color="E2E8F0"/>
              <w:bottom w:val="single" w:sz="4" w:space="0" w:color="E2E8F0"/>
            </w:tcBorders>
          </w:tcPr>
          <w:p>
            <w:pPr>
              <w:spacing w:before="0" w:after="0"/>
            </w:pPr>
            <w:r>
              <w:rPr>
                <w:sz w:val="17"/>
              </w:rPr>
              <w:t>34 files, 91 security and correctness rules executed across 12 threads</w:t>
            </w:r>
          </w:p>
        </w:tc>
        <w:tc>
          <w:tcPr>
            <w:tcW w:type="dxa" w:w="2016"/>
            <w:shd w:fill="F8FAFC"/>
            <w:tcMar>
              <w:top w:w="70" w:type="dxa"/>
              <w:bottom w:w="70" w:type="dxa"/>
              <w:left w:w="100" w:type="dxa"/>
              <w:right w:w="100" w:type="dxa"/>
            </w:tcMar>
            <w:tcBorders>
              <w:top w:val="single" w:sz="4" w:space="0" w:color="E2E8F0"/>
              <w:bottom w:val="single" w:sz="4" w:space="0" w:color="E2E8F0"/>
            </w:tcBorders>
          </w:tcPr>
          <w:p>
            <w:pPr>
              <w:spacing w:before="0" w:after="0"/>
            </w:pPr>
            <w:r>
              <w:rPr>
                <w:b/>
                <w:color w:val="16A34A"/>
                <w:sz w:val="17"/>
              </w:rPr>
              <w:t>0 ERRORS (53 non-blocking warnings)</w:t>
            </w:r>
          </w:p>
        </w:tc>
      </w:tr>
      <w:tr>
        <w:tc>
          <w:tcPr>
            <w:tcW w:type="dxa" w:w="2304"/>
            <w:shd w:fill="FFFFFF"/>
            <w:tcMar>
              <w:top w:w="70" w:type="dxa"/>
              <w:bottom w:w="70" w:type="dxa"/>
              <w:left w:w="100" w:type="dxa"/>
              <w:right w:w="100" w:type="dxa"/>
            </w:tcMar>
            <w:tcBorders>
              <w:top w:val="single" w:sz="4" w:space="0" w:color="E2E8F0"/>
              <w:bottom w:val="single" w:sz="4" w:space="0" w:color="E2E8F0"/>
            </w:tcBorders>
          </w:tcPr>
          <w:p>
            <w:pPr>
              <w:spacing w:before="0" w:after="0"/>
            </w:pPr>
            <w:r>
              <w:rPr>
                <w:b/>
                <w:sz w:val="17"/>
              </w:rPr>
              <w:t>Frontend Production Build</w:t>
            </w:r>
          </w:p>
        </w:tc>
        <w:tc>
          <w:tcPr>
            <w:tcW w:type="dxa" w:w="2304"/>
            <w:shd w:fill="FFFFFF"/>
            <w:tcMar>
              <w:top w:w="70" w:type="dxa"/>
              <w:bottom w:w="70" w:type="dxa"/>
              <w:left w:w="100" w:type="dxa"/>
              <w:right w:w="100" w:type="dxa"/>
            </w:tcMar>
            <w:tcBorders>
              <w:top w:val="single" w:sz="4" w:space="0" w:color="E2E8F0"/>
              <w:bottom w:val="single" w:sz="4" w:space="0" w:color="E2E8F0"/>
            </w:tcBorders>
          </w:tcPr>
          <w:p>
            <w:pPr>
              <w:spacing w:before="0" w:after="0"/>
            </w:pPr>
            <w:r>
              <w:rPr>
                <w:sz w:val="17"/>
              </w:rPr>
              <w:t>vite v8.1.0 / rollup client bundler</w:t>
            </w:r>
          </w:p>
        </w:tc>
        <w:tc>
          <w:tcPr>
            <w:tcW w:type="dxa" w:w="3168"/>
            <w:shd w:fill="FFFFFF"/>
            <w:tcMar>
              <w:top w:w="70" w:type="dxa"/>
              <w:bottom w:w="70" w:type="dxa"/>
              <w:left w:w="100" w:type="dxa"/>
              <w:right w:w="100" w:type="dxa"/>
            </w:tcMar>
            <w:tcBorders>
              <w:top w:val="single" w:sz="4" w:space="0" w:color="E2E8F0"/>
              <w:bottom w:val="single" w:sz="4" w:space="0" w:color="E2E8F0"/>
            </w:tcBorders>
          </w:tcPr>
          <w:p>
            <w:pPr>
              <w:spacing w:before="0" w:after="0"/>
            </w:pPr>
            <w:r>
              <w:rPr>
                <w:sz w:val="17"/>
              </w:rPr>
              <w:t>638 transformed modules, gzip compression, CSS/JS minification</w:t>
            </w:r>
          </w:p>
        </w:tc>
        <w:tc>
          <w:tcPr>
            <w:tcW w:type="dxa" w:w="2016"/>
            <w:shd w:fill="FFFFFF"/>
            <w:tcMar>
              <w:top w:w="70" w:type="dxa"/>
              <w:bottom w:w="70" w:type="dxa"/>
              <w:left w:w="100" w:type="dxa"/>
              <w:right w:w="100" w:type="dxa"/>
            </w:tcMar>
            <w:tcBorders>
              <w:top w:val="single" w:sz="4" w:space="0" w:color="E2E8F0"/>
              <w:bottom w:val="single" w:sz="4" w:space="0" w:color="E2E8F0"/>
            </w:tcBorders>
          </w:tcPr>
          <w:p>
            <w:pPr>
              <w:spacing w:before="0" w:after="0"/>
            </w:pPr>
            <w:r>
              <w:rPr>
                <w:b/>
                <w:color w:val="16A34A"/>
                <w:sz w:val="17"/>
              </w:rPr>
              <w:t>0 ERRORS (Clean build in 1.64s)</w:t>
            </w:r>
          </w:p>
        </w:tc>
      </w:tr>
      <w:tr>
        <w:tc>
          <w:tcPr>
            <w:tcW w:type="dxa" w:w="2304"/>
            <w:shd w:fill="F8FAFC"/>
            <w:tcMar>
              <w:top w:w="70" w:type="dxa"/>
              <w:bottom w:w="70" w:type="dxa"/>
              <w:left w:w="100" w:type="dxa"/>
              <w:right w:w="100" w:type="dxa"/>
            </w:tcMar>
            <w:tcBorders>
              <w:top w:val="single" w:sz="4" w:space="0" w:color="E2E8F0"/>
              <w:bottom w:val="single" w:sz="4" w:space="0" w:color="E2E8F0"/>
            </w:tcBorders>
          </w:tcPr>
          <w:p>
            <w:pPr>
              <w:spacing w:before="0" w:after="0"/>
            </w:pPr>
            <w:r>
              <w:rPr>
                <w:b/>
                <w:sz w:val="17"/>
              </w:rPr>
              <w:t>Database Engine Compatibility</w:t>
            </w:r>
          </w:p>
        </w:tc>
        <w:tc>
          <w:tcPr>
            <w:tcW w:type="dxa" w:w="2304"/>
            <w:shd w:fill="F8FAFC"/>
            <w:tcMar>
              <w:top w:w="70" w:type="dxa"/>
              <w:bottom w:w="70" w:type="dxa"/>
              <w:left w:w="100" w:type="dxa"/>
              <w:right w:w="100" w:type="dxa"/>
            </w:tcMar>
            <w:tcBorders>
              <w:top w:val="single" w:sz="4" w:space="0" w:color="E2E8F0"/>
              <w:bottom w:val="single" w:sz="4" w:space="0" w:color="E2E8F0"/>
            </w:tcBorders>
          </w:tcPr>
          <w:p>
            <w:pPr>
              <w:spacing w:before="0" w:after="0"/>
            </w:pPr>
            <w:r>
              <w:rPr>
                <w:sz w:val="17"/>
              </w:rPr>
              <w:t>SQLAlchemy 2.0.51 / PostgreSQL &amp; SQLite</w:t>
            </w:r>
          </w:p>
        </w:tc>
        <w:tc>
          <w:tcPr>
            <w:tcW w:type="dxa" w:w="3168"/>
            <w:shd w:fill="F8FAFC"/>
            <w:tcMar>
              <w:top w:w="70" w:type="dxa"/>
              <w:bottom w:w="70" w:type="dxa"/>
              <w:left w:w="100" w:type="dxa"/>
              <w:right w:w="100" w:type="dxa"/>
            </w:tcMar>
            <w:tcBorders>
              <w:top w:val="single" w:sz="4" w:space="0" w:color="E2E8F0"/>
              <w:bottom w:val="single" w:sz="4" w:space="0" w:color="E2E8F0"/>
            </w:tcBorders>
          </w:tcPr>
          <w:p>
            <w:pPr>
              <w:spacing w:before="0" w:after="0"/>
            </w:pPr>
            <w:r>
              <w:rPr>
                <w:sz w:val="17"/>
              </w:rPr>
              <w:t>Dynamic schema inspection, connection pooling, idempotent seeding</w:t>
            </w:r>
          </w:p>
        </w:tc>
        <w:tc>
          <w:tcPr>
            <w:tcW w:type="dxa" w:w="2016"/>
            <w:shd w:fill="F8FAFC"/>
            <w:tcMar>
              <w:top w:w="70" w:type="dxa"/>
              <w:bottom w:w="70" w:type="dxa"/>
              <w:left w:w="100" w:type="dxa"/>
              <w:right w:w="100" w:type="dxa"/>
            </w:tcMar>
            <w:tcBorders>
              <w:top w:val="single" w:sz="4" w:space="0" w:color="E2E8F0"/>
              <w:bottom w:val="single" w:sz="4" w:space="0" w:color="E2E8F0"/>
            </w:tcBorders>
          </w:tcPr>
          <w:p>
            <w:pPr>
              <w:spacing w:before="0" w:after="0"/>
            </w:pPr>
            <w:r>
              <w:rPr>
                <w:b/>
                <w:color w:val="16A34A"/>
                <w:sz w:val="17"/>
              </w:rPr>
              <w:t>PASSED (Dual-dialect verified)</w:t>
            </w:r>
          </w:p>
        </w:tc>
      </w:tr>
      <w:tr>
        <w:tc>
          <w:tcPr>
            <w:tcW w:type="dxa" w:w="2304"/>
            <w:shd w:fill="FFFFFF"/>
            <w:tcMar>
              <w:top w:w="70" w:type="dxa"/>
              <w:bottom w:w="70" w:type="dxa"/>
              <w:left w:w="100" w:type="dxa"/>
              <w:right w:w="100" w:type="dxa"/>
            </w:tcMar>
            <w:tcBorders>
              <w:top w:val="single" w:sz="4" w:space="0" w:color="E2E8F0"/>
              <w:bottom w:val="single" w:sz="4" w:space="0" w:color="E2E8F0"/>
            </w:tcBorders>
          </w:tcPr>
          <w:p>
            <w:pPr>
              <w:spacing w:before="0" w:after="0"/>
            </w:pPr>
            <w:r>
              <w:rPr>
                <w:b/>
                <w:sz w:val="17"/>
              </w:rPr>
              <w:t>Live GitHub Markdown Rendering</w:t>
            </w:r>
          </w:p>
        </w:tc>
        <w:tc>
          <w:tcPr>
            <w:tcW w:type="dxa" w:w="2304"/>
            <w:shd w:fill="FFFFFF"/>
            <w:tcMar>
              <w:top w:w="70" w:type="dxa"/>
              <w:bottom w:w="70" w:type="dxa"/>
              <w:left w:w="100" w:type="dxa"/>
              <w:right w:w="100" w:type="dxa"/>
            </w:tcMar>
            <w:tcBorders>
              <w:top w:val="single" w:sz="4" w:space="0" w:color="E2E8F0"/>
              <w:bottom w:val="single" w:sz="4" w:space="0" w:color="E2E8F0"/>
            </w:tcBorders>
          </w:tcPr>
          <w:p>
            <w:pPr>
              <w:spacing w:before="0" w:after="0"/>
            </w:pPr>
            <w:r>
              <w:rPr>
                <w:sz w:val="17"/>
              </w:rPr>
              <w:t>GitHub GFM / Mermaid Native Engine</w:t>
            </w:r>
          </w:p>
        </w:tc>
        <w:tc>
          <w:tcPr>
            <w:tcW w:type="dxa" w:w="3168"/>
            <w:shd w:fill="FFFFFF"/>
            <w:tcMar>
              <w:top w:w="70" w:type="dxa"/>
              <w:bottom w:w="70" w:type="dxa"/>
              <w:left w:w="100" w:type="dxa"/>
              <w:right w:w="100" w:type="dxa"/>
            </w:tcMar>
            <w:tcBorders>
              <w:top w:val="single" w:sz="4" w:space="0" w:color="E2E8F0"/>
              <w:bottom w:val="single" w:sz="4" w:space="0" w:color="E2E8F0"/>
            </w:tcBorders>
          </w:tcPr>
          <w:p>
            <w:pPr>
              <w:spacing w:before="0" w:after="0"/>
            </w:pPr>
            <w:r>
              <w:rPr>
                <w:sz w:val="17"/>
              </w:rPr>
              <w:t>Live repository inspection at https://github.com/Vaishnav53/SentinelAI</w:t>
            </w:r>
          </w:p>
        </w:tc>
        <w:tc>
          <w:tcPr>
            <w:tcW w:type="dxa" w:w="2016"/>
            <w:shd w:fill="FFFFFF"/>
            <w:tcMar>
              <w:top w:w="70" w:type="dxa"/>
              <w:bottom w:w="70" w:type="dxa"/>
              <w:left w:w="100" w:type="dxa"/>
              <w:right w:w="100" w:type="dxa"/>
            </w:tcMar>
            <w:tcBorders>
              <w:top w:val="single" w:sz="4" w:space="0" w:color="E2E8F0"/>
              <w:bottom w:val="single" w:sz="4" w:space="0" w:color="E2E8F0"/>
            </w:tcBorders>
          </w:tcPr>
          <w:p>
            <w:pPr>
              <w:spacing w:before="0" w:after="0"/>
            </w:pPr>
            <w:r>
              <w:rPr>
                <w:b/>
                <w:color w:val="16A34A"/>
                <w:sz w:val="17"/>
              </w:rPr>
              <w:t>PASSED (Full interactive SVG active)</w:t>
            </w:r>
          </w:p>
        </w:tc>
      </w:tr>
    </w:tbl>
    <w:p>
      <w:pPr>
        <w:spacing w:after="200"/>
      </w:pPr>
    </w:p>
    <w:p>
      <w:pPr>
        <w:spacing w:before="280" w:after="80"/>
      </w:pPr>
      <w:r>
        <w:rPr>
          <w:rFonts w:ascii="Segoe UI" w:hAnsi="Segoe UI"/>
          <w:b/>
          <w:color w:val="0F172A"/>
          <w:sz w:val="28"/>
        </w:rPr>
        <w:t>8. Preventive Engineering Measures</w:t>
      </w:r>
    </w:p>
    <w:p>
      <w:pPr>
        <w:spacing w:after="120" w:line="276" w:lineRule="auto"/>
      </w:pPr>
      <w:r>
        <w:t>To prevent recurrence of similar defects throughout ongoing lifecycle maintenance, the following proactive engineering controls have been institutionalized across the SentinelAI repository:</w:t>
      </w:r>
    </w:p>
    <w:p>
      <w:pPr>
        <w:spacing w:after="60"/>
        <w:ind w:left="288"/>
      </w:pPr>
      <w:r>
        <w:rPr>
          <w:b/>
          <w:sz w:val="19"/>
        </w:rPr>
        <w:t xml:space="preserve">• Automated Pre-Commit Regression Testing: </w:t>
      </w:r>
      <w:r>
        <w:rPr>
          <w:color w:val="475569"/>
          <w:sz w:val="19"/>
        </w:rPr>
        <w:t>All backend test suites (51 items) are executed prior to release tagging to prevent regressions in authentication, correlation, and WAF rules.</w:t>
      </w:r>
    </w:p>
    <w:p>
      <w:pPr>
        <w:spacing w:after="60"/>
        <w:ind w:left="288"/>
      </w:pPr>
      <w:r>
        <w:rPr>
          <w:b/>
          <w:sz w:val="19"/>
        </w:rPr>
        <w:t xml:space="preserve">• Strict Async / Synchronous Thread Isolation: </w:t>
      </w:r>
      <w:r>
        <w:rPr>
          <w:color w:val="475569"/>
          <w:sz w:val="19"/>
        </w:rPr>
        <w:t>All blocking I/O (disk reads, database queries, PDF generation) must be dispatched via asyncio.to_thread() or separate background Celery/thread pools.</w:t>
      </w:r>
    </w:p>
    <w:p>
      <w:pPr>
        <w:spacing w:after="60"/>
        <w:ind w:left="288"/>
      </w:pPr>
      <w:r>
        <w:rPr>
          <w:b/>
          <w:sz w:val="19"/>
        </w:rPr>
        <w:t xml:space="preserve">• Defensive Markdown &amp; Diagram Syntax Auditing: </w:t>
      </w:r>
      <w:r>
        <w:rPr>
          <w:color w:val="475569"/>
          <w:sz w:val="19"/>
        </w:rPr>
        <w:t>All documentation diagrams must be validated against headless Mermaid parser CLI tools before committing to ensure GitHub and GitLab rich-display compatibility.</w:t>
      </w:r>
    </w:p>
    <w:p>
      <w:pPr>
        <w:spacing w:after="60"/>
        <w:ind w:left="288"/>
      </w:pPr>
      <w:r>
        <w:rPr>
          <w:b/>
          <w:sz w:val="19"/>
        </w:rPr>
        <w:t xml:space="preserve">• Idempotent Database Migrations with SQLAlchemy Reflection: </w:t>
      </w:r>
      <w:r>
        <w:rPr>
          <w:color w:val="475569"/>
          <w:sz w:val="19"/>
        </w:rPr>
        <w:t>Table columns must be checked via sqlalchemy.inspect(engine) before executing ALTER TABLE operations to support dual-dialect development safely.</w:t>
      </w:r>
    </w:p>
    <w:p>
      <w:pPr>
        <w:spacing w:after="60"/>
        <w:ind w:left="288"/>
      </w:pPr>
      <w:r>
        <w:rPr>
          <w:b/>
          <w:sz w:val="19"/>
        </w:rPr>
        <w:t xml:space="preserve">• Centralized Transport Resolution Utilities: </w:t>
      </w:r>
      <w:r>
        <w:rPr>
          <w:color w:val="475569"/>
          <w:sz w:val="19"/>
        </w:rPr>
        <w:t>Client connections must use unified resolution utilities (e.g. wsUtils.js) that enforce secure HTTPS/WSS protocols and guard against mixed-content blocking.</w:t>
      </w:r>
    </w:p>
    <w:p>
      <w:pPr>
        <w:spacing w:after="60"/>
        <w:ind w:left="288"/>
      </w:pPr>
      <w:r>
        <w:rPr>
          <w:b/>
          <w:sz w:val="19"/>
        </w:rPr>
        <w:t xml:space="preserve">• Discrete Liveness and Readiness Probes: </w:t>
      </w:r>
      <w:r>
        <w:rPr>
          <w:color w:val="475569"/>
          <w:sz w:val="19"/>
        </w:rPr>
        <w:t>Every containerized microservice must publish distinct /health (liveness) and /ready (database dependency validation) endpoints to protect load balancers.</w:t>
      </w:r>
    </w:p>
    <w:p>
      <w:pPr>
        <w:spacing w:after="200"/>
      </w:pPr>
    </w:p>
    <w:p>
      <w:pPr>
        <w:spacing w:before="280" w:after="80"/>
      </w:pPr>
      <w:r>
        <w:rPr>
          <w:rFonts w:ascii="Segoe UI" w:hAnsi="Segoe UI"/>
          <w:b/>
          <w:color w:val="0F172A"/>
          <w:sz w:val="28"/>
        </w:rPr>
        <w:t>9. Final Quality Assessment &amp; Project Readiness</w:t>
      </w:r>
    </w:p>
    <w:p>
      <w:pPr>
        <w:spacing w:after="120" w:line="276" w:lineRule="auto"/>
      </w:pPr>
      <w:r>
        <w:t>Based on systematic repository inspection, automated test suite results, frontend compilation metrics, and live GitHub rendering verification, the SentinelAI platform demonstrates a high level of software maturity, architectural integrity, and operational reliability. All 10 documented defects (SAI-001 through SAI-010) have been thoroughly remediated with verified commits on branch main. The remaining architectural limitations (such as single-replica in-memory WebSocket state and unprivileged honeypot port bindings) represent conscious, well-documented engineering scope boundaries rather than defects.</w:t>
      </w:r>
    </w:p>
    <w:p>
      <w:pPr>
        <w:spacing w:after="200" w:line="276" w:lineRule="auto"/>
      </w:pPr>
      <w:r>
        <w:t xml:space="preserve">SentinelAI is officially assessed as </w:t>
      </w:r>
      <w:r>
        <w:rPr>
          <w:b/>
          <w:color w:val="16A34A"/>
        </w:rPr>
        <w:t>PRODUCTION &amp; DEMONSTRATION READY (v0.1.0-RC1)</w:t>
      </w:r>
      <w:r>
        <w:t xml:space="preserve"> for academic project evaluation, B.Tech final-year viva defense, and open-source cybersecurity portfolio presentation.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Segoe UI" w:hAnsi="Segoe UI"/>
        <w:color w:val="94A3B8"/>
        <w:sz w:val="16"/>
      </w:rPr>
      <w:t>Repository: Vaishnav53/SentinelAI  |  Branch: main (Commit 54d85b8)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SentinelAI — Software Bug, Defect &amp; Quality Verification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