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F172A"/>
          <w:sz w:val="36"/>
        </w:rPr>
        <w:t>VoxShield AI: An Explainable AI-Driven Autonomous Real-Time Scam Call Detection and Threat Mitigation System</w:t>
      </w:r>
    </w:p>
    <w:p>
      <w:pPr>
        <w:spacing w:after="40"/>
        <w:jc w:val="center"/>
      </w:pPr>
      <w:r>
        <w:rPr>
          <w:b/>
          <w:color w:val="1E3A8A"/>
          <w:sz w:val="24"/>
        </w:rPr>
        <w:t>Vaishnavi Trivedi</w:t>
      </w:r>
    </w:p>
    <w:p>
      <w:pPr>
        <w:spacing w:after="280"/>
        <w:jc w:val="center"/>
      </w:pPr>
      <w:r>
        <w:rPr>
          <w:i/>
          <w:color w:val="475569"/>
          <w:sz w:val="20"/>
        </w:rPr>
        <w:t>Department of Computer Science and Engineering (Cybersecurity)</w:t>
        <w:br/>
        <w:t>G.H. Raisoni College of Engineering (GHRCE), Nagpur, Maharashtra, India</w:t>
        <w:br/>
        <w:t>Email: vaishnavitrivedi7823@gmail.com</w:t>
      </w:r>
    </w:p>
    <w:p>
      <w:pPr>
        <w:spacing w:before="80" w:after="160"/>
        <w:pBdr>
          <w:bottom w:val="single" w:sz="6" w:space="1" w:color="cbd5e1"/>
        </w:pBdr>
      </w:pPr>
    </w:p>
    <w:tbl>
      <w:tblPr>
        <w:tblW w:type="auto" w:w="0"/>
        <w:jc w:val="center"/>
        <w:tblLook w:firstColumn="1" w:firstRow="1" w:lastColumn="0" w:lastRow="0" w:noHBand="0" w:noVBand="1" w:val="04A0"/>
      </w:tblPr>
      <w:tblGrid>
        <w:gridCol w:w="10080"/>
      </w:tblGrid>
      <w:tr>
        <w:tc>
          <w:tcPr>
            <w:tcW w:type="dxa" w:w="10080"/>
            <w:tcMar>
              <w:top w:w="140" w:type="dxa"/>
              <w:bottom w:w="140" w:type="dxa"/>
              <w:left w:w="180" w:type="dxa"/>
              <w:right w:w="180" w:type="dxa"/>
            </w:tcMar>
            <w:shd w:fill="F8FAFC"/>
          </w:tcPr>
          <w:p>
            <w:pPr>
              <w:spacing w:line="276" w:lineRule="auto" w:after="120"/>
              <w:jc w:val="both"/>
            </w:pPr>
            <w:r>
              <w:rPr>
                <w:b/>
                <w:sz w:val="20"/>
              </w:rPr>
              <w:t>Abstract—</w:t>
            </w:r>
            <w:r>
              <w:rPr>
                <w:sz w:val="19"/>
              </w:rPr>
              <w:t>Telephonic fraud and voice phishing (vishing) have escalated into critical cybersecurity threats, causing billions of dollars in annual global losses. Conventional defense paradigms, including static caller-ID blacklists and reputation databases, are readily circumvented via Voice over IP (VoIP) spoofing, rotating SIM pools, and short-lived virtual numbers. Furthermore, post-call forensic tools fail to protect victims during active social engineering coercion, where rapid unauthorized financial transfers occur within minutes. To address this fundamental limitation, this paper introduces VoxShield AI, an autonomous, client-edge, explainable system engineered for real-time conversational scam detection during active telephone calls. Operating via non-intrusive acoustic capture, the system transcribes ongoing speech through localized automatic speech recognition (ASR) tuned for English and Indian regional vernaculars (en-IN, hi-IN). The core threat engine executes a parallel dual-engine architecture comprising: (i) an ultra-low-latency (sub-5 ms) deterministic lexical analyzer targeting a weighted ontology of 95+ high-critical scam triggers, and (ii) a deep cognitive semantic reasoner leveraging the Google Gemini 1.5 Flash Large Language Model via structured JSON tool calling to detect psychological manipulation, authority impersonation, and pressure tactics. A latency-bounded watchdog circuit breaker and maximum-pooling arbitration operator fuse the outputs into an actionable risk metric (0–100) and tri-tier defense state (Safe, Suspicious, Critical). Experimental validation over diverse synthetic and real-world telephonic fraud datasets demonstrates that VoxShield AI achieves 85%–95% scam detection accuracy, bounded end-to-end response latency under 1.85 seconds, zero storage of raw acoustic audio, and robust explainability that empowers users with real-time defensive guidance.</w:t>
            </w:r>
          </w:p>
          <w:p>
            <w:pPr>
              <w:spacing w:before="80" w:after="0"/>
              <w:jc w:val="both"/>
            </w:pPr>
            <w:r>
              <w:rPr>
                <w:b/>
                <w:sz w:val="19"/>
              </w:rPr>
              <w:t>Index Terms—</w:t>
            </w:r>
            <w:r>
              <w:rPr>
                <w:i/>
                <w:sz w:val="19"/>
              </w:rPr>
              <w:t>Voice phishing (vishing), real-time conversational threat analysis, Explainable AI (XAI), Large Language Models, streaming speech recognition, maximum-pooling arbitration, zero-trust mobile defense, cyber fraud mitigation.</w:t>
            </w:r>
          </w:p>
        </w:tc>
      </w:tr>
    </w:tbl>
    <w:p>
      <w:pPr>
        <w:spacing w:before="160" w:after="0"/>
      </w:pPr>
    </w:p>
    <w:p>
      <w:pPr>
        <w:keepNext/>
        <w:spacing w:before="280" w:after="80"/>
      </w:pPr>
      <w:r>
        <w:rPr>
          <w:b/>
          <w:color w:val="0F172A"/>
          <w:sz w:val="24"/>
        </w:rPr>
        <w:t>I. INTRODUCTION</w:t>
      </w:r>
    </w:p>
    <w:p>
      <w:pPr>
        <w:spacing w:line="276" w:lineRule="auto" w:after="120"/>
        <w:jc w:val="both"/>
      </w:pPr>
      <w:r>
        <w:rPr>
          <w:sz w:val="20"/>
        </w:rPr>
        <w:t>Telecommunication infrastructure serves as the primary backbone for global digital commerce, banking, and citizen administration. However, this ubiquity has rendered telephone networks one of the most heavily exploited attack vectors for social engineering. Voice phishing, commonly referred to as 'vishing,' entails malicious threat actors systematically deceiving individuals into compromising confidential credentials, authorizing illicit funds transfers, or installing remote-access trojans. In emerging digital payment economies, particularly across India where instant unified payments (UPI) facilitate irreversible settlement within milliseconds, telephone-based fraud has inflicted catastrophic financial and psychological harm on millions of citizens annually.</w:t>
      </w:r>
    </w:p>
    <w:p>
      <w:pPr>
        <w:spacing w:line="276" w:lineRule="auto" w:after="120"/>
        <w:jc w:val="both"/>
      </w:pPr>
      <w:r>
        <w:rPr>
          <w:sz w:val="20"/>
        </w:rPr>
        <w:t>Historically, the defense ecosystem against spam and telemarketing calls has relied upon static, metadata-centric filtering mechanisms. Commercial applications such as Truecaller, Hiya, and telecom carrier registries maintain centralized repositories of reported spam phone numbers. While effective against unsophisticated mass telemarketers, these mechanisms exhibit near-total failure against modern, targeted cybercrime syndicates. Modern fraudsters exploit session initiation protocol (SIP) and VoIP gateways to dynamically spoof legitimate caller identification numbers (e.g., displaying the authentic helpline number of a major public sector bank, police station, or tax bureau). Furthermore, rapid cycling through burner SIM cards and virtual numbers ensures that malicious calls bypass caller-ID blacklists with zero historical threat attribution.</w:t>
      </w:r>
    </w:p>
    <w:p>
      <w:pPr>
        <w:spacing w:line="276" w:lineRule="auto" w:after="120"/>
        <w:jc w:val="both"/>
      </w:pPr>
      <w:r>
        <w:rPr>
          <w:sz w:val="20"/>
        </w:rPr>
        <w:t>Consequently, security researchers and law enforcement agencies have recognized that call metadata alone is structurally insufficient for threat mitigation. The critical discriminating signal of a fraudulent communication resides within the semantic and conversational content of the call itself. When a threat actor initiates a call, they inevitably execute defined psychological scripts—establishing synthetic authority (e.g., claiming to represent the Central Bureau of Investigation or State Police), fabricating high-consequence urgency (e.g., imminent digital arrest or bank account freezing), and demanding private authentication tokens (such as One-Time Passwords, UPI PINs, or remote screen-sharing permissions).</w:t>
      </w:r>
    </w:p>
    <w:p>
      <w:pPr>
        <w:keepNext/>
        <w:spacing w:before="200" w:after="60"/>
      </w:pPr>
      <w:r>
        <w:rPr>
          <w:b/>
          <w:i/>
          <w:color w:val="1E3A8A"/>
          <w:sz w:val="22"/>
        </w:rPr>
        <w:t>A. Limitations of Existing Countermeasures</w:t>
      </w:r>
    </w:p>
    <w:p>
      <w:pPr>
        <w:spacing w:line="276" w:lineRule="auto" w:after="120"/>
        <w:jc w:val="both"/>
      </w:pPr>
      <w:r>
        <w:rPr>
          <w:sz w:val="20"/>
        </w:rPr>
        <w:t>Contemporary efforts to inspect call content encounter three major operational bottlenecks: (1) Latency: Post-call recording and cloud audio analysis evaluate conversations after the session terminates, providing forensic value but failing to prevent real-time financial exfiltration; (2) Computational and Battery Constraints: Deploying deep multi-layer neural networks locally on edge mobile devices causes severe processor throttling, thermal elevation, and rapid battery depletion; and (3) Opaque Classification: Black-box machine learning classifiers emit binary 'spam' labels without providing explainable justification, eroding user trust and failing to educate the subscriber on the specific deception vectors deployed against them.</w:t>
      </w:r>
    </w:p>
    <w:p>
      <w:pPr>
        <w:keepNext/>
        <w:spacing w:before="200" w:after="60"/>
      </w:pPr>
      <w:r>
        <w:rPr>
          <w:b/>
          <w:i/>
          <w:color w:val="1E3A8A"/>
          <w:sz w:val="22"/>
        </w:rPr>
        <w:t>B. Technical Contributions of VoxShield AI</w:t>
      </w:r>
    </w:p>
    <w:p>
      <w:pPr>
        <w:spacing w:line="276" w:lineRule="auto" w:after="120"/>
        <w:jc w:val="both"/>
      </w:pPr>
      <w:r>
        <w:rPr>
          <w:sz w:val="20"/>
        </w:rPr>
        <w:t>To overcome these fundamental challenges, this paper presents VoxShield AI, an autonomous, client-edge, explainable scam detection system designed for real-time operation during active voice calls. The core technical contributions of this research are summarized as follows:</w:t>
      </w:r>
    </w:p>
    <w:p>
      <w:pPr>
        <w:spacing w:line="276" w:lineRule="auto" w:after="120"/>
        <w:jc w:val="both"/>
      </w:pPr>
      <w:r>
        <w:rPr>
          <w:sz w:val="20"/>
        </w:rPr>
        <w:t>1) Streaming Dual-Engine Hybrid Architecture: We develop an asynchronous pipeline combining an ultra-fast (sub-5 ms) deterministic lexical heuristic engine with a cognitive Large Language Model (Google Gemini 1.5 Flash) invoked via strict structured JSON tool calling.</w:t>
      </w:r>
    </w:p>
    <w:p>
      <w:pPr>
        <w:spacing w:line="276" w:lineRule="auto" w:after="120"/>
        <w:jc w:val="both"/>
      </w:pPr>
      <w:r>
        <w:rPr>
          <w:sz w:val="20"/>
        </w:rPr>
        <w:t>2) Maximum-Pooling Threat Arbitration &amp; Circuit Breaker: We formulate an arbitration model that guarantees zero false negatives on unambiguous critical attack tokens (e.g., OTP solicitation, AnyDesk APK downloads) while enforcing a 6000 ms watchdog timeout circuit breaker to ensure fault-tolerant operation during intermittent network degradation.</w:t>
      </w:r>
    </w:p>
    <w:p>
      <w:pPr>
        <w:spacing w:line="276" w:lineRule="auto" w:after="120"/>
        <w:jc w:val="both"/>
      </w:pPr>
      <w:r>
        <w:rPr>
          <w:sz w:val="20"/>
        </w:rPr>
        <w:t>3) Multi-Dialect Vernacular Threat Lexicon: We design and benchmark a 95+ keyword scam ontology incorporating critical English, Hindi, and colloquial Hinglish deception markers tailored for emerging cybercrime scenarios (e.g., digital arrest pretexts, KYC suspension, electricity power cuts).</w:t>
      </w:r>
    </w:p>
    <w:p>
      <w:pPr>
        <w:spacing w:line="276" w:lineRule="auto" w:after="120"/>
        <w:jc w:val="both"/>
      </w:pPr>
      <w:r>
        <w:rPr>
          <w:sz w:val="20"/>
        </w:rPr>
        <w:t>4) Non-Blocking Client HUD &amp; Privacy Preservation: We construct an ambient Heads-Up Display (HUD) delivering live dynamic risk scores (0–100) and actionable defensive recommendations without disrupting active calls, governed by a strict zero-audio-retention policy.</w:t>
      </w:r>
    </w:p>
    <w:p>
      <w:pPr>
        <w:spacing w:before="200" w:after="80"/>
        <w:jc w:val="center"/>
      </w:pPr>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graphical_abstract.jpg"/>
                    <pic:cNvPicPr/>
                  </pic:nvPicPr>
                  <pic:blipFill>
                    <a:blip r:embed="rId9"/>
                    <a:stretch>
                      <a:fillRect/>
                    </a:stretch>
                  </pic:blipFill>
                  <pic:spPr>
                    <a:xfrm>
                      <a:off x="0" y="0"/>
                      <a:ext cx="5486400" cy="3062177"/>
                    </a:xfrm>
                    <a:prstGeom prst="rect"/>
                  </pic:spPr>
                </pic:pic>
              </a:graphicData>
            </a:graphic>
          </wp:inline>
        </w:drawing>
      </w:r>
    </w:p>
    <w:p>
      <w:pPr>
        <w:spacing w:after="240"/>
        <w:jc w:val="center"/>
      </w:pPr>
      <w:r>
        <w:rPr>
          <w:b/>
          <w:color w:val="0F172A"/>
          <w:sz w:val="19"/>
        </w:rPr>
        <w:t xml:space="preserve">Fig. 1. </w:t>
      </w:r>
      <w:r>
        <w:rPr>
          <w:i/>
          <w:color w:val="334155"/>
          <w:sz w:val="19"/>
        </w:rPr>
        <w:t>Conceptual illustration of VoxShield AI real-time in-call acoustic capture, streaming dual AI threat analysis, and ambient holographic shield HUD.</w:t>
      </w:r>
    </w:p>
    <w:p>
      <w:pPr>
        <w:keepNext/>
        <w:spacing w:before="280" w:after="80"/>
      </w:pPr>
      <w:r>
        <w:rPr>
          <w:b/>
          <w:color w:val="0F172A"/>
          <w:sz w:val="24"/>
        </w:rPr>
        <w:t>II. RELATED WORK</w:t>
      </w:r>
    </w:p>
    <w:p>
      <w:pPr>
        <w:spacing w:line="276" w:lineRule="auto" w:after="120"/>
        <w:jc w:val="both"/>
      </w:pPr>
      <w:r>
        <w:rPr>
          <w:sz w:val="20"/>
        </w:rPr>
        <w:t>The literature surrounding telecommunication fraud mitigation spans acoustic signal classification, speech-to-text natural language processing, and emerging large language model (LLM) architectures.</w:t>
      </w:r>
    </w:p>
    <w:p>
      <w:pPr>
        <w:keepNext/>
        <w:spacing w:before="200" w:after="60"/>
      </w:pPr>
      <w:r>
        <w:rPr>
          <w:b/>
          <w:i/>
          <w:color w:val="1E3A8A"/>
          <w:sz w:val="22"/>
        </w:rPr>
        <w:t>A. Acoustic and Call-Log Metadata Analysis</w:t>
      </w:r>
    </w:p>
    <w:p>
      <w:pPr>
        <w:spacing w:line="276" w:lineRule="auto" w:after="120"/>
        <w:jc w:val="both"/>
      </w:pPr>
      <w:r>
        <w:rPr>
          <w:sz w:val="20"/>
        </w:rPr>
        <w:t>Early research focused extensively on network call-detail records (CDRs) and acoustic telemetry. Dong et al. [21] analyzed caller frequency, call duration entropy, and network graph topology to cluster telemarketing rings. However, such graph-based methods require carrier-level telemetry spanning days or weeks, rendering them ineffective for instantaneous protection on personal subscriber devices. In parallel, acoustic feature extraction—examining Mel-Frequency Cepstral Coefficients (MFCCs), background noise profiles, and fundamental pitch variations—was investigated by Naidu [2] and Wang et al. [19]. While acoustic analysis can occasionally detect synthesized robotic voices, modern human-driven vishing scams utilize normal conversational speech cadence, causing purely acoustic classifiers to exhibit unacceptably high error rates.</w:t>
      </w:r>
    </w:p>
    <w:p>
      <w:pPr>
        <w:keepNext/>
        <w:spacing w:before="200" w:after="60"/>
      </w:pPr>
      <w:r>
        <w:rPr>
          <w:b/>
          <w:i/>
          <w:color w:val="1E3A8A"/>
          <w:sz w:val="22"/>
        </w:rPr>
        <w:t>B. Natural Language Processing on Call Transcripts</w:t>
      </w:r>
    </w:p>
    <w:p>
      <w:pPr>
        <w:spacing w:line="276" w:lineRule="auto" w:after="120"/>
        <w:jc w:val="both"/>
      </w:pPr>
      <w:r>
        <w:rPr>
          <w:sz w:val="20"/>
        </w:rPr>
        <w:t>Recognizing the primacy of lexical content, researchers shifted focus toward transcript-based text classification. Initial experiments deployed classical machine learning algorithms, including Naïve Bayes [4], Support Vector Machines (SVM) [23], and Logistic Regression. While computationally lightweight, these classical models operate under the bag-of-words assumption, completely discarding sequential syntactic context and conversational nuance. Scammers frequently bypass simple keyword filters by employing polite, disarming conversational phrasing before springing urgent financial demands.</w:t>
      </w:r>
    </w:p>
    <w:p>
      <w:pPr>
        <w:spacing w:line="276" w:lineRule="auto" w:after="120"/>
        <w:jc w:val="both"/>
      </w:pPr>
      <w:r>
        <w:rPr>
          <w:sz w:val="20"/>
        </w:rPr>
        <w:t>The introduction of Transformer-based language representations, notably BERT [16] and DistilBERT [37], significantly enhanced intent detection. Lee and Kim [28] implemented mobile-optimized intent classifiers for fraud detection on smartphones. However, fine-tuned discriminative transformers struggle to generalize across zero-day social engineering narratives without requiring extensive re-training on newly gathered fraud corpora.</w:t>
      </w:r>
    </w:p>
    <w:p>
      <w:pPr>
        <w:keepNext/>
        <w:spacing w:before="200" w:after="60"/>
      </w:pPr>
      <w:r>
        <w:rPr>
          <w:b/>
          <w:i/>
          <w:color w:val="1E3A8A"/>
          <w:sz w:val="22"/>
        </w:rPr>
        <w:t>C. Large Language Models and Real-Time Reasoning</w:t>
      </w:r>
    </w:p>
    <w:p>
      <w:pPr>
        <w:spacing w:line="276" w:lineRule="auto" w:after="120"/>
        <w:jc w:val="both"/>
      </w:pPr>
      <w:r>
        <w:rPr>
          <w:sz w:val="20"/>
        </w:rPr>
        <w:t>The emergence of instruction-tuned Large Language Models, such as the GPT family [24] and Google Gemini [1], has revolutionized automated semantic reasoning. Recent preliminary studies [7]–[9] demonstrate that LLMs possess sophisticated zero-shot reasoning capabilities, allowing them to detect subtle social engineering vectors, emotional coercion, and contradictory authority claims without manual feature engineering. However, deploying multi-billion parameter LLMs directly on resource-constrained smartphones introduces prohibitive computational latency (often exceeding 5–10 seconds) and battery exhaustion. VoxShield AI addresses this critical trade-off through a decoupled hybrid architecture, executing lightweight lexical matching directly at the edge while streaming segmented conversational tokens to a cloud-based LLM engine bounded by strict timeout watchdogs.</w:t>
      </w:r>
    </w:p>
    <w:p>
      <w:pPr>
        <w:keepNext/>
        <w:spacing w:before="280" w:after="80"/>
      </w:pPr>
      <w:r>
        <w:rPr>
          <w:b/>
          <w:color w:val="0F172A"/>
          <w:sz w:val="24"/>
        </w:rPr>
        <w:t>III. PROPOSED VOXSHIELD AI ARCHITECTURE</w:t>
      </w:r>
    </w:p>
    <w:p>
      <w:pPr>
        <w:spacing w:line="276" w:lineRule="auto" w:after="120"/>
        <w:jc w:val="both"/>
      </w:pPr>
      <w:r>
        <w:rPr>
          <w:sz w:val="20"/>
        </w:rPr>
        <w:t>The architectural design of VoxShield AI is engineered around three non-negotiable operational principles: (1) Real-time Responsiveness: Threat indicators must be evaluated within a 2-second moving window; (2) Robust Fault Tolerance: Network packet loss or API delays must never incapacitate client-side monitoring; and (3) Zero-Trust Privacy: Raw voice recordings must never be permanently retained or stored on disk.</w:t>
      </w:r>
    </w:p>
    <w:p>
      <w:pPr>
        <w:spacing w:line="276" w:lineRule="auto" w:after="120"/>
        <w:jc w:val="both"/>
      </w:pPr>
      <w:r>
        <w:rPr>
          <w:sz w:val="20"/>
        </w:rPr>
        <w:t>As illustrated in Fig. 2, the end-to-end processing pipeline comprises four primary structural tiers: (i) Acoustic Ingestion &amp; Streaming ASR Layer, (ii) Dual-Engine Hybrid Analysis Pipeline, (iii) Threat Arbitration &amp; Decision Core, and (iv) Real-Time Telemetry HUD &amp; Cloud Persistence.</w:t>
      </w:r>
    </w:p>
    <w:p>
      <w:pPr>
        <w:spacing w:before="200" w:after="80"/>
        <w:jc w:val="center"/>
      </w:pPr>
      <w:r>
        <w:drawing>
          <wp:inline xmlns:a="http://schemas.openxmlformats.org/drawingml/2006/main" xmlns:pic="http://schemas.openxmlformats.org/drawingml/2006/picture">
            <wp:extent cx="5852160" cy="3902327"/>
            <wp:docPr id="2" name="Picture 2"/>
            <wp:cNvGraphicFramePr>
              <a:graphicFrameLocks noChangeAspect="1"/>
            </wp:cNvGraphicFramePr>
            <a:graphic>
              <a:graphicData uri="http://schemas.openxmlformats.org/drawingml/2006/picture">
                <pic:pic>
                  <pic:nvPicPr>
                    <pic:cNvPr id="0" name="figure1_system_architecture.png"/>
                    <pic:cNvPicPr/>
                  </pic:nvPicPr>
                  <pic:blipFill>
                    <a:blip r:embed="rId10"/>
                    <a:stretch>
                      <a:fillRect/>
                    </a:stretch>
                  </pic:blipFill>
                  <pic:spPr>
                    <a:xfrm>
                      <a:off x="0" y="0"/>
                      <a:ext cx="5852160" cy="3902327"/>
                    </a:xfrm>
                    <a:prstGeom prst="rect"/>
                  </pic:spPr>
                </pic:pic>
              </a:graphicData>
            </a:graphic>
          </wp:inline>
        </w:drawing>
      </w:r>
    </w:p>
    <w:p>
      <w:pPr>
        <w:spacing w:after="240"/>
        <w:jc w:val="center"/>
      </w:pPr>
      <w:r>
        <w:rPr>
          <w:b/>
          <w:color w:val="0F172A"/>
          <w:sz w:val="19"/>
        </w:rPr>
        <w:t xml:space="preserve">Fig. 2. </w:t>
      </w:r>
      <w:r>
        <w:rPr>
          <w:i/>
          <w:color w:val="334155"/>
          <w:sz w:val="19"/>
        </w:rPr>
        <w:t>End-to-End System Architecture of VoxShield AI, illustrating streaming ASR ingestion, parallel dual-engine lexical and LLM semantic evaluation, watchdog circuit-breaker, and live HUD telemetry.</w:t>
      </w:r>
    </w:p>
    <w:p>
      <w:pPr>
        <w:keepNext/>
        <w:spacing w:before="200" w:after="60"/>
      </w:pPr>
      <w:r>
        <w:rPr>
          <w:b/>
          <w:i/>
          <w:color w:val="1E3A8A"/>
          <w:sz w:val="22"/>
        </w:rPr>
        <w:t>A. Tier 1: Real-Time Audio Capture &amp; Streaming ASR</w:t>
      </w:r>
    </w:p>
    <w:p>
      <w:pPr>
        <w:spacing w:line="276" w:lineRule="auto" w:after="120"/>
        <w:jc w:val="both"/>
      </w:pPr>
      <w:r>
        <w:rPr>
          <w:sz w:val="20"/>
        </w:rPr>
        <w:t>During an active incoming or outgoing voice call, the user operates the device in speakerphone mode or utilizes an approved system accessibility audio routing bridge. The client-side application captures the ambient audio stream via the standard Web Audio API at a 16 kHz sampling rate. Audio frames are piped into the browser's native Web Speech Recognition engine (SpeechRecognition / webkitSpeechRecognition).</w:t>
      </w:r>
    </w:p>
    <w:p>
      <w:pPr>
        <w:spacing w:line="276" w:lineRule="auto" w:after="120"/>
        <w:jc w:val="both"/>
      </w:pPr>
      <w:r>
        <w:rPr>
          <w:sz w:val="20"/>
        </w:rPr>
        <w:t>The ASR engine operates in continuous streaming mode (continuous = true, interimResults = true) targeting localized acoustic models: en-IN (Indian English) and hi-IN (Hindi). The engine yields continuous interim token streams that are collected in an adaptive sliding temporal window buffer. To prevent extraneous network overhead during conversational pauses, tokens are buffered until a minimum length threshold (|T| &gt;= 3 characters) is satisfied. The accumulated text segment T is sanitized, stripped of non-printable control characters, and schema-validated using Zod prior to dispatch.</w:t>
      </w:r>
    </w:p>
    <w:p>
      <w:pPr>
        <w:keepNext/>
        <w:spacing w:before="200" w:after="60"/>
      </w:pPr>
      <w:r>
        <w:rPr>
          <w:b/>
          <w:i/>
          <w:color w:val="1E3A8A"/>
          <w:sz w:val="22"/>
        </w:rPr>
        <w:t>B. Tier 2: Dual-Engine Hybrid Scam Analysis Pipeline</w:t>
      </w:r>
    </w:p>
    <w:p>
      <w:pPr>
        <w:spacing w:line="276" w:lineRule="auto" w:after="120"/>
        <w:jc w:val="both"/>
      </w:pPr>
      <w:r>
        <w:rPr>
          <w:sz w:val="20"/>
        </w:rPr>
        <w:t>Rather than relying solely on a cloud LLM or a static keyword filter, VoxShield AI forks the sanitized transcript T simultaneously into two complementary, asynchronous analysis branches:</w:t>
      </w:r>
    </w:p>
    <w:p>
      <w:pPr>
        <w:spacing w:line="276" w:lineRule="auto" w:after="120"/>
        <w:jc w:val="both"/>
      </w:pPr>
      <w:r>
        <w:rPr>
          <w:sz w:val="20"/>
        </w:rPr>
        <w:t>1) Branch A: Deterministic Rule-Based Heuristic Matcher: Executing entirely client-side or within a local server worker, this engine matches the transcript against a heavily weighted lexicon of 95+ known fraud markers. Each matched keyword contributes a predefined threat weight. The engine executes in under 5 milliseconds with zero network latency, providing an instantaneous baseline defense against direct, explicit scams (e.g., callers explicitly soliciting OTPs, CVVs, or AnyDesk installations).</w:t>
      </w:r>
    </w:p>
    <w:p>
      <w:pPr>
        <w:spacing w:line="276" w:lineRule="auto" w:after="120"/>
        <w:jc w:val="both"/>
      </w:pPr>
      <w:r>
        <w:rPr>
          <w:sz w:val="20"/>
        </w:rPr>
        <w:t>2) Branch B: Cognitive LLM Semantic Reasoner: Concurrently, the transcript T is dispatched via the Lovable AI Gateway to Google Gemini 1.5 Flash. The prompt instructs the model to act as an adversarial fraud analyst, evaluating seven multidimensional risk facets: (i) credential harvesting, (ii) artificial urgency, (iii) authority impersonation, (iv) lottery/prize promises, (v) irregular payment conduits, (vi) remote desktop access, and (vii) coercive legal threats. Gemini emits a structured JSON response via strict function tool-calling schema (analyze_transcript).</w:t>
      </w:r>
    </w:p>
    <w:p>
      <w:pPr>
        <w:keepNext/>
        <w:spacing w:before="200" w:after="60"/>
      </w:pPr>
      <w:r>
        <w:rPr>
          <w:b/>
          <w:i/>
          <w:color w:val="1E3A8A"/>
          <w:sz w:val="22"/>
        </w:rPr>
        <w:t>C. Tier 3: Threat Arbitration &amp; Circuit Breaker Core</w:t>
      </w:r>
    </w:p>
    <w:p>
      <w:pPr>
        <w:spacing w:line="276" w:lineRule="auto" w:after="120"/>
        <w:jc w:val="both"/>
      </w:pPr>
      <w:r>
        <w:rPr>
          <w:sz w:val="20"/>
        </w:rPr>
        <w:t>To guarantee uninterrupted protection, an asynchronous watchdog monitors Branch B with a hard deadline of tau = 6000 ms. If the LLM call succeeds within this bound, the system extracts the structured risk score, category, forensic reason, and prescriptive suggestion. If the network stalls, times out, or fails, a fault-tolerant circuit breaker intercepts the exception and seamlessly assigns the heuristic rule score as the fallback value, setting an internal aiUnavailable flag without interrupting the user's ongoing call session.</w:t>
      </w:r>
    </w:p>
    <w:p>
      <w:pPr>
        <w:spacing w:before="200" w:after="80"/>
        <w:jc w:val="center"/>
      </w:pPr>
      <w:r>
        <w:drawing>
          <wp:inline xmlns:a="http://schemas.openxmlformats.org/drawingml/2006/main" xmlns:pic="http://schemas.openxmlformats.org/drawingml/2006/picture">
            <wp:extent cx="5303520" cy="6099048"/>
            <wp:docPr id="3" name="Picture 3"/>
            <wp:cNvGraphicFramePr>
              <a:graphicFrameLocks noChangeAspect="1"/>
            </wp:cNvGraphicFramePr>
            <a:graphic>
              <a:graphicData uri="http://schemas.openxmlformats.org/drawingml/2006/picture">
                <pic:pic>
                  <pic:nvPicPr>
                    <pic:cNvPr id="0" name="figure2_detection_workflow.png"/>
                    <pic:cNvPicPr/>
                  </pic:nvPicPr>
                  <pic:blipFill>
                    <a:blip r:embed="rId11"/>
                    <a:stretch>
                      <a:fillRect/>
                    </a:stretch>
                  </pic:blipFill>
                  <pic:spPr>
                    <a:xfrm>
                      <a:off x="0" y="0"/>
                      <a:ext cx="5303520" cy="6099048"/>
                    </a:xfrm>
                    <a:prstGeom prst="rect"/>
                  </pic:spPr>
                </pic:pic>
              </a:graphicData>
            </a:graphic>
          </wp:inline>
        </w:drawing>
      </w:r>
    </w:p>
    <w:p>
      <w:pPr>
        <w:spacing w:after="240"/>
        <w:jc w:val="center"/>
      </w:pPr>
      <w:r>
        <w:rPr>
          <w:b/>
          <w:color w:val="0F172A"/>
          <w:sz w:val="19"/>
        </w:rPr>
        <w:t xml:space="preserve">Fig. 3. </w:t>
      </w:r>
      <w:r>
        <w:rPr>
          <w:i/>
          <w:color w:val="334155"/>
          <w:sz w:val="19"/>
        </w:rPr>
        <w:t>Real-time call monitoring execution workflow and decision state machine in VoxShield AI, showing the continuous stream loop, circuit-breaker fallback, and tri-tier threshold routing.</w:t>
      </w:r>
    </w:p>
    <w:p>
      <w:pPr>
        <w:keepNext/>
        <w:spacing w:before="200" w:after="60"/>
      </w:pPr>
      <w:r>
        <w:rPr>
          <w:b/>
          <w:i/>
          <w:color w:val="1E3A8A"/>
          <w:sz w:val="22"/>
        </w:rPr>
        <w:t>D. Tier 4: Live Threat HUD &amp; Cloud Telemetry</w:t>
      </w:r>
    </w:p>
    <w:p>
      <w:pPr>
        <w:spacing w:line="276" w:lineRule="auto" w:after="120"/>
        <w:jc w:val="both"/>
      </w:pPr>
      <w:r>
        <w:rPr>
          <w:sz w:val="20"/>
        </w:rPr>
        <w:t>The client application renders a non-blocking, ambient Heads-Up Display featuring a dynamic radial risk gauge (0–100) powered by smooth mathematical interpolation. The HUD maps the composite threat score to tri-tier security states: (1) Safe (0–39): Normal conversation, green HUD indicator; (2) Suspicious (40–70): Amber warning banner advising caller verification; and (3) Critical Danger (&gt;70): Red alert banner, haptic vibration, and immediate 'Hang Up Call' recommendation. Concurrently, session telemetry is asynchronously logged to a Supabase PostgreSQL database for threat intelligence audit trails.</w:t>
      </w:r>
    </w:p>
    <w:p>
      <w:pPr>
        <w:keepNext/>
        <w:spacing w:before="280" w:after="80"/>
      </w:pPr>
      <w:r>
        <w:rPr>
          <w:b/>
          <w:color w:val="0F172A"/>
          <w:sz w:val="24"/>
        </w:rPr>
        <w:t>IV. MATHEMATICAL FORMULATION &amp; RISK ARBITRATION</w:t>
      </w:r>
    </w:p>
    <w:p>
      <w:pPr>
        <w:spacing w:line="276" w:lineRule="auto" w:after="120"/>
        <w:jc w:val="both"/>
      </w:pPr>
      <w:r>
        <w:rPr>
          <w:sz w:val="20"/>
        </w:rPr>
        <w:t>To provide rigorous algorithmic transparency, the threat determination mechanism in VoxShield AI is formalized mathematically.</w:t>
      </w:r>
    </w:p>
    <w:p>
      <w:pPr>
        <w:keepNext/>
        <w:spacing w:before="200" w:after="60"/>
      </w:pPr>
      <w:r>
        <w:rPr>
          <w:b/>
          <w:i/>
          <w:color w:val="1E3A8A"/>
          <w:sz w:val="22"/>
        </w:rPr>
        <w:t>A. Lexical Heuristic Scoring Formulation</w:t>
      </w:r>
    </w:p>
    <w:p>
      <w:pPr>
        <w:spacing w:line="276" w:lineRule="auto" w:after="120"/>
        <w:jc w:val="both"/>
      </w:pPr>
      <w:r>
        <w:rPr>
          <w:sz w:val="20"/>
        </w:rPr>
        <w:t>Let the fraud lexicon be represented as an ordered set of tuples D = {(k_i, w_i, c_i)}_{i=1}^M, where k_i denotes the target keyword or phrase, w_i in [25, 85] represents its empirically tuned risk weight, and c_i in C denotes the associated scam taxonomy category. For any normalized transcript segment T, the subset of detected keywords M(T) is defined as:</w:t>
      </w:r>
    </w:p>
    <w:p>
      <w:pPr>
        <w:spacing w:line="276" w:lineRule="auto" w:after="120"/>
        <w:jc w:val="both"/>
      </w:pPr>
      <w:r>
        <w:rPr>
          <w:sz w:val="20"/>
        </w:rPr>
        <w:t>M(T) = { (k_i, w_i, c_i) in D | k_i is a substring of lowercase(T) }</w:t>
      </w:r>
    </w:p>
    <w:p>
      <w:pPr>
        <w:spacing w:line="276" w:lineRule="auto" w:after="120"/>
        <w:jc w:val="both"/>
      </w:pPr>
      <w:r>
        <w:rPr>
          <w:sz w:val="20"/>
        </w:rPr>
        <w:t>The deterministic heuristic risk score S_rule(T) in [0, 100] is obtained by accumulating weights subject to an upper saturation bound:</w:t>
      </w:r>
    </w:p>
    <w:p>
      <w:pPr>
        <w:spacing w:line="276" w:lineRule="auto" w:after="120"/>
        <w:jc w:val="both"/>
      </w:pPr>
      <w:r>
        <w:rPr>
          <w:sz w:val="20"/>
        </w:rPr>
        <w:t>S_rule(T) = min( 100,  sum_{(k_i, w_i, c_i) in M(T)} w_i )     (1)</w:t>
      </w:r>
    </w:p>
    <w:p>
      <w:pPr>
        <w:spacing w:line="276" w:lineRule="auto" w:after="120"/>
        <w:jc w:val="both"/>
      </w:pPr>
      <w:r>
        <w:rPr>
          <w:sz w:val="20"/>
        </w:rPr>
        <w:t>The primary heuristic category C_rule(T) is determined via weighted argmax voting:</w:t>
      </w:r>
    </w:p>
    <w:p>
      <w:pPr>
        <w:spacing w:line="276" w:lineRule="auto" w:after="120"/>
        <w:jc w:val="both"/>
      </w:pPr>
      <w:r>
        <w:rPr>
          <w:sz w:val="20"/>
        </w:rPr>
        <w:t>C_rule(T) = argmax_{c in C} sum_{(k_i, w_i, c_i) in M(T), c_i = c} w_i     (2)</w:t>
      </w:r>
    </w:p>
    <w:p>
      <w:pPr>
        <w:keepNext/>
        <w:spacing w:before="200" w:after="60"/>
      </w:pPr>
      <w:r>
        <w:rPr>
          <w:b/>
          <w:i/>
          <w:color w:val="1E3A8A"/>
          <w:sz w:val="22"/>
        </w:rPr>
        <w:t>B. Cognitive LLM Semantic Formulation</w:t>
      </w:r>
    </w:p>
    <w:p>
      <w:pPr>
        <w:spacing w:line="276" w:lineRule="auto" w:after="120"/>
        <w:jc w:val="both"/>
      </w:pPr>
      <w:r>
        <w:rPr>
          <w:sz w:val="20"/>
        </w:rPr>
        <w:t>Let P(T) represent the standardized system directive conditioning the generative model. The LLM acts as an inference mapping M_LLM parameterized by weights Theta, producing a four-element tuple:</w:t>
      </w:r>
    </w:p>
    <w:p>
      <w:pPr>
        <w:spacing w:line="276" w:lineRule="auto" w:after="120"/>
        <w:jc w:val="both"/>
      </w:pPr>
      <w:r>
        <w:rPr>
          <w:sz w:val="20"/>
        </w:rPr>
        <w:t>&lt; S_AI, C_AI, R_AI, G_AI &gt; = M_LLM( P(T), Theta )     (3)</w:t>
      </w:r>
    </w:p>
    <w:p>
      <w:pPr>
        <w:spacing w:line="276" w:lineRule="auto" w:after="120"/>
        <w:jc w:val="both"/>
      </w:pPr>
      <w:r>
        <w:rPr>
          <w:sz w:val="20"/>
        </w:rPr>
        <w:t>where S_AI in [0, 100] is the continuous semantic risk score, C_AI is the contextual category classification, R_AI is the natural language forensic explanation, and G_AI is the prescriptive mitigation guidance.</w:t>
      </w:r>
    </w:p>
    <w:p>
      <w:pPr>
        <w:keepNext/>
        <w:spacing w:before="200" w:after="60"/>
      </w:pPr>
      <w:r>
        <w:rPr>
          <w:b/>
          <w:i/>
          <w:color w:val="1E3A8A"/>
          <w:sz w:val="22"/>
        </w:rPr>
        <w:t>C. Latency Watchdog &amp; Maximum-Pooling Fusion</w:t>
      </w:r>
    </w:p>
    <w:p>
      <w:pPr>
        <w:spacing w:line="276" w:lineRule="auto" w:after="120"/>
        <w:jc w:val="both"/>
      </w:pPr>
      <w:r>
        <w:rPr>
          <w:sz w:val="20"/>
        </w:rPr>
        <w:t>Let Delta_t denote the round-trip network and inference latency. The validated semantic score S_AI* is governed by the circuit breaker:</w:t>
      </w:r>
    </w:p>
    <w:p>
      <w:pPr>
        <w:spacing w:line="276" w:lineRule="auto" w:after="120"/>
        <w:jc w:val="both"/>
      </w:pPr>
      <w:r>
        <w:rPr>
          <w:sz w:val="20"/>
        </w:rPr>
        <w:t>S_AI* = S_AI if (Delta_t &lt;= 6000 ms and status == SUCCESS) else S_rule     (4)</w:t>
      </w:r>
    </w:p>
    <w:p>
      <w:pPr>
        <w:spacing w:line="276" w:lineRule="auto" w:after="120"/>
        <w:jc w:val="both"/>
      </w:pPr>
      <w:r>
        <w:rPr>
          <w:sz w:val="20"/>
        </w:rPr>
        <w:t>To eliminate false negatives on unambiguous high-critical threats (where a scammer explicitly demands an OTP or screen share), VoxShield AI implements a Maximum-Pooling Fusion Operator:</w:t>
      </w:r>
    </w:p>
    <w:p>
      <w:pPr>
        <w:spacing w:line="276" w:lineRule="auto" w:after="120"/>
        <w:jc w:val="both"/>
      </w:pPr>
      <w:r>
        <w:rPr>
          <w:sz w:val="20"/>
        </w:rPr>
        <w:t>S_final = max( S_rule, S_AI* )     (5)</w:t>
      </w:r>
    </w:p>
    <w:p>
      <w:pPr>
        <w:spacing w:line="276" w:lineRule="auto" w:after="120"/>
        <w:jc w:val="both"/>
      </w:pPr>
      <w:r>
        <w:rPr>
          <w:sz w:val="20"/>
        </w:rPr>
        <w:t>Category reconciliation assigns primacy to the heuristic category when rule evidence equals or exceeds LLM risk, ensuring deterministic classification on hard triggers:</w:t>
      </w:r>
    </w:p>
    <w:p>
      <w:pPr>
        <w:spacing w:line="276" w:lineRule="auto" w:after="120"/>
        <w:jc w:val="both"/>
      </w:pPr>
      <w:r>
        <w:rPr>
          <w:sz w:val="20"/>
        </w:rPr>
        <w:t>C_final = C_rule if (S_rule &gt;= S_AI*) else C_AI     (6)</w:t>
      </w:r>
    </w:p>
    <w:p>
      <w:pPr>
        <w:spacing w:before="200" w:after="80"/>
        <w:jc w:val="center"/>
      </w:pPr>
      <w:r>
        <w:drawing>
          <wp:inline xmlns:a="http://schemas.openxmlformats.org/drawingml/2006/main" xmlns:pic="http://schemas.openxmlformats.org/drawingml/2006/picture">
            <wp:extent cx="5669280" cy="3504646"/>
            <wp:docPr id="4" name="Picture 4"/>
            <wp:cNvGraphicFramePr>
              <a:graphicFrameLocks noChangeAspect="1"/>
            </wp:cNvGraphicFramePr>
            <a:graphic>
              <a:graphicData uri="http://schemas.openxmlformats.org/drawingml/2006/picture">
                <pic:pic>
                  <pic:nvPicPr>
                    <pic:cNvPr id="0" name="figure3_hybrid_scoring_pipeline.png"/>
                    <pic:cNvPicPr/>
                  </pic:nvPicPr>
                  <pic:blipFill>
                    <a:blip r:embed="rId12"/>
                    <a:stretch>
                      <a:fillRect/>
                    </a:stretch>
                  </pic:blipFill>
                  <pic:spPr>
                    <a:xfrm>
                      <a:off x="0" y="0"/>
                      <a:ext cx="5669280" cy="3504646"/>
                    </a:xfrm>
                    <a:prstGeom prst="rect"/>
                  </pic:spPr>
                </pic:pic>
              </a:graphicData>
            </a:graphic>
          </wp:inline>
        </w:drawing>
      </w:r>
    </w:p>
    <w:p>
      <w:pPr>
        <w:spacing w:after="240"/>
        <w:jc w:val="center"/>
      </w:pPr>
      <w:r>
        <w:rPr>
          <w:b/>
          <w:color w:val="0F172A"/>
          <w:sz w:val="19"/>
        </w:rPr>
        <w:t xml:space="preserve">Fig. 4. </w:t>
      </w:r>
      <w:r>
        <w:rPr>
          <w:i/>
          <w:color w:val="334155"/>
          <w:sz w:val="19"/>
        </w:rPr>
        <w:t>Mathematical pipeline of the hybrid risk assessment engine, detailing sub-5ms lexical matching, 6000ms LLM timeout fallback, and the Max-Pooling fusion operator S_final = max(S_rule, S_AI).</w:t>
      </w:r>
    </w:p>
    <w:p>
      <w:pPr>
        <w:keepNext/>
        <w:spacing w:before="160" w:after="40"/>
      </w:pPr>
      <w:r>
        <w:rPr>
          <w:b/>
          <w:color w:val="334155"/>
          <w:sz w:val="21"/>
        </w:rPr>
        <w:t>Algorithm 1: Real-Time Dual-Engine Scam Detection Algorithm</w:t>
      </w:r>
    </w:p>
    <w:p>
      <w:pPr>
        <w:spacing w:before="80" w:after="160"/>
        <w:ind w:left="360" w:right="360"/>
      </w:pPr>
      <w:r>
        <w:rPr>
          <w:rFonts w:ascii="Consolas" w:hAnsi="Consolas"/>
          <w:color w:val="1E293B"/>
          <w:sz w:val="17"/>
        </w:rPr>
        <w:t>Input: Continuous Audio Stream A, Fraud Lexicon D, Timeout Threshold tau = 6000 ms</w:t>
        <w:br/>
        <w:t>Output: Final Risk Metric S_final, Category C_final, Active Mitigation Action U</w:t>
        <w:br/>
        <w:t>1:  Initialize ASR_Engine &lt;- WebSpeech(lang in {en-IN, hi-IN})</w:t>
        <w:br/>
        <w:t>2:  Initialize Buffer B &lt;- empty</w:t>
        <w:br/>
        <w:t>3:  while Call_Status == ACTIVE do</w:t>
        <w:br/>
        <w:t>4:      audio_frame &lt;- CaptureStream(A)</w:t>
        <w:br/>
        <w:t>5:      tokens &lt;- ASR_Engine.transcribe(audio_frame)</w:t>
        <w:br/>
        <w:t>6:      B &lt;- B union tokens</w:t>
        <w:br/>
        <w:t>7:      if length(B) &gt;= 3 characters then</w:t>
        <w:br/>
        <w:t>8:          T &lt;- SanitizeAndValidate(B)</w:t>
        <w:br/>
        <w:t>9:          // Parallel Branch A: Deterministic Heuristic Evaluation</w:t>
        <w:br/>
        <w:t>10:         M(T) &lt;- { (k, w, c) in D | k is substring of lowercase(T) }</w:t>
        <w:br/>
        <w:t>11:         S_rule &lt;- min(100, sum w_i)</w:t>
        <w:br/>
        <w:t>12:         C_rule &lt;- argmax_c sum_{c_i = c} w_i</w:t>
        <w:br/>
        <w:t>13:         // Parallel Branch B: LLM Semantic Evaluation with Watchdog</w:t>
        <w:br/>
        <w:t>14:         try within tau:</w:t>
        <w:br/>
        <w:t>15:             &lt; S_AI, C_AI, R_AI, G_AI &gt; &lt;- Gemini_Flash(T)</w:t>
        <w:br/>
        <w:t>16:         catch TimeoutException or NetworkException:</w:t>
        <w:br/>
        <w:t>17:             S_AI &lt;- S_rule; C_AI &lt;- C_rule; R_AI &lt;- 'AI timeout fallback'</w:t>
        <w:br/>
        <w:t>18:         // Threat Fusion and Arbitration</w:t>
        <w:br/>
        <w:t>19:         S_final &lt;- max(S_rule, S_AI)</w:t>
        <w:br/>
        <w:t>20:         C_final &lt;- (S_rule &gt;= S_AI) ? C_rule : C_AI</w:t>
        <w:br/>
        <w:t>21:         // Tri-Tier Action Mapping</w:t>
        <w:br/>
        <w:t>22:         if S_final &gt; 70 then U &lt;- TriggerRedAlert('High Scam Threat: Terminate Call!')</w:t>
        <w:br/>
        <w:t>23:         else if S_final &gt;= 40 then U &lt;- TriggerWarning('Suspicious: Verify Caller Identity')</w:t>
        <w:br/>
        <w:t>24:         else U &lt;- DisplaySafe('Routine Dialogue Active')</w:t>
        <w:br/>
        <w:t>25:         AsyncCommit(SupabaseDB, T, S_final, C_final, U, Timestamp())</w:t>
        <w:br/>
        <w:t>26:     end if</w:t>
        <w:br/>
        <w:t>27: end while</w:t>
        <w:br/>
        <w:t>28: return PostCallSummary(max_t S_final^(t))</w:t>
      </w:r>
    </w:p>
    <w:p>
      <w:pPr>
        <w:keepNext/>
        <w:spacing w:before="280" w:after="80"/>
      </w:pPr>
      <w:r>
        <w:rPr>
          <w:b/>
          <w:color w:val="0F172A"/>
          <w:sz w:val="24"/>
        </w:rPr>
        <w:t>V. SCAM THREAT TAXONOMY &amp; COGNITIVE VECTORS</w:t>
      </w:r>
    </w:p>
    <w:p>
      <w:pPr>
        <w:spacing w:line="276" w:lineRule="auto" w:after="120"/>
        <w:jc w:val="both"/>
      </w:pPr>
      <w:r>
        <w:rPr>
          <w:sz w:val="20"/>
        </w:rPr>
        <w:t>To systematically model social engineering deception, VoxShield AI implements an eight-class threat ontology reflecting prevailing cybercrime methodologies observed in real-world telecommunication forensic investigations.</w:t>
      </w:r>
    </w:p>
    <w:p>
      <w:pPr>
        <w:spacing w:before="200" w:after="80"/>
        <w:jc w:val="center"/>
      </w:pPr>
      <w:r>
        <w:drawing>
          <wp:inline xmlns:a="http://schemas.openxmlformats.org/drawingml/2006/main" xmlns:pic="http://schemas.openxmlformats.org/drawingml/2006/picture">
            <wp:extent cx="5852160" cy="3830505"/>
            <wp:docPr id="5" name="Picture 5"/>
            <wp:cNvGraphicFramePr>
              <a:graphicFrameLocks noChangeAspect="1"/>
            </wp:cNvGraphicFramePr>
            <a:graphic>
              <a:graphicData uri="http://schemas.openxmlformats.org/drawingml/2006/picture">
                <pic:pic>
                  <pic:nvPicPr>
                    <pic:cNvPr id="0" name="figure4_scam_threat_taxonomy.png"/>
                    <pic:cNvPicPr/>
                  </pic:nvPicPr>
                  <pic:blipFill>
                    <a:blip r:embed="rId13"/>
                    <a:stretch>
                      <a:fillRect/>
                    </a:stretch>
                  </pic:blipFill>
                  <pic:spPr>
                    <a:xfrm>
                      <a:off x="0" y="0"/>
                      <a:ext cx="5852160" cy="3830505"/>
                    </a:xfrm>
                    <a:prstGeom prst="rect"/>
                  </pic:spPr>
                </pic:pic>
              </a:graphicData>
            </a:graphic>
          </wp:inline>
        </w:drawing>
      </w:r>
    </w:p>
    <w:p>
      <w:pPr>
        <w:spacing w:after="240"/>
        <w:jc w:val="center"/>
      </w:pPr>
      <w:r>
        <w:rPr>
          <w:b/>
          <w:color w:val="0F172A"/>
          <w:sz w:val="19"/>
        </w:rPr>
        <w:t xml:space="preserve">Fig. 5. </w:t>
      </w:r>
      <w:r>
        <w:rPr>
          <w:i/>
          <w:color w:val="334155"/>
          <w:sz w:val="19"/>
        </w:rPr>
        <w:t>Hierarchical taxonomy of phone scam threat vectors modeled in VoxShield AI, detailing lexical weights, psychological hallmarks, and regional Hinglish coercion indicators.</w:t>
      </w:r>
    </w:p>
    <w:p>
      <w:pPr>
        <w:keepNext/>
        <w:spacing w:before="200" w:after="60"/>
      </w:pPr>
      <w:r>
        <w:rPr>
          <w:b/>
          <w:i/>
          <w:color w:val="1E3A8A"/>
          <w:sz w:val="22"/>
        </w:rPr>
        <w:t>A. Taxonomy Classifications</w:t>
      </w:r>
    </w:p>
    <w:p>
      <w:pPr>
        <w:spacing w:line="276" w:lineRule="auto" w:after="120"/>
        <w:jc w:val="both"/>
      </w:pPr>
      <w:r>
        <w:rPr>
          <w:sz w:val="20"/>
        </w:rPr>
        <w:t>1) Credential Theft (Weights: 60–75): Targets immediate financial authorization credentials. Key signatures include 'OTP', 'CVV', 'UPI PIN', 'Net Banking Password'. Solicitation of these ephemeral authorization tokens triggers an immediate high-severity threat elevation.</w:t>
      </w:r>
    </w:p>
    <w:p>
      <w:pPr>
        <w:spacing w:line="276" w:lineRule="auto" w:after="120"/>
        <w:jc w:val="both"/>
      </w:pPr>
      <w:r>
        <w:rPr>
          <w:sz w:val="20"/>
        </w:rPr>
        <w:t>2) Tech Support &amp; Remote Access (Weights: 65–85): A rapidly growing threat vector wherein scammers coerce victims into installing remote desktop clients under the pretext of 'anti-virus security' or 'app update'. Key signatures: 'AnyDesk', 'TeamViewer', 'QuickSupport', 'Screen Share', 'Download APK'.</w:t>
      </w:r>
    </w:p>
    <w:p>
      <w:pPr>
        <w:spacing w:line="276" w:lineRule="auto" w:after="120"/>
        <w:jc w:val="both"/>
      </w:pPr>
      <w:r>
        <w:rPr>
          <w:sz w:val="20"/>
        </w:rPr>
        <w:t>3) Authority Impersonation (Weights: 50–85): Deploys synthetic authority pretexts, particularly the notorious 'Digital Arrest' scam in India. Attackers impersonate law enforcement personnel (Central Bureau of Investigation, Police Crime Branch, Narcotics Control Bureau, Customs) claiming illegal contraband was detected in a package sent under the victim's name. Signatures: 'CBI', 'Police', 'Arrest Warrant', 'Narcotics', 'Illegal Parcel', 'Court Case', 'Girftari'.</w:t>
      </w:r>
    </w:p>
    <w:p>
      <w:pPr>
        <w:spacing w:line="276" w:lineRule="auto" w:after="120"/>
        <w:jc w:val="both"/>
      </w:pPr>
      <w:r>
        <w:rPr>
          <w:sz w:val="20"/>
        </w:rPr>
        <w:t>4) Financial &amp; Utility Suspension (Weights: 40–70): Exploits panic by claiming essential household utilities or banking facilities will be terminated within minutes. Signatures: 'Account Blocked', 'Electricity Bill Cut', 'Bijli Kat', 'Wire Transfer', 'Paisa Bhejo'.</w:t>
      </w:r>
    </w:p>
    <w:p>
      <w:pPr>
        <w:spacing w:line="276" w:lineRule="auto" w:after="120"/>
        <w:jc w:val="both"/>
      </w:pPr>
      <w:r>
        <w:rPr>
          <w:sz w:val="20"/>
        </w:rPr>
        <w:t>5) Verification &amp; KYC Deception (Weights: 40–60): Manipulates regulatory compliance mandates to harvest identity documents. Signatures: 'KYC Expiry', 'SIM Block / SIM Band', 'Aadhaar Card Link', 'PAN Card Update'.</w:t>
      </w:r>
    </w:p>
    <w:p>
      <w:pPr>
        <w:spacing w:line="276" w:lineRule="auto" w:after="120"/>
        <w:jc w:val="both"/>
      </w:pPr>
      <w:r>
        <w:rPr>
          <w:sz w:val="20"/>
        </w:rPr>
        <w:t>6) Psychological Pressure &amp; Urgency Tactics (Weights: 25–40): Cognitive overload tactics designed to induce impulsive behavior before the victim consults trusted family or bank advisors. Signatures: 'Immediately', 'Within 10 minutes', 'Abhi ke abhi', 'Turant', 'Act fast'.</w:t>
      </w:r>
    </w:p>
    <w:p>
      <w:pPr>
        <w:spacing w:line="276" w:lineRule="auto" w:after="120"/>
        <w:jc w:val="both"/>
      </w:pPr>
      <w:r>
        <w:rPr>
          <w:sz w:val="20"/>
        </w:rPr>
        <w:t>7) Lottery &amp; Advance Fee Fraud (Weights: 50–75): Lures individuals with fictitious windfall gains demanding upfront 'tax' or 'registration fees'. Signatures: 'You have won lottery', 'KBC Lucky Draw', 'Inaam jeeta'.</w:t>
      </w:r>
    </w:p>
    <w:p>
      <w:pPr>
        <w:spacing w:line="276" w:lineRule="auto" w:after="120"/>
        <w:jc w:val="both"/>
      </w:pPr>
      <w:r>
        <w:rPr>
          <w:sz w:val="20"/>
        </w:rPr>
        <w:t>8) Safe / Benign Baseline (Score: 0–39): Normal interpersonal conversations devoid of coercive financial requests or authority threats, maintaining unobtrusive background operation.</w:t>
      </w:r>
    </w:p>
    <w:p>
      <w:pPr>
        <w:spacing w:before="160" w:after="80"/>
        <w:jc w:val="center"/>
      </w:pPr>
      <w:r>
        <w:rPr>
          <w:b/>
          <w:sz w:val="19"/>
        </w:rPr>
        <w:t>TABLE I: REPRESENTATIVE LEXICAL WEIGHTS IN VOXSHIELD SCAM TAXONOMY</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80" w:type="dxa"/>
              <w:bottom w:w="80" w:type="dxa"/>
              <w:left w:w="100" w:type="dxa"/>
              <w:right w:w="100" w:type="dxa"/>
            </w:tcMar>
            <w:shd w:fill="1E293B"/>
          </w:tcPr>
          <w:p>
            <w:pPr>
              <w:jc w:val="center"/>
            </w:pPr>
            <w:r>
              <w:rPr>
                <w:b/>
                <w:color w:val="FFFFFF"/>
                <w:sz w:val="18"/>
              </w:rPr>
              <w:t>Scam Category</w:t>
            </w:r>
          </w:p>
        </w:tc>
        <w:tc>
          <w:tcPr>
            <w:tcW w:type="dxa" w:w="2520"/>
            <w:tcMar>
              <w:top w:w="80" w:type="dxa"/>
              <w:bottom w:w="80" w:type="dxa"/>
              <w:left w:w="100" w:type="dxa"/>
              <w:right w:w="100" w:type="dxa"/>
            </w:tcMar>
            <w:shd w:fill="1E293B"/>
          </w:tcPr>
          <w:p>
            <w:pPr>
              <w:jc w:val="center"/>
            </w:pPr>
            <w:r>
              <w:rPr>
                <w:b/>
                <w:color w:val="FFFFFF"/>
                <w:sz w:val="18"/>
              </w:rPr>
              <w:t>Sample Lexical Triggers</w:t>
            </w:r>
          </w:p>
        </w:tc>
        <w:tc>
          <w:tcPr>
            <w:tcW w:type="dxa" w:w="2520"/>
            <w:tcMar>
              <w:top w:w="80" w:type="dxa"/>
              <w:bottom w:w="80" w:type="dxa"/>
              <w:left w:w="100" w:type="dxa"/>
              <w:right w:w="100" w:type="dxa"/>
            </w:tcMar>
            <w:shd w:fill="1E293B"/>
          </w:tcPr>
          <w:p>
            <w:pPr>
              <w:jc w:val="center"/>
            </w:pPr>
            <w:r>
              <w:rPr>
                <w:b/>
                <w:color w:val="FFFFFF"/>
                <w:sz w:val="18"/>
              </w:rPr>
              <w:t>Weight (w_i)</w:t>
            </w:r>
          </w:p>
        </w:tc>
        <w:tc>
          <w:tcPr>
            <w:tcW w:type="dxa" w:w="2520"/>
            <w:tcMar>
              <w:top w:w="80" w:type="dxa"/>
              <w:bottom w:w="80" w:type="dxa"/>
              <w:left w:w="100" w:type="dxa"/>
              <w:right w:w="100" w:type="dxa"/>
            </w:tcMar>
            <w:shd w:fill="1E293B"/>
          </w:tcPr>
          <w:p>
            <w:pPr>
              <w:jc w:val="center"/>
            </w:pPr>
            <w:r>
              <w:rPr>
                <w:b/>
                <w:color w:val="FFFFFF"/>
                <w:sz w:val="18"/>
              </w:rPr>
              <w:t>Threat Severity</w:t>
            </w:r>
          </w:p>
        </w:tc>
      </w:tr>
      <w:tr>
        <w:tc>
          <w:tcPr>
            <w:tcW w:type="dxa" w:w="2520"/>
            <w:tcMar>
              <w:top w:w="60" w:type="dxa"/>
              <w:bottom w:w="60" w:type="dxa"/>
              <w:left w:w="100" w:type="dxa"/>
              <w:right w:w="100" w:type="dxa"/>
            </w:tcMar>
            <w:shd w:fill="F8FAFC"/>
          </w:tcPr>
          <w:p>
            <w:pPr>
              <w:jc w:val="left"/>
            </w:pPr>
            <w:r>
              <w:rPr>
                <w:sz w:val="17"/>
              </w:rPr>
              <w:t>Credential Theft</w:t>
            </w:r>
          </w:p>
        </w:tc>
        <w:tc>
          <w:tcPr>
            <w:tcW w:type="dxa" w:w="2520"/>
            <w:tcMar>
              <w:top w:w="60" w:type="dxa"/>
              <w:bottom w:w="60" w:type="dxa"/>
              <w:left w:w="100" w:type="dxa"/>
              <w:right w:w="100" w:type="dxa"/>
            </w:tcMar>
            <w:shd w:fill="F8FAFC"/>
          </w:tcPr>
          <w:p>
            <w:pPr>
              <w:jc w:val="left"/>
            </w:pPr>
            <w:r>
              <w:rPr>
                <w:sz w:val="17"/>
              </w:rPr>
              <w:t>OTP, CVV, UPI PIN, Password</w:t>
            </w:r>
          </w:p>
        </w:tc>
        <w:tc>
          <w:tcPr>
            <w:tcW w:type="dxa" w:w="2520"/>
            <w:tcMar>
              <w:top w:w="60" w:type="dxa"/>
              <w:bottom w:w="60" w:type="dxa"/>
              <w:left w:w="100" w:type="dxa"/>
              <w:right w:w="100" w:type="dxa"/>
            </w:tcMar>
            <w:shd w:fill="F8FAFC"/>
          </w:tcPr>
          <w:p>
            <w:pPr>
              <w:jc w:val="center"/>
            </w:pPr>
            <w:r>
              <w:rPr>
                <w:sz w:val="17"/>
              </w:rPr>
              <w:t>75</w:t>
            </w:r>
          </w:p>
        </w:tc>
        <w:tc>
          <w:tcPr>
            <w:tcW w:type="dxa" w:w="2520"/>
            <w:tcMar>
              <w:top w:w="60" w:type="dxa"/>
              <w:bottom w:w="60" w:type="dxa"/>
              <w:left w:w="100" w:type="dxa"/>
              <w:right w:w="100" w:type="dxa"/>
            </w:tcMar>
            <w:shd w:fill="F8FAFC"/>
          </w:tcPr>
          <w:p>
            <w:pPr>
              <w:jc w:val="center"/>
            </w:pPr>
            <w:r>
              <w:rPr>
                <w:sz w:val="17"/>
              </w:rPr>
              <w:t>Critical (Immediate)</w:t>
            </w:r>
          </w:p>
        </w:tc>
      </w:tr>
      <w:tr>
        <w:tc>
          <w:tcPr>
            <w:tcW w:type="dxa" w:w="2520"/>
            <w:tcMar>
              <w:top w:w="60" w:type="dxa"/>
              <w:bottom w:w="60" w:type="dxa"/>
              <w:left w:w="100" w:type="dxa"/>
              <w:right w:w="100" w:type="dxa"/>
            </w:tcMar>
            <w:shd w:fill="FFFFFF"/>
          </w:tcPr>
          <w:p>
            <w:pPr>
              <w:jc w:val="left"/>
            </w:pPr>
            <w:r>
              <w:rPr>
                <w:sz w:val="17"/>
              </w:rPr>
              <w:t>Tech Support Scam</w:t>
            </w:r>
          </w:p>
        </w:tc>
        <w:tc>
          <w:tcPr>
            <w:tcW w:type="dxa" w:w="2520"/>
            <w:tcMar>
              <w:top w:w="60" w:type="dxa"/>
              <w:bottom w:w="60" w:type="dxa"/>
              <w:left w:w="100" w:type="dxa"/>
              <w:right w:w="100" w:type="dxa"/>
            </w:tcMar>
            <w:shd w:fill="FFFFFF"/>
          </w:tcPr>
          <w:p>
            <w:pPr>
              <w:jc w:val="left"/>
            </w:pPr>
            <w:r>
              <w:rPr>
                <w:sz w:val="17"/>
              </w:rPr>
              <w:t>AnyDesk, TeamViewer, QuickSupport, APK</w:t>
            </w:r>
          </w:p>
        </w:tc>
        <w:tc>
          <w:tcPr>
            <w:tcW w:type="dxa" w:w="2520"/>
            <w:tcMar>
              <w:top w:w="60" w:type="dxa"/>
              <w:bottom w:w="60" w:type="dxa"/>
              <w:left w:w="100" w:type="dxa"/>
              <w:right w:w="100" w:type="dxa"/>
            </w:tcMar>
            <w:shd w:fill="FFFFFF"/>
          </w:tcPr>
          <w:p>
            <w:pPr>
              <w:jc w:val="center"/>
            </w:pPr>
            <w:r>
              <w:rPr>
                <w:sz w:val="17"/>
              </w:rPr>
              <w:t>85</w:t>
            </w:r>
          </w:p>
        </w:tc>
        <w:tc>
          <w:tcPr>
            <w:tcW w:type="dxa" w:w="2520"/>
            <w:tcMar>
              <w:top w:w="60" w:type="dxa"/>
              <w:bottom w:w="60" w:type="dxa"/>
              <w:left w:w="100" w:type="dxa"/>
              <w:right w:w="100" w:type="dxa"/>
            </w:tcMar>
            <w:shd w:fill="FFFFFF"/>
          </w:tcPr>
          <w:p>
            <w:pPr>
              <w:jc w:val="center"/>
            </w:pPr>
            <w:r>
              <w:rPr>
                <w:sz w:val="17"/>
              </w:rPr>
              <w:t>Critical (Device Takeover)</w:t>
            </w:r>
          </w:p>
        </w:tc>
      </w:tr>
      <w:tr>
        <w:tc>
          <w:tcPr>
            <w:tcW w:type="dxa" w:w="2520"/>
            <w:tcMar>
              <w:top w:w="60" w:type="dxa"/>
              <w:bottom w:w="60" w:type="dxa"/>
              <w:left w:w="100" w:type="dxa"/>
              <w:right w:w="100" w:type="dxa"/>
            </w:tcMar>
            <w:shd w:fill="F8FAFC"/>
          </w:tcPr>
          <w:p>
            <w:pPr>
              <w:jc w:val="left"/>
            </w:pPr>
            <w:r>
              <w:rPr>
                <w:sz w:val="17"/>
              </w:rPr>
              <w:t>Authority Impersonation</w:t>
            </w:r>
          </w:p>
        </w:tc>
        <w:tc>
          <w:tcPr>
            <w:tcW w:type="dxa" w:w="2520"/>
            <w:tcMar>
              <w:top w:w="60" w:type="dxa"/>
              <w:bottom w:w="60" w:type="dxa"/>
              <w:left w:w="100" w:type="dxa"/>
              <w:right w:w="100" w:type="dxa"/>
            </w:tcMar>
            <w:shd w:fill="F8FAFC"/>
          </w:tcPr>
          <w:p>
            <w:pPr>
              <w:jc w:val="left"/>
            </w:pPr>
            <w:r>
              <w:rPr>
                <w:sz w:val="17"/>
              </w:rPr>
              <w:t>CBI, Police, Arrest Warrant, Narcotics</w:t>
            </w:r>
          </w:p>
        </w:tc>
        <w:tc>
          <w:tcPr>
            <w:tcW w:type="dxa" w:w="2520"/>
            <w:tcMar>
              <w:top w:w="60" w:type="dxa"/>
              <w:bottom w:w="60" w:type="dxa"/>
              <w:left w:w="100" w:type="dxa"/>
              <w:right w:w="100" w:type="dxa"/>
            </w:tcMar>
            <w:shd w:fill="F8FAFC"/>
          </w:tcPr>
          <w:p>
            <w:pPr>
              <w:jc w:val="center"/>
            </w:pPr>
            <w:r>
              <w:rPr>
                <w:sz w:val="17"/>
              </w:rPr>
              <w:t>80 - 85</w:t>
            </w:r>
          </w:p>
        </w:tc>
        <w:tc>
          <w:tcPr>
            <w:tcW w:type="dxa" w:w="2520"/>
            <w:tcMar>
              <w:top w:w="60" w:type="dxa"/>
              <w:bottom w:w="60" w:type="dxa"/>
              <w:left w:w="100" w:type="dxa"/>
              <w:right w:w="100" w:type="dxa"/>
            </w:tcMar>
            <w:shd w:fill="F8FAFC"/>
          </w:tcPr>
          <w:p>
            <w:pPr>
              <w:jc w:val="center"/>
            </w:pPr>
            <w:r>
              <w:rPr>
                <w:sz w:val="17"/>
              </w:rPr>
              <w:t>High (Legal Coercion)</w:t>
            </w:r>
          </w:p>
        </w:tc>
      </w:tr>
      <w:tr>
        <w:tc>
          <w:tcPr>
            <w:tcW w:type="dxa" w:w="2520"/>
            <w:tcMar>
              <w:top w:w="60" w:type="dxa"/>
              <w:bottom w:w="60" w:type="dxa"/>
              <w:left w:w="100" w:type="dxa"/>
              <w:right w:w="100" w:type="dxa"/>
            </w:tcMar>
            <w:shd w:fill="FFFFFF"/>
          </w:tcPr>
          <w:p>
            <w:pPr>
              <w:jc w:val="left"/>
            </w:pPr>
            <w:r>
              <w:rPr>
                <w:sz w:val="17"/>
              </w:rPr>
              <w:t>Financial &amp; Utility</w:t>
            </w:r>
          </w:p>
        </w:tc>
        <w:tc>
          <w:tcPr>
            <w:tcW w:type="dxa" w:w="2520"/>
            <w:tcMar>
              <w:top w:w="60" w:type="dxa"/>
              <w:bottom w:w="60" w:type="dxa"/>
              <w:left w:w="100" w:type="dxa"/>
              <w:right w:w="100" w:type="dxa"/>
            </w:tcMar>
            <w:shd w:fill="FFFFFF"/>
          </w:tcPr>
          <w:p>
            <w:pPr>
              <w:jc w:val="left"/>
            </w:pPr>
            <w:r>
              <w:rPr>
                <w:sz w:val="17"/>
              </w:rPr>
              <w:t>Account Blocked, Electricity Bill Cut</w:t>
            </w:r>
          </w:p>
        </w:tc>
        <w:tc>
          <w:tcPr>
            <w:tcW w:type="dxa" w:w="2520"/>
            <w:tcMar>
              <w:top w:w="60" w:type="dxa"/>
              <w:bottom w:w="60" w:type="dxa"/>
              <w:left w:w="100" w:type="dxa"/>
              <w:right w:w="100" w:type="dxa"/>
            </w:tcMar>
            <w:shd w:fill="FFFFFF"/>
          </w:tcPr>
          <w:p>
            <w:pPr>
              <w:jc w:val="center"/>
            </w:pPr>
            <w:r>
              <w:rPr>
                <w:sz w:val="17"/>
              </w:rPr>
              <w:t>60 - 70</w:t>
            </w:r>
          </w:p>
        </w:tc>
        <w:tc>
          <w:tcPr>
            <w:tcW w:type="dxa" w:w="2520"/>
            <w:tcMar>
              <w:top w:w="60" w:type="dxa"/>
              <w:bottom w:w="60" w:type="dxa"/>
              <w:left w:w="100" w:type="dxa"/>
              <w:right w:w="100" w:type="dxa"/>
            </w:tcMar>
            <w:shd w:fill="FFFFFF"/>
          </w:tcPr>
          <w:p>
            <w:pPr>
              <w:jc w:val="center"/>
            </w:pPr>
            <w:r>
              <w:rPr>
                <w:sz w:val="17"/>
              </w:rPr>
              <w:t>High (Service Panic)</w:t>
            </w:r>
          </w:p>
        </w:tc>
      </w:tr>
      <w:tr>
        <w:tc>
          <w:tcPr>
            <w:tcW w:type="dxa" w:w="2520"/>
            <w:tcMar>
              <w:top w:w="60" w:type="dxa"/>
              <w:bottom w:w="60" w:type="dxa"/>
              <w:left w:w="100" w:type="dxa"/>
              <w:right w:w="100" w:type="dxa"/>
            </w:tcMar>
            <w:shd w:fill="F8FAFC"/>
          </w:tcPr>
          <w:p>
            <w:pPr>
              <w:jc w:val="left"/>
            </w:pPr>
            <w:r>
              <w:rPr>
                <w:sz w:val="17"/>
              </w:rPr>
              <w:t>Verification / KYC</w:t>
            </w:r>
          </w:p>
        </w:tc>
        <w:tc>
          <w:tcPr>
            <w:tcW w:type="dxa" w:w="2520"/>
            <w:tcMar>
              <w:top w:w="60" w:type="dxa"/>
              <w:bottom w:w="60" w:type="dxa"/>
              <w:left w:w="100" w:type="dxa"/>
              <w:right w:w="100" w:type="dxa"/>
            </w:tcMar>
            <w:shd w:fill="F8FAFC"/>
          </w:tcPr>
          <w:p>
            <w:pPr>
              <w:jc w:val="left"/>
            </w:pPr>
            <w:r>
              <w:rPr>
                <w:sz w:val="17"/>
              </w:rPr>
              <w:t>KYC Expiry, SIM Block, Aadhaar, PAN</w:t>
            </w:r>
          </w:p>
        </w:tc>
        <w:tc>
          <w:tcPr>
            <w:tcW w:type="dxa" w:w="2520"/>
            <w:tcMar>
              <w:top w:w="60" w:type="dxa"/>
              <w:bottom w:w="60" w:type="dxa"/>
              <w:left w:w="100" w:type="dxa"/>
              <w:right w:w="100" w:type="dxa"/>
            </w:tcMar>
            <w:shd w:fill="F8FAFC"/>
          </w:tcPr>
          <w:p>
            <w:pPr>
              <w:jc w:val="center"/>
            </w:pPr>
            <w:r>
              <w:rPr>
                <w:sz w:val="17"/>
              </w:rPr>
              <w:t>40 - 60</w:t>
            </w:r>
          </w:p>
        </w:tc>
        <w:tc>
          <w:tcPr>
            <w:tcW w:type="dxa" w:w="2520"/>
            <w:tcMar>
              <w:top w:w="60" w:type="dxa"/>
              <w:bottom w:w="60" w:type="dxa"/>
              <w:left w:w="100" w:type="dxa"/>
              <w:right w:w="100" w:type="dxa"/>
            </w:tcMar>
            <w:shd w:fill="F8FAFC"/>
          </w:tcPr>
          <w:p>
            <w:pPr>
              <w:jc w:val="center"/>
            </w:pPr>
            <w:r>
              <w:rPr>
                <w:sz w:val="17"/>
              </w:rPr>
              <w:t>Moderate (PII Harvest)</w:t>
            </w:r>
          </w:p>
        </w:tc>
      </w:tr>
      <w:tr>
        <w:tc>
          <w:tcPr>
            <w:tcW w:type="dxa" w:w="2520"/>
            <w:tcMar>
              <w:top w:w="60" w:type="dxa"/>
              <w:bottom w:w="60" w:type="dxa"/>
              <w:left w:w="100" w:type="dxa"/>
              <w:right w:w="100" w:type="dxa"/>
            </w:tcMar>
            <w:shd w:fill="FFFFFF"/>
          </w:tcPr>
          <w:p>
            <w:pPr>
              <w:jc w:val="left"/>
            </w:pPr>
            <w:r>
              <w:rPr>
                <w:sz w:val="17"/>
              </w:rPr>
              <w:t>Pressure Tactics</w:t>
            </w:r>
          </w:p>
        </w:tc>
        <w:tc>
          <w:tcPr>
            <w:tcW w:type="dxa" w:w="2520"/>
            <w:tcMar>
              <w:top w:w="60" w:type="dxa"/>
              <w:bottom w:w="60" w:type="dxa"/>
              <w:left w:w="100" w:type="dxa"/>
              <w:right w:w="100" w:type="dxa"/>
            </w:tcMar>
            <w:shd w:fill="FFFFFF"/>
          </w:tcPr>
          <w:p>
            <w:pPr>
              <w:jc w:val="left"/>
            </w:pPr>
            <w:r>
              <w:rPr>
                <w:sz w:val="17"/>
              </w:rPr>
              <w:t>Turant, Immediately, Within 10 mins</w:t>
            </w:r>
          </w:p>
        </w:tc>
        <w:tc>
          <w:tcPr>
            <w:tcW w:type="dxa" w:w="2520"/>
            <w:tcMar>
              <w:top w:w="60" w:type="dxa"/>
              <w:bottom w:w="60" w:type="dxa"/>
              <w:left w:w="100" w:type="dxa"/>
              <w:right w:w="100" w:type="dxa"/>
            </w:tcMar>
            <w:shd w:fill="FFFFFF"/>
          </w:tcPr>
          <w:p>
            <w:pPr>
              <w:jc w:val="center"/>
            </w:pPr>
            <w:r>
              <w:rPr>
                <w:sz w:val="17"/>
              </w:rPr>
              <w:t>30 - 40</w:t>
            </w:r>
          </w:p>
        </w:tc>
        <w:tc>
          <w:tcPr>
            <w:tcW w:type="dxa" w:w="2520"/>
            <w:tcMar>
              <w:top w:w="60" w:type="dxa"/>
              <w:bottom w:w="60" w:type="dxa"/>
              <w:left w:w="100" w:type="dxa"/>
              <w:right w:w="100" w:type="dxa"/>
            </w:tcMar>
            <w:shd w:fill="FFFFFF"/>
          </w:tcPr>
          <w:p>
            <w:pPr>
              <w:jc w:val="center"/>
            </w:pPr>
            <w:r>
              <w:rPr>
                <w:sz w:val="17"/>
              </w:rPr>
              <w:t>Modifier (Urgency)</w:t>
            </w:r>
          </w:p>
        </w:tc>
      </w:tr>
      <w:tr>
        <w:tc>
          <w:tcPr>
            <w:tcW w:type="dxa" w:w="2520"/>
            <w:tcMar>
              <w:top w:w="60" w:type="dxa"/>
              <w:bottom w:w="60" w:type="dxa"/>
              <w:left w:w="100" w:type="dxa"/>
              <w:right w:w="100" w:type="dxa"/>
            </w:tcMar>
            <w:shd w:fill="F8FAFC"/>
          </w:tcPr>
          <w:p>
            <w:pPr>
              <w:jc w:val="left"/>
            </w:pPr>
            <w:r>
              <w:rPr>
                <w:sz w:val="17"/>
              </w:rPr>
              <w:t>Lottery / Prize</w:t>
            </w:r>
          </w:p>
        </w:tc>
        <w:tc>
          <w:tcPr>
            <w:tcW w:type="dxa" w:w="2520"/>
            <w:tcMar>
              <w:top w:w="60" w:type="dxa"/>
              <w:bottom w:w="60" w:type="dxa"/>
              <w:left w:w="100" w:type="dxa"/>
              <w:right w:w="100" w:type="dxa"/>
            </w:tcMar>
            <w:shd w:fill="F8FAFC"/>
          </w:tcPr>
          <w:p>
            <w:pPr>
              <w:jc w:val="left"/>
            </w:pPr>
            <w:r>
              <w:rPr>
                <w:sz w:val="17"/>
              </w:rPr>
              <w:t>KBC Lucky Draw, Lottery, Inaam</w:t>
            </w:r>
          </w:p>
        </w:tc>
        <w:tc>
          <w:tcPr>
            <w:tcW w:type="dxa" w:w="2520"/>
            <w:tcMar>
              <w:top w:w="60" w:type="dxa"/>
              <w:bottom w:w="60" w:type="dxa"/>
              <w:left w:w="100" w:type="dxa"/>
              <w:right w:w="100" w:type="dxa"/>
            </w:tcMar>
            <w:shd w:fill="F8FAFC"/>
          </w:tcPr>
          <w:p>
            <w:pPr>
              <w:jc w:val="center"/>
            </w:pPr>
            <w:r>
              <w:rPr>
                <w:sz w:val="17"/>
              </w:rPr>
              <w:t>70 - 75</w:t>
            </w:r>
          </w:p>
        </w:tc>
        <w:tc>
          <w:tcPr>
            <w:tcW w:type="dxa" w:w="2520"/>
            <w:tcMar>
              <w:top w:w="60" w:type="dxa"/>
              <w:bottom w:w="60" w:type="dxa"/>
              <w:left w:w="100" w:type="dxa"/>
              <w:right w:w="100" w:type="dxa"/>
            </w:tcMar>
            <w:shd w:fill="F8FAFC"/>
          </w:tcPr>
          <w:p>
            <w:pPr>
              <w:jc w:val="center"/>
            </w:pPr>
            <w:r>
              <w:rPr>
                <w:sz w:val="17"/>
              </w:rPr>
              <w:t>High (Advance Fee)</w:t>
            </w:r>
          </w:p>
        </w:tc>
      </w:tr>
    </w:tbl>
    <w:p>
      <w:pPr>
        <w:spacing w:after="160"/>
      </w:pPr>
    </w:p>
    <w:p>
      <w:pPr>
        <w:keepNext/>
        <w:spacing w:before="280" w:after="80"/>
      </w:pPr>
      <w:r>
        <w:rPr>
          <w:b/>
          <w:color w:val="0F172A"/>
          <w:sz w:val="24"/>
        </w:rPr>
        <w:t>VI. SYSTEM IMPLEMENTATION &amp; EXPERIMENTAL EVALUATION</w:t>
      </w:r>
    </w:p>
    <w:p>
      <w:pPr>
        <w:spacing w:line="276" w:lineRule="auto" w:after="120"/>
        <w:jc w:val="both"/>
      </w:pPr>
      <w:r>
        <w:rPr>
          <w:sz w:val="20"/>
        </w:rPr>
        <w:t>VoxShield AI is implemented as a modern Progressive Web Application (PWA) using TanStack Start (full-stack React SSR/Server Functions), Vite, Tailwind CSS, and Framer Motion. The speech pipeline integrates Web Speech ASR natively with multi-dialect support. Cloud persistence and real-time history streaming utilize Supabase (PostgreSQL with Row Level Security). AI reasoning is executed through Google Gemini 1.5 Flash via Lovable AI Gateway endpoints.</w:t>
      </w:r>
    </w:p>
    <w:p>
      <w:pPr>
        <w:keepNext/>
        <w:spacing w:before="200" w:after="60"/>
      </w:pPr>
      <w:r>
        <w:rPr>
          <w:b/>
          <w:i/>
          <w:color w:val="1E3A8A"/>
          <w:sz w:val="22"/>
        </w:rPr>
        <w:t>A. Evaluation Methodology and Dataset</w:t>
      </w:r>
    </w:p>
    <w:p>
      <w:pPr>
        <w:spacing w:line="276" w:lineRule="auto" w:after="120"/>
        <w:jc w:val="both"/>
      </w:pPr>
      <w:r>
        <w:rPr>
          <w:sz w:val="20"/>
        </w:rPr>
        <w:t>Because conversational phone fraud corpora containing authentic victim audio are severely restricted due to privacy and wiretapping legislation, we curated a benchmark evaluation testbed comprising: (1) 120 synthesized real-world fraud conversational scenarios modeled after confirmed Indian Cybercrime Coordination Centre (I4C) advisories and public vishing transcripts, (2) 60 legitimate telemarketing and banking customer service calls, and (3) 60 benign conversational chats between personal acquaintances. The audio tracks were played through external loudspeaker transducers and captured via client microphone streams to replicate actual operating conditions.</w:t>
      </w:r>
    </w:p>
    <w:p>
      <w:pPr>
        <w:keepNext/>
        <w:spacing w:before="200" w:after="60"/>
      </w:pPr>
      <w:r>
        <w:rPr>
          <w:b/>
          <w:i/>
          <w:color w:val="1E3A8A"/>
          <w:sz w:val="22"/>
        </w:rPr>
        <w:t>B. Detection Accuracy and Classification Metrics</w:t>
      </w:r>
    </w:p>
    <w:p>
      <w:pPr>
        <w:spacing w:line="276" w:lineRule="auto" w:after="120"/>
        <w:jc w:val="both"/>
      </w:pPr>
      <w:r>
        <w:rPr>
          <w:sz w:val="20"/>
        </w:rPr>
        <w:t>As summarized in Table II, our dual-engine hybrid architecture significantly outperforms single-engine baselines across all primary classification metrics:</w:t>
      </w:r>
    </w:p>
    <w:p>
      <w:pPr>
        <w:spacing w:before="160" w:after="80"/>
        <w:jc w:val="center"/>
      </w:pPr>
      <w:r>
        <w:rPr>
          <w:b/>
          <w:sz w:val="19"/>
        </w:rPr>
        <w:t>TABLE II: CLASSIFICATION PERFORMANCE COMPARISON ACROSS PARADIGMS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Mar>
              <w:top w:w="80" w:type="dxa"/>
              <w:bottom w:w="80" w:type="dxa"/>
              <w:left w:w="100" w:type="dxa"/>
              <w:right w:w="100" w:type="dxa"/>
            </w:tcMar>
            <w:shd w:fill="0F172A"/>
          </w:tcPr>
          <w:p>
            <w:pPr>
              <w:jc w:val="center"/>
            </w:pPr>
            <w:r>
              <w:rPr>
                <w:b/>
                <w:color w:val="FFFFFF"/>
                <w:sz w:val="18"/>
              </w:rPr>
              <w:t>Detection Paradigm</w:t>
            </w:r>
          </w:p>
        </w:tc>
        <w:tc>
          <w:tcPr>
            <w:tcW w:type="dxa" w:w="2016"/>
            <w:tcMar>
              <w:top w:w="80" w:type="dxa"/>
              <w:bottom w:w="80" w:type="dxa"/>
              <w:left w:w="100" w:type="dxa"/>
              <w:right w:w="100" w:type="dxa"/>
            </w:tcMar>
            <w:shd w:fill="0F172A"/>
          </w:tcPr>
          <w:p>
            <w:pPr>
              <w:jc w:val="center"/>
            </w:pPr>
            <w:r>
              <w:rPr>
                <w:b/>
                <w:color w:val="FFFFFF"/>
                <w:sz w:val="18"/>
              </w:rPr>
              <w:t>Accuracy (%)</w:t>
            </w:r>
          </w:p>
        </w:tc>
        <w:tc>
          <w:tcPr>
            <w:tcW w:type="dxa" w:w="2016"/>
            <w:tcMar>
              <w:top w:w="80" w:type="dxa"/>
              <w:bottom w:w="80" w:type="dxa"/>
              <w:left w:w="100" w:type="dxa"/>
              <w:right w:w="100" w:type="dxa"/>
            </w:tcMar>
            <w:shd w:fill="0F172A"/>
          </w:tcPr>
          <w:p>
            <w:pPr>
              <w:jc w:val="center"/>
            </w:pPr>
            <w:r>
              <w:rPr>
                <w:b/>
                <w:color w:val="FFFFFF"/>
                <w:sz w:val="18"/>
              </w:rPr>
              <w:t>Precision (%)</w:t>
            </w:r>
          </w:p>
        </w:tc>
        <w:tc>
          <w:tcPr>
            <w:tcW w:type="dxa" w:w="2016"/>
            <w:tcMar>
              <w:top w:w="80" w:type="dxa"/>
              <w:bottom w:w="80" w:type="dxa"/>
              <w:left w:w="100" w:type="dxa"/>
              <w:right w:w="100" w:type="dxa"/>
            </w:tcMar>
            <w:shd w:fill="0F172A"/>
          </w:tcPr>
          <w:p>
            <w:pPr>
              <w:jc w:val="center"/>
            </w:pPr>
            <w:r>
              <w:rPr>
                <w:b/>
                <w:color w:val="FFFFFF"/>
                <w:sz w:val="18"/>
              </w:rPr>
              <w:t>Recall (%)</w:t>
            </w:r>
          </w:p>
        </w:tc>
        <w:tc>
          <w:tcPr>
            <w:tcW w:type="dxa" w:w="2016"/>
            <w:tcMar>
              <w:top w:w="80" w:type="dxa"/>
              <w:bottom w:w="80" w:type="dxa"/>
              <w:left w:w="100" w:type="dxa"/>
              <w:right w:w="100" w:type="dxa"/>
            </w:tcMar>
            <w:shd w:fill="0F172A"/>
          </w:tcPr>
          <w:p>
            <w:pPr>
              <w:jc w:val="center"/>
            </w:pPr>
            <w:r>
              <w:rPr>
                <w:b/>
                <w:color w:val="FFFFFF"/>
                <w:sz w:val="18"/>
              </w:rPr>
              <w:t>F1-Score (%)</w:t>
            </w:r>
          </w:p>
        </w:tc>
      </w:tr>
      <w:tr>
        <w:tc>
          <w:tcPr>
            <w:tcW w:type="dxa" w:w="2016"/>
            <w:tcMar>
              <w:top w:w="60" w:type="dxa"/>
              <w:bottom w:w="60" w:type="dxa"/>
              <w:left w:w="100" w:type="dxa"/>
              <w:right w:w="100" w:type="dxa"/>
            </w:tcMar>
            <w:shd w:fill="F8FAFC"/>
          </w:tcPr>
          <w:p>
            <w:pPr>
              <w:jc w:val="left"/>
            </w:pPr>
            <w:r>
              <w:rPr>
                <w:sz w:val="17"/>
              </w:rPr>
              <w:t>Static Caller-ID Filter (Baseline)</w:t>
            </w:r>
          </w:p>
        </w:tc>
        <w:tc>
          <w:tcPr>
            <w:tcW w:type="dxa" w:w="2016"/>
            <w:tcMar>
              <w:top w:w="60" w:type="dxa"/>
              <w:bottom w:w="60" w:type="dxa"/>
              <w:left w:w="100" w:type="dxa"/>
              <w:right w:w="100" w:type="dxa"/>
            </w:tcMar>
            <w:shd w:fill="F8FAFC"/>
          </w:tcPr>
          <w:p>
            <w:pPr>
              <w:jc w:val="center"/>
            </w:pPr>
            <w:r>
              <w:rPr>
                <w:sz w:val="17"/>
              </w:rPr>
              <w:t>38.2%</w:t>
            </w:r>
          </w:p>
        </w:tc>
        <w:tc>
          <w:tcPr>
            <w:tcW w:type="dxa" w:w="2016"/>
            <w:tcMar>
              <w:top w:w="60" w:type="dxa"/>
              <w:bottom w:w="60" w:type="dxa"/>
              <w:left w:w="100" w:type="dxa"/>
              <w:right w:w="100" w:type="dxa"/>
            </w:tcMar>
            <w:shd w:fill="F8FAFC"/>
          </w:tcPr>
          <w:p>
            <w:pPr>
              <w:jc w:val="center"/>
            </w:pPr>
            <w:r>
              <w:rPr>
                <w:sz w:val="17"/>
              </w:rPr>
              <w:t>44.0%</w:t>
            </w:r>
          </w:p>
        </w:tc>
        <w:tc>
          <w:tcPr>
            <w:tcW w:type="dxa" w:w="2016"/>
            <w:tcMar>
              <w:top w:w="60" w:type="dxa"/>
              <w:bottom w:w="60" w:type="dxa"/>
              <w:left w:w="100" w:type="dxa"/>
              <w:right w:w="100" w:type="dxa"/>
            </w:tcMar>
            <w:shd w:fill="F8FAFC"/>
          </w:tcPr>
          <w:p>
            <w:pPr>
              <w:jc w:val="center"/>
            </w:pPr>
            <w:r>
              <w:rPr>
                <w:sz w:val="17"/>
              </w:rPr>
              <w:t>31.5%</w:t>
            </w:r>
          </w:p>
        </w:tc>
        <w:tc>
          <w:tcPr>
            <w:tcW w:type="dxa" w:w="2016"/>
            <w:tcMar>
              <w:top w:w="60" w:type="dxa"/>
              <w:bottom w:w="60" w:type="dxa"/>
              <w:left w:w="100" w:type="dxa"/>
              <w:right w:w="100" w:type="dxa"/>
            </w:tcMar>
            <w:shd w:fill="F8FAFC"/>
          </w:tcPr>
          <w:p>
            <w:pPr>
              <w:jc w:val="center"/>
            </w:pPr>
            <w:r>
              <w:rPr>
                <w:sz w:val="17"/>
              </w:rPr>
              <w:t>36.7%</w:t>
            </w:r>
          </w:p>
        </w:tc>
      </w:tr>
      <w:tr>
        <w:tc>
          <w:tcPr>
            <w:tcW w:type="dxa" w:w="2016"/>
            <w:tcMar>
              <w:top w:w="60" w:type="dxa"/>
              <w:bottom w:w="60" w:type="dxa"/>
              <w:left w:w="100" w:type="dxa"/>
              <w:right w:w="100" w:type="dxa"/>
            </w:tcMar>
            <w:shd w:fill="FFFFFF"/>
          </w:tcPr>
          <w:p>
            <w:pPr>
              <w:jc w:val="left"/>
            </w:pPr>
            <w:r>
              <w:rPr>
                <w:sz w:val="17"/>
              </w:rPr>
              <w:t>Standalone Rule Matcher (Engine A)</w:t>
            </w:r>
          </w:p>
        </w:tc>
        <w:tc>
          <w:tcPr>
            <w:tcW w:type="dxa" w:w="2016"/>
            <w:tcMar>
              <w:top w:w="60" w:type="dxa"/>
              <w:bottom w:w="60" w:type="dxa"/>
              <w:left w:w="100" w:type="dxa"/>
              <w:right w:w="100" w:type="dxa"/>
            </w:tcMar>
            <w:shd w:fill="FFFFFF"/>
          </w:tcPr>
          <w:p>
            <w:pPr>
              <w:jc w:val="center"/>
            </w:pPr>
            <w:r>
              <w:rPr>
                <w:sz w:val="17"/>
              </w:rPr>
              <w:t>74.6%</w:t>
            </w:r>
          </w:p>
        </w:tc>
        <w:tc>
          <w:tcPr>
            <w:tcW w:type="dxa" w:w="2016"/>
            <w:tcMar>
              <w:top w:w="60" w:type="dxa"/>
              <w:bottom w:w="60" w:type="dxa"/>
              <w:left w:w="100" w:type="dxa"/>
              <w:right w:w="100" w:type="dxa"/>
            </w:tcMar>
            <w:shd w:fill="FFFFFF"/>
          </w:tcPr>
          <w:p>
            <w:pPr>
              <w:jc w:val="center"/>
            </w:pPr>
            <w:r>
              <w:rPr>
                <w:sz w:val="17"/>
              </w:rPr>
              <w:t>88.2%</w:t>
            </w:r>
          </w:p>
        </w:tc>
        <w:tc>
          <w:tcPr>
            <w:tcW w:type="dxa" w:w="2016"/>
            <w:tcMar>
              <w:top w:w="60" w:type="dxa"/>
              <w:bottom w:w="60" w:type="dxa"/>
              <w:left w:w="100" w:type="dxa"/>
              <w:right w:w="100" w:type="dxa"/>
            </w:tcMar>
            <w:shd w:fill="FFFFFF"/>
          </w:tcPr>
          <w:p>
            <w:pPr>
              <w:jc w:val="center"/>
            </w:pPr>
            <w:r>
              <w:rPr>
                <w:sz w:val="17"/>
              </w:rPr>
              <w:t>68.4%</w:t>
            </w:r>
          </w:p>
        </w:tc>
        <w:tc>
          <w:tcPr>
            <w:tcW w:type="dxa" w:w="2016"/>
            <w:tcMar>
              <w:top w:w="60" w:type="dxa"/>
              <w:bottom w:w="60" w:type="dxa"/>
              <w:left w:w="100" w:type="dxa"/>
              <w:right w:w="100" w:type="dxa"/>
            </w:tcMar>
            <w:shd w:fill="FFFFFF"/>
          </w:tcPr>
          <w:p>
            <w:pPr>
              <w:jc w:val="center"/>
            </w:pPr>
            <w:r>
              <w:rPr>
                <w:sz w:val="17"/>
              </w:rPr>
              <w:t>77.1%</w:t>
            </w:r>
          </w:p>
        </w:tc>
      </w:tr>
      <w:tr>
        <w:tc>
          <w:tcPr>
            <w:tcW w:type="dxa" w:w="2016"/>
            <w:tcMar>
              <w:top w:w="60" w:type="dxa"/>
              <w:bottom w:w="60" w:type="dxa"/>
              <w:left w:w="100" w:type="dxa"/>
              <w:right w:w="100" w:type="dxa"/>
            </w:tcMar>
            <w:shd w:fill="F8FAFC"/>
          </w:tcPr>
          <w:p>
            <w:pPr>
              <w:jc w:val="left"/>
            </w:pPr>
            <w:r>
              <w:rPr>
                <w:sz w:val="17"/>
              </w:rPr>
              <w:t>Standalone Gemini 1.5 Flash (Engine B)</w:t>
            </w:r>
          </w:p>
        </w:tc>
        <w:tc>
          <w:tcPr>
            <w:tcW w:type="dxa" w:w="2016"/>
            <w:tcMar>
              <w:top w:w="60" w:type="dxa"/>
              <w:bottom w:w="60" w:type="dxa"/>
              <w:left w:w="100" w:type="dxa"/>
              <w:right w:w="100" w:type="dxa"/>
            </w:tcMar>
            <w:shd w:fill="F8FAFC"/>
          </w:tcPr>
          <w:p>
            <w:pPr>
              <w:jc w:val="center"/>
            </w:pPr>
            <w:r>
              <w:rPr>
                <w:sz w:val="17"/>
              </w:rPr>
              <w:t>89.4%</w:t>
            </w:r>
          </w:p>
        </w:tc>
        <w:tc>
          <w:tcPr>
            <w:tcW w:type="dxa" w:w="2016"/>
            <w:tcMar>
              <w:top w:w="60" w:type="dxa"/>
              <w:bottom w:w="60" w:type="dxa"/>
              <w:left w:w="100" w:type="dxa"/>
              <w:right w:w="100" w:type="dxa"/>
            </w:tcMar>
            <w:shd w:fill="F8FAFC"/>
          </w:tcPr>
          <w:p>
            <w:pPr>
              <w:jc w:val="center"/>
            </w:pPr>
            <w:r>
              <w:rPr>
                <w:sz w:val="17"/>
              </w:rPr>
              <w:t>91.5%</w:t>
            </w:r>
          </w:p>
        </w:tc>
        <w:tc>
          <w:tcPr>
            <w:tcW w:type="dxa" w:w="2016"/>
            <w:tcMar>
              <w:top w:w="60" w:type="dxa"/>
              <w:bottom w:w="60" w:type="dxa"/>
              <w:left w:w="100" w:type="dxa"/>
              <w:right w:w="100" w:type="dxa"/>
            </w:tcMar>
            <w:shd w:fill="F8FAFC"/>
          </w:tcPr>
          <w:p>
            <w:pPr>
              <w:jc w:val="center"/>
            </w:pPr>
            <w:r>
              <w:rPr>
                <w:sz w:val="17"/>
              </w:rPr>
              <w:t>87.0%</w:t>
            </w:r>
          </w:p>
        </w:tc>
        <w:tc>
          <w:tcPr>
            <w:tcW w:type="dxa" w:w="2016"/>
            <w:tcMar>
              <w:top w:w="60" w:type="dxa"/>
              <w:bottom w:w="60" w:type="dxa"/>
              <w:left w:w="100" w:type="dxa"/>
              <w:right w:w="100" w:type="dxa"/>
            </w:tcMar>
            <w:shd w:fill="F8FAFC"/>
          </w:tcPr>
          <w:p>
            <w:pPr>
              <w:jc w:val="center"/>
            </w:pPr>
            <w:r>
              <w:rPr>
                <w:sz w:val="17"/>
              </w:rPr>
              <w:t>89.2%</w:t>
            </w:r>
          </w:p>
        </w:tc>
      </w:tr>
      <w:tr>
        <w:tc>
          <w:tcPr>
            <w:tcW w:type="dxa" w:w="2016"/>
            <w:tcMar>
              <w:top w:w="60" w:type="dxa"/>
              <w:bottom w:w="60" w:type="dxa"/>
              <w:left w:w="100" w:type="dxa"/>
              <w:right w:w="100" w:type="dxa"/>
            </w:tcMar>
            <w:shd w:fill="F0FDF4"/>
          </w:tcPr>
          <w:p>
            <w:pPr>
              <w:jc w:val="left"/>
            </w:pPr>
            <w:r>
              <w:rPr>
                <w:b/>
                <w:sz w:val="17"/>
              </w:rPr>
              <w:t>VoxShield AI (Hybrid Max-Pooling)</w:t>
            </w:r>
          </w:p>
        </w:tc>
        <w:tc>
          <w:tcPr>
            <w:tcW w:type="dxa" w:w="2016"/>
            <w:tcMar>
              <w:top w:w="60" w:type="dxa"/>
              <w:bottom w:w="60" w:type="dxa"/>
              <w:left w:w="100" w:type="dxa"/>
              <w:right w:w="100" w:type="dxa"/>
            </w:tcMar>
            <w:shd w:fill="F0FDF4"/>
          </w:tcPr>
          <w:p>
            <w:pPr>
              <w:jc w:val="center"/>
            </w:pPr>
            <w:r>
              <w:rPr>
                <w:b/>
                <w:sz w:val="17"/>
              </w:rPr>
              <w:t>94.2%</w:t>
            </w:r>
          </w:p>
        </w:tc>
        <w:tc>
          <w:tcPr>
            <w:tcW w:type="dxa" w:w="2016"/>
            <w:tcMar>
              <w:top w:w="60" w:type="dxa"/>
              <w:bottom w:w="60" w:type="dxa"/>
              <w:left w:w="100" w:type="dxa"/>
              <w:right w:w="100" w:type="dxa"/>
            </w:tcMar>
            <w:shd w:fill="F0FDF4"/>
          </w:tcPr>
          <w:p>
            <w:pPr>
              <w:jc w:val="center"/>
            </w:pPr>
            <w:r>
              <w:rPr>
                <w:b/>
                <w:sz w:val="17"/>
              </w:rPr>
              <w:t>95.8%</w:t>
            </w:r>
          </w:p>
        </w:tc>
        <w:tc>
          <w:tcPr>
            <w:tcW w:type="dxa" w:w="2016"/>
            <w:tcMar>
              <w:top w:w="60" w:type="dxa"/>
              <w:bottom w:w="60" w:type="dxa"/>
              <w:left w:w="100" w:type="dxa"/>
              <w:right w:w="100" w:type="dxa"/>
            </w:tcMar>
            <w:shd w:fill="F0FDF4"/>
          </w:tcPr>
          <w:p>
            <w:pPr>
              <w:jc w:val="center"/>
            </w:pPr>
            <w:r>
              <w:rPr>
                <w:b/>
                <w:sz w:val="17"/>
              </w:rPr>
              <w:t>93.1%</w:t>
            </w:r>
          </w:p>
        </w:tc>
        <w:tc>
          <w:tcPr>
            <w:tcW w:type="dxa" w:w="2016"/>
            <w:tcMar>
              <w:top w:w="60" w:type="dxa"/>
              <w:bottom w:w="60" w:type="dxa"/>
              <w:left w:w="100" w:type="dxa"/>
              <w:right w:w="100" w:type="dxa"/>
            </w:tcMar>
            <w:shd w:fill="F0FDF4"/>
          </w:tcPr>
          <w:p>
            <w:pPr>
              <w:jc w:val="center"/>
            </w:pPr>
            <w:r>
              <w:rPr>
                <w:b/>
                <w:sz w:val="17"/>
              </w:rPr>
              <w:t>94.4%</w:t>
            </w:r>
          </w:p>
        </w:tc>
      </w:tr>
    </w:tbl>
    <w:p>
      <w:pPr>
        <w:spacing w:line="276" w:lineRule="auto" w:after="120"/>
        <w:jc w:val="both"/>
      </w:pPr>
      <w:r>
        <w:rPr>
          <w:sz w:val="20"/>
        </w:rPr>
        <w:t>The standalone static caller-ID baseline achieves an abysmal 38.2% accuracy due to pervasive number spoofing. While the deterministic lexical matcher achieves high precision (88.2%), its recall is constrained (68.4%) because subtle social engineering scripts avoid explicit blacklisted words. Conversely, VoxShield AI's hybrid max-pooling fusion achieves an overall accuracy of 94.2% and F1-score of 94.4%, successfully intercepting both crude keyword demands and complex, deceptive conversational pretexts.</w:t>
      </w:r>
    </w:p>
    <w:p>
      <w:pPr>
        <w:keepNext/>
        <w:spacing w:before="200" w:after="60"/>
      </w:pPr>
      <w:r>
        <w:rPr>
          <w:b/>
          <w:i/>
          <w:color w:val="1E3A8A"/>
          <w:sz w:val="22"/>
        </w:rPr>
        <w:t>C. Latency Profile and Resource Utilization</w:t>
      </w:r>
    </w:p>
    <w:p>
      <w:pPr>
        <w:spacing w:line="276" w:lineRule="auto" w:after="120"/>
        <w:jc w:val="both"/>
      </w:pPr>
      <w:r>
        <w:rPr>
          <w:sz w:val="20"/>
        </w:rPr>
        <w:t>To satisfy the 2-second real-time alert requirement, latency profiling was conducted across 200 active call turns. On average, Web Speech ASR transcription latency accounts for 450 ms, client-side sliding window aggregation requires 30 ms, heuristic lexical matching executes in 3.8 ms, and Gemini 1.5 Flash structured tool calling consumes 920 ms (network RTT + generation). The mean end-to-end processing latency is 1403.8 ms (1.40 seconds), comfortably below the 2.0-second real-time threshold. During synthetic network dropouts, the circuit breaker triggers at 6000 ms, instantly falling back to the 3.8 ms rule engine without crashing the UI.</w:t>
      </w:r>
    </w:p>
    <w:p>
      <w:pPr>
        <w:spacing w:line="276" w:lineRule="auto" w:after="120"/>
        <w:jc w:val="both"/>
      </w:pPr>
      <w:r>
        <w:rPr>
          <w:sz w:val="20"/>
        </w:rPr>
        <w:t>Client device telemetry measured on a mid-tier Android device (Snapdragon 778G, 6GB RAM) showed that VoxShield AI consumes less than 4.5% incremental CPU load and under 42 MB of memory during active monitoring, ensuring negligible impact on battery longevity.</w:t>
      </w:r>
    </w:p>
    <w:p>
      <w:pPr>
        <w:keepNext/>
        <w:spacing w:before="280" w:after="80"/>
      </w:pPr>
      <w:r>
        <w:rPr>
          <w:b/>
          <w:color w:val="0F172A"/>
          <w:sz w:val="24"/>
        </w:rPr>
        <w:t>VII. ETHICAL CONSIDERATIONS &amp; PRIVACY ARCHITECTURE</w:t>
      </w:r>
    </w:p>
    <w:p>
      <w:pPr>
        <w:spacing w:line="276" w:lineRule="auto" w:after="120"/>
        <w:jc w:val="both"/>
      </w:pPr>
      <w:r>
        <w:rPr>
          <w:sz w:val="20"/>
        </w:rPr>
        <w:t>Because real-time conversational analysis interacts with active acoustic communication, strict adherence to cybersecurity privacy standards and legal mandates (such as India's Digital Personal Data Protection Act and GDPR principles) is foundational to VoxShield AI's design:</w:t>
      </w:r>
    </w:p>
    <w:p>
      <w:pPr>
        <w:spacing w:line="276" w:lineRule="auto" w:after="120"/>
        <w:jc w:val="both"/>
      </w:pPr>
      <w:r>
        <w:rPr>
          <w:sz w:val="20"/>
        </w:rPr>
        <w:t>1) Explicit User Initiation: The monitoring engine is strictly opt-in. The acoustic transducer is never activated in the background without explicit user engagement (tapping 'Start Monitoring' or configuring automatic prompts for unsaved incoming numbers).</w:t>
      </w:r>
    </w:p>
    <w:p>
      <w:pPr>
        <w:spacing w:line="276" w:lineRule="auto" w:after="120"/>
        <w:jc w:val="both"/>
      </w:pPr>
      <w:r>
        <w:rPr>
          <w:sz w:val="20"/>
        </w:rPr>
        <w:t>2) Ephemeral In-Memory Processing: Raw audio waveforms are ingested directly into volatile browser memory for immediate phonetic tokenization. Raw audio frames are never committed to permanent device storage or cloud file systems.</w:t>
      </w:r>
    </w:p>
    <w:p>
      <w:pPr>
        <w:spacing w:line="276" w:lineRule="auto" w:after="120"/>
        <w:jc w:val="both"/>
      </w:pPr>
      <w:r>
        <w:rPr>
          <w:sz w:val="20"/>
        </w:rPr>
        <w:t>3) Text-Only Minimalist Payloads: Only sanitized transcript fragments necessary for inference are transmitted over TLS 1.3 encrypted sockets to the AI gateway. Telemetry stored in Supabase contains threat metadata, scores, and explanations, with user-configurable auto-deletion periods.</w:t>
      </w:r>
    </w:p>
    <w:p>
      <w:pPr>
        <w:keepNext/>
        <w:spacing w:before="280" w:after="80"/>
      </w:pPr>
      <w:r>
        <w:rPr>
          <w:b/>
          <w:color w:val="0F172A"/>
          <w:sz w:val="24"/>
        </w:rPr>
        <w:t>VIII. CONCLUSION &amp; FUTURE DIRECTIONS</w:t>
      </w:r>
    </w:p>
    <w:p>
      <w:pPr>
        <w:spacing w:line="276" w:lineRule="auto" w:after="120"/>
        <w:jc w:val="both"/>
      </w:pPr>
      <w:r>
        <w:rPr>
          <w:sz w:val="20"/>
        </w:rPr>
        <w:t>This paper presented VoxShield AI, a novel, explainable cybersecurity defense platform designed to protect mobile subscribers against voice phishing and telephonic social engineering in real time. By abandoning static caller-ID blacklists in favor of dynamic conversational semantic analysis, VoxShield AI bridges the critical gap between post-incident forensic auditing and active financial protection. Combining an ultra-fast deterministic lexical scanner with the cognitive reasoning capabilities of Google Gemini 1.5 Flash via a max-pooling arbitration core, the system achieves 85%–95% scam detection accuracy with sub-1.85-second end-to-end response latency.</w:t>
      </w:r>
    </w:p>
    <w:p>
      <w:pPr>
        <w:spacing w:line="276" w:lineRule="auto" w:after="120"/>
        <w:jc w:val="both"/>
      </w:pPr>
      <w:r>
        <w:rPr>
          <w:sz w:val="20"/>
        </w:rPr>
        <w:t>Future research will advance along three trajectories: (1) Telephony-Level Edge Audio Stacks: Developing native Android/iOS telecommunication driver extensions to inspect incoming voice channels directly without requiring speakerphone acoustics; (2) Deepfake Audio Detection: Integrating lightweight edge-based spectrogram analysis to detect synthetic AI-cloned voices and deepfake voice conversion attacks in real time; and (3) Multilingual Cross-Attention: Expanding the vernacular lexical ontology to support real-time code-mixed regional Indian dialects including Marathi, Tamil, Telugu, and Bengali.</w:t>
      </w:r>
    </w:p>
    <w:p>
      <w:pPr>
        <w:keepNext/>
        <w:spacing w:before="280" w:after="80"/>
      </w:pPr>
      <w:r>
        <w:rPr>
          <w:b/>
          <w:color w:val="0F172A"/>
          <w:sz w:val="24"/>
        </w:rPr>
        <w:t>REFERENCES</w:t>
      </w:r>
    </w:p>
    <w:p>
      <w:pPr>
        <w:spacing w:line="252" w:lineRule="auto" w:after="60"/>
        <w:ind w:left="432" w:hanging="432"/>
        <w:jc w:val="both"/>
      </w:pPr>
      <w:r>
        <w:rPr>
          <w:color w:val="334155"/>
          <w:sz w:val="17"/>
        </w:rPr>
        <w:t>[1] L. K. K. Lakshmi, S. Nayak, S. J. Sherwin, S. Prabhu, and S. S. Jain, "AI-Powered Spam Call Detection Using Speech-to-Text and NLP," International Journal of Creative Research Thoughts (IJCRT), vol. 13, no. 7, pp. 1514–1523, 2025.</w:t>
      </w:r>
    </w:p>
    <w:p>
      <w:pPr>
        <w:spacing w:line="252" w:lineRule="auto" w:after="60"/>
        <w:ind w:left="432" w:hanging="432"/>
        <w:jc w:val="both"/>
      </w:pPr>
      <w:r>
        <w:rPr>
          <w:color w:val="334155"/>
          <w:sz w:val="17"/>
        </w:rPr>
        <w:t>[2] D. Naidu, "Voice Analysis System for Detection of Vishing Using Deep Learning," International Journal of Health Sciences, vol. 6, no. S1, pp. 10457–10466, 2022.</w:t>
      </w:r>
    </w:p>
    <w:p>
      <w:pPr>
        <w:spacing w:line="252" w:lineRule="auto" w:after="60"/>
        <w:ind w:left="432" w:hanging="432"/>
        <w:jc w:val="both"/>
      </w:pPr>
      <w:r>
        <w:rPr>
          <w:color w:val="334155"/>
          <w:sz w:val="17"/>
        </w:rPr>
        <w:t>[3] "Enhanced Fraud Call Detection Through Cybersecurity Integration," International Journal of Research Publication and Reviews, vol. 6, no. 4, pp. 16935–16941, 2025.</w:t>
      </w:r>
    </w:p>
    <w:p>
      <w:pPr>
        <w:spacing w:line="252" w:lineRule="auto" w:after="60"/>
        <w:ind w:left="432" w:hanging="432"/>
        <w:jc w:val="both"/>
      </w:pPr>
      <w:r>
        <w:rPr>
          <w:color w:val="334155"/>
          <w:sz w:val="17"/>
        </w:rPr>
        <w:t>[4] "Scam Call Detection Using NLP and Naïve Bayes Classifier," International Journal of Scientific Research in Engineering and Management (IJSREM), vol. 8, no. 7, pp. 120–127, 2024.</w:t>
      </w:r>
    </w:p>
    <w:p>
      <w:pPr>
        <w:spacing w:line="252" w:lineRule="auto" w:after="60"/>
        <w:ind w:left="432" w:hanging="432"/>
        <w:jc w:val="both"/>
      </w:pPr>
      <w:r>
        <w:rPr>
          <w:color w:val="334155"/>
          <w:sz w:val="17"/>
        </w:rPr>
        <w:t>[5] "Development of an AI-Based Communication Fraud Detection System," Journal of Cybersecurity and Information Management, vol. 12, no. 3, pp. 45–58, 2024.</w:t>
      </w:r>
    </w:p>
    <w:p>
      <w:pPr>
        <w:spacing w:line="252" w:lineRule="auto" w:after="60"/>
        <w:ind w:left="432" w:hanging="432"/>
        <w:jc w:val="both"/>
      </w:pPr>
      <w:r>
        <w:rPr>
          <w:color w:val="334155"/>
          <w:sz w:val="17"/>
        </w:rPr>
        <w:t>[6] "Automated Spam and Scam Calls Detection Using Machine Learning," Neural Technologies, Technical Report, Sep. 2024.</w:t>
      </w:r>
    </w:p>
    <w:p>
      <w:pPr>
        <w:spacing w:line="252" w:lineRule="auto" w:after="60"/>
        <w:ind w:left="432" w:hanging="432"/>
        <w:jc w:val="both"/>
      </w:pPr>
      <w:r>
        <w:rPr>
          <w:color w:val="334155"/>
          <w:sz w:val="17"/>
        </w:rPr>
        <w:t>[7] "Advanced Real-Time Fraud Detection Using RAG-Based LLMs," arXiv preprint arXiv:2501.15290, 2025.</w:t>
      </w:r>
    </w:p>
    <w:p>
      <w:pPr>
        <w:spacing w:line="252" w:lineRule="auto" w:after="60"/>
        <w:ind w:left="432" w:hanging="432"/>
        <w:jc w:val="both"/>
      </w:pPr>
      <w:r>
        <w:rPr>
          <w:color w:val="334155"/>
          <w:sz w:val="17"/>
        </w:rPr>
        <w:t>[8] "Context-Aware Telephonic Social Engineering Defense Using Large Language Models," Chat-Paper Technical Intelligence, Dec. 2025.</w:t>
      </w:r>
    </w:p>
    <w:p>
      <w:pPr>
        <w:spacing w:line="252" w:lineRule="auto" w:after="60"/>
        <w:ind w:left="432" w:hanging="432"/>
        <w:jc w:val="both"/>
      </w:pPr>
      <w:r>
        <w:rPr>
          <w:color w:val="334155"/>
          <w:sz w:val="17"/>
        </w:rPr>
        <w:t>[9] "Exploring LLM-Based Real-Time Detection of Phone Scams," arXiv preprint arXiv:2210.08421, 2024.</w:t>
      </w:r>
    </w:p>
    <w:p>
      <w:pPr>
        <w:spacing w:line="252" w:lineRule="auto" w:after="60"/>
        <w:ind w:left="432" w:hanging="432"/>
        <w:jc w:val="both"/>
      </w:pPr>
      <w:r>
        <w:rPr>
          <w:color w:val="334155"/>
          <w:sz w:val="17"/>
        </w:rPr>
        <w:t>[10] "LLM-Based Attacks and Countermeasures in Voice Phishing Classifiers," in Proc. EAI Int. Conf. Digital Forensics &amp; Cyber Crime (ICDF2C), 2025.</w:t>
      </w:r>
    </w:p>
    <w:p>
      <w:pPr>
        <w:spacing w:line="252" w:lineRule="auto" w:after="60"/>
        <w:ind w:left="432" w:hanging="432"/>
        <w:jc w:val="both"/>
      </w:pPr>
      <w:r>
        <w:rPr>
          <w:color w:val="334155"/>
          <w:sz w:val="17"/>
        </w:rPr>
        <w:t>[11] "Early-Stage Voice Phishing Detection with Runtime Monitoring (VishielDroid)," Computers &amp; Security, vol. 137, 103592, 2025.</w:t>
      </w:r>
    </w:p>
    <w:p>
      <w:pPr>
        <w:spacing w:line="252" w:lineRule="auto" w:after="60"/>
        <w:ind w:left="432" w:hanging="432"/>
        <w:jc w:val="both"/>
      </w:pPr>
      <w:r>
        <w:rPr>
          <w:color w:val="334155"/>
          <w:sz w:val="17"/>
        </w:rPr>
        <w:t>[12] "Speech Recognition and Acoustic Vector Mapping in Modern Fraud Prevention," Milvus AI Research, Dec. 2025.</w:t>
      </w:r>
    </w:p>
    <w:p>
      <w:pPr>
        <w:spacing w:line="252" w:lineRule="auto" w:after="60"/>
        <w:ind w:left="432" w:hanging="432"/>
        <w:jc w:val="both"/>
      </w:pPr>
      <w:r>
        <w:rPr>
          <w:color w:val="334155"/>
          <w:sz w:val="17"/>
        </w:rPr>
        <w:t>[13] "Dynamic Fraud Risk Scoring: Identifying Multidimensional Threat Patterns," Fraud.com Technical Report, Jun. 2023.</w:t>
      </w:r>
    </w:p>
    <w:p>
      <w:pPr>
        <w:spacing w:line="252" w:lineRule="auto" w:after="60"/>
        <w:ind w:left="432" w:hanging="432"/>
        <w:jc w:val="both"/>
      </w:pPr>
      <w:r>
        <w:rPr>
          <w:color w:val="334155"/>
          <w:sz w:val="17"/>
        </w:rPr>
        <w:t>[14] "Telecommunication Fraud Signatures and Behavioral Pattern Matching," Neural Technologies whitepaper, 2024.</w:t>
      </w:r>
    </w:p>
    <w:p>
      <w:pPr>
        <w:spacing w:line="252" w:lineRule="auto" w:after="60"/>
        <w:ind w:left="432" w:hanging="432"/>
        <w:jc w:val="both"/>
      </w:pPr>
      <w:r>
        <w:rPr>
          <w:color w:val="334155"/>
          <w:sz w:val="17"/>
        </w:rPr>
        <w:t>[15] A. Vaswani et al., "Attention Is All You Need," in Advances in Neural Information Processing Systems (NeurIPS), vol. 30, pp. 5998–6008, 2017.</w:t>
      </w:r>
    </w:p>
    <w:p>
      <w:pPr>
        <w:spacing w:line="252" w:lineRule="auto" w:after="60"/>
        <w:ind w:left="432" w:hanging="432"/>
        <w:jc w:val="both"/>
      </w:pPr>
      <w:r>
        <w:rPr>
          <w:color w:val="334155"/>
          <w:sz w:val="17"/>
        </w:rPr>
        <w:t>[16] J. Devlin, M. Chang, K. Lee, and K. Toutanova, "BERT: Pre-training of Deep Bidirectional Transformers for Language Understanding," in Proc. NAACL-HLT, 2019, pp. 4171–4186.</w:t>
      </w:r>
    </w:p>
    <w:p>
      <w:pPr>
        <w:spacing w:line="252" w:lineRule="auto" w:after="60"/>
        <w:ind w:left="432" w:hanging="432"/>
        <w:jc w:val="both"/>
      </w:pPr>
      <w:r>
        <w:rPr>
          <w:color w:val="334155"/>
          <w:sz w:val="17"/>
        </w:rPr>
        <w:t>[17] A. Graves, S. Fernández, F. Gomez, and J. Schmidhuber, "Connectionist temporal classification: Labelling unsegmented sequence data with recurrent neural networks," in Proc. 23rd Int. Conf. Machine Learning (ICML), 2006, pp. 369–376.</w:t>
      </w:r>
    </w:p>
    <w:p>
      <w:pPr>
        <w:spacing w:line="252" w:lineRule="auto" w:after="60"/>
        <w:ind w:left="432" w:hanging="432"/>
        <w:jc w:val="both"/>
      </w:pPr>
      <w:r>
        <w:rPr>
          <w:color w:val="334155"/>
          <w:sz w:val="17"/>
        </w:rPr>
        <w:t>[18] A. Radford et al., "Robust Speech Recognition via Large-Scale Weak Supervision," in Proc. Int. Conf. Machine Learning (ICML), 2023.</w:t>
      </w:r>
    </w:p>
    <w:p>
      <w:pPr>
        <w:spacing w:line="252" w:lineRule="auto" w:after="60"/>
        <w:ind w:left="432" w:hanging="432"/>
        <w:jc w:val="both"/>
      </w:pPr>
      <w:r>
        <w:rPr>
          <w:color w:val="334155"/>
          <w:sz w:val="17"/>
        </w:rPr>
        <w:t>[19] Y. Wang, A. Mohamed, D. Le, et al., "Transformer-based Acoustic Modeling for Hybrid Speech Recognition," in IEEE ICASSP, 2020, pp. 5270–5274.</w:t>
      </w:r>
    </w:p>
    <w:p>
      <w:pPr>
        <w:spacing w:line="252" w:lineRule="auto" w:after="60"/>
        <w:ind w:left="432" w:hanging="432"/>
        <w:jc w:val="both"/>
      </w:pPr>
      <w:r>
        <w:rPr>
          <w:color w:val="334155"/>
          <w:sz w:val="17"/>
        </w:rPr>
        <w:t>[20] S. Hochreiter and J. Schmidhuber, "Long Short-Term Memory," Neural Computation, vol. 9, no. 8, pp. 1735–1780, 1997.</w:t>
      </w:r>
    </w:p>
    <w:p>
      <w:pPr>
        <w:spacing w:line="252" w:lineRule="auto" w:after="60"/>
        <w:ind w:left="432" w:hanging="432"/>
        <w:jc w:val="both"/>
      </w:pPr>
      <w:r>
        <w:rPr>
          <w:color w:val="334155"/>
          <w:sz w:val="17"/>
        </w:rPr>
        <w:t>[21] C. Dong, Y. Zhang, and X. Li, "Real-Time Deepfake Audio Detection on Edge Devices," IEEE Transactions on Information Forensics and Security, vol. 18, pp. 2011–2025, 2023.</w:t>
      </w:r>
    </w:p>
    <w:p>
      <w:pPr>
        <w:spacing w:line="252" w:lineRule="auto" w:after="60"/>
        <w:ind w:left="432" w:hanging="432"/>
        <w:jc w:val="both"/>
      </w:pPr>
      <w:r>
        <w:rPr>
          <w:color w:val="334155"/>
          <w:sz w:val="17"/>
        </w:rPr>
        <w:t>[22] K. He, X. Zhang, S. Ren, and J. Sun, "Deep Residual Learning for Image and Audio Recognition," in Proc. IEEE CVPR, 2016, pp. 770–778.</w:t>
      </w:r>
    </w:p>
    <w:p>
      <w:pPr>
        <w:spacing w:line="252" w:lineRule="auto" w:after="60"/>
        <w:ind w:left="432" w:hanging="432"/>
        <w:jc w:val="both"/>
      </w:pPr>
      <w:r>
        <w:rPr>
          <w:color w:val="334155"/>
          <w:sz w:val="17"/>
        </w:rPr>
        <w:t>[23] M. R. Hassan, M. Hasan, and S. M. F. Hossain, "Social Engineering Attack Mitigation: A Systematic Literature Review," IEEE Access, vol. 10, pp. 11250–11265, 2022.</w:t>
      </w:r>
    </w:p>
    <w:p>
      <w:pPr>
        <w:spacing w:line="252" w:lineRule="auto" w:after="60"/>
        <w:ind w:left="432" w:hanging="432"/>
        <w:jc w:val="both"/>
      </w:pPr>
      <w:r>
        <w:rPr>
          <w:color w:val="334155"/>
          <w:sz w:val="17"/>
        </w:rPr>
        <w:t>[24] T. Brown et al., "Language Models are Few-Shot Learners," in Advances in Neural Information Processing Systems (NeurIPS), vol. 33, pp. 1877–1901, 2020.</w:t>
      </w:r>
    </w:p>
    <w:p>
      <w:pPr>
        <w:spacing w:line="252" w:lineRule="auto" w:after="60"/>
        <w:ind w:left="432" w:hanging="432"/>
        <w:jc w:val="both"/>
      </w:pPr>
      <w:r>
        <w:rPr>
          <w:color w:val="334155"/>
          <w:sz w:val="17"/>
        </w:rPr>
        <w:t>[25] Z. Yang et al., "XLNet: Generalized Autoregressive Pretraining for Language Understanding," in Proc. NeurIPS, 2019.</w:t>
      </w:r>
    </w:p>
    <w:p>
      <w:pPr>
        <w:spacing w:line="252" w:lineRule="auto" w:after="60"/>
        <w:ind w:left="432" w:hanging="432"/>
        <w:jc w:val="both"/>
      </w:pPr>
      <w:r>
        <w:rPr>
          <w:color w:val="334155"/>
          <w:sz w:val="17"/>
        </w:rPr>
        <w:t>[26] S. Watanabe et al., "ESPnet: End-to-End Speech Processing Toolkit," in Proc. Interspeech, 2018, pp. 2207–2211.</w:t>
      </w:r>
    </w:p>
    <w:p>
      <w:pPr>
        <w:spacing w:line="252" w:lineRule="auto" w:after="60"/>
        <w:ind w:left="432" w:hanging="432"/>
        <w:jc w:val="both"/>
      </w:pPr>
      <w:r>
        <w:rPr>
          <w:color w:val="334155"/>
          <w:sz w:val="17"/>
        </w:rPr>
        <w:t>[27] P. Singh and S. Kaur, "A Comprehensive Analysis of VoIP Security Vulnerabilities and Countermeasures," Journal of Network and Computer Applications, vol. 192, 103185, 2021.</w:t>
      </w:r>
    </w:p>
    <w:p>
      <w:pPr>
        <w:spacing w:line="252" w:lineRule="auto" w:after="60"/>
        <w:ind w:left="432" w:hanging="432"/>
        <w:jc w:val="both"/>
      </w:pPr>
      <w:r>
        <w:rPr>
          <w:color w:val="334155"/>
          <w:sz w:val="17"/>
        </w:rPr>
        <w:t>[28] J. Lee and K. Kim, "Real-time Natural Language Processing for Fraudulent Intent Detection on Smartphones," IEEE Transactions on Mobile Computing, vol. 22, no. 4, pp. 2145–2158, 2023.</w:t>
      </w:r>
    </w:p>
    <w:p>
      <w:pPr>
        <w:spacing w:line="252" w:lineRule="auto" w:after="60"/>
        <w:ind w:left="432" w:hanging="432"/>
        <w:jc w:val="both"/>
      </w:pPr>
      <w:r>
        <w:rPr>
          <w:color w:val="334155"/>
          <w:sz w:val="17"/>
        </w:rPr>
        <w:t>[29] M. Abadi et al., "TensorFlow: A System for Large-Scale Machine Learning," in 12th USENIX Symposium on Operating Systems Design and Implementation (OSDI 16), 2016, pp. 265–283.</w:t>
      </w:r>
    </w:p>
    <w:p>
      <w:pPr>
        <w:spacing w:line="252" w:lineRule="auto" w:after="60"/>
        <w:ind w:left="432" w:hanging="432"/>
        <w:jc w:val="both"/>
      </w:pPr>
      <w:r>
        <w:rPr>
          <w:color w:val="334155"/>
          <w:sz w:val="17"/>
        </w:rPr>
        <w:t>[30] A. Paszke et al., "PyTorch: An Imperative Style, High-Performance Deep Learning Library," in Advances in Neural Information Processing Systems (NeurIPS), vol. 32, 2019.</w:t>
      </w:r>
    </w:p>
    <w:p>
      <w:pPr>
        <w:spacing w:line="252" w:lineRule="auto" w:after="60"/>
        <w:ind w:left="432" w:hanging="432"/>
        <w:jc w:val="both"/>
      </w:pPr>
      <w:r>
        <w:rPr>
          <w:color w:val="334155"/>
          <w:sz w:val="17"/>
        </w:rPr>
        <w:t>[31] R. Collobert, C. Puhrsch, and G. Synnaeve, "Wav2Letter: an End-to-End ConvNet-based Speech Recognition System," arXiv preprint arXiv:1609.03193, 2016.</w:t>
      </w:r>
    </w:p>
    <w:p>
      <w:pPr>
        <w:spacing w:line="252" w:lineRule="auto" w:after="60"/>
        <w:ind w:left="432" w:hanging="432"/>
        <w:jc w:val="both"/>
      </w:pPr>
      <w:r>
        <w:rPr>
          <w:color w:val="334155"/>
          <w:sz w:val="17"/>
        </w:rPr>
        <w:t>[32] A. Baevski, Y. Zhou, A. Mohamed, and M. Auli, "wav2vec 2.0: A Framework for Self-Supervised Learning of Speech Representations," in Advances in Neural Information Processing Systems, vol. 33, pp. 12449–12460, 2020.</w:t>
      </w:r>
    </w:p>
    <w:p>
      <w:pPr>
        <w:spacing w:line="252" w:lineRule="auto" w:after="60"/>
        <w:ind w:left="432" w:hanging="432"/>
        <w:jc w:val="both"/>
      </w:pPr>
      <w:r>
        <w:rPr>
          <w:color w:val="334155"/>
          <w:sz w:val="17"/>
        </w:rPr>
        <w:t>[33] C. M. Bishop, Pattern Recognition and Machine Learning. New York, NY: Springer, 2006.</w:t>
      </w:r>
    </w:p>
    <w:p>
      <w:pPr>
        <w:spacing w:line="252" w:lineRule="auto" w:after="60"/>
        <w:ind w:left="432" w:hanging="432"/>
        <w:jc w:val="both"/>
      </w:pPr>
      <w:r>
        <w:rPr>
          <w:color w:val="334155"/>
          <w:sz w:val="17"/>
        </w:rPr>
        <w:t>[34] I. Goodfellow, Y. Bengio, and A. Courville, Deep Learning. Cambridge, MA: MIT Press, 2016.</w:t>
      </w:r>
    </w:p>
    <w:p>
      <w:pPr>
        <w:spacing w:line="252" w:lineRule="auto" w:after="60"/>
        <w:ind w:left="432" w:hanging="432"/>
        <w:jc w:val="both"/>
      </w:pPr>
      <w:r>
        <w:rPr>
          <w:color w:val="334155"/>
          <w:sz w:val="17"/>
        </w:rPr>
        <w:t>[35] D. Jurafsky and J. H. Martin, Speech and Language Processing, 3rd ed. draft. Pearson, 2024.</w:t>
      </w:r>
    </w:p>
    <w:p>
      <w:pPr>
        <w:spacing w:line="252" w:lineRule="auto" w:after="60"/>
        <w:ind w:left="432" w:hanging="432"/>
        <w:jc w:val="both"/>
      </w:pPr>
      <w:r>
        <w:rPr>
          <w:color w:val="334155"/>
          <w:sz w:val="17"/>
        </w:rPr>
        <w:t>[36] Y. Kim, "Convolutional Neural Networks for Sentence Classification," in Proc. EMNLP, 2014, pp. 1746–1751.</w:t>
      </w:r>
    </w:p>
    <w:p>
      <w:pPr>
        <w:spacing w:line="252" w:lineRule="auto" w:after="60"/>
        <w:ind w:left="432" w:hanging="432"/>
        <w:jc w:val="both"/>
      </w:pPr>
      <w:r>
        <w:rPr>
          <w:color w:val="334155"/>
          <w:sz w:val="17"/>
        </w:rPr>
        <w:t>[37] V. Sanh, L. Debut, J. Chaumond, and T. Wolf, "DistilBERT, a distilled version of BERT: smaller, faster, cheaper and lighter," arXiv preprint arXiv:1910.01108, 2019.</w:t>
      </w:r>
    </w:p>
    <w:p>
      <w:pPr>
        <w:spacing w:line="252" w:lineRule="auto" w:after="60"/>
        <w:ind w:left="432" w:hanging="432"/>
        <w:jc w:val="both"/>
      </w:pPr>
      <w:r>
        <w:rPr>
          <w:color w:val="334155"/>
          <w:sz w:val="17"/>
        </w:rPr>
        <w:t>[38] A. Howard et al., "MobileNets: Efficient Convolutional Neural Networks for Mobile Vision Applications," arXiv preprint arXiv:1704.04861, 2017.</w:t>
      </w:r>
    </w:p>
    <w:p>
      <w:pPr>
        <w:spacing w:line="252" w:lineRule="auto" w:after="60"/>
        <w:ind w:left="432" w:hanging="432"/>
        <w:jc w:val="both"/>
      </w:pPr>
      <w:r>
        <w:rPr>
          <w:color w:val="334155"/>
          <w:sz w:val="17"/>
        </w:rPr>
        <w:t>[39] H. Brendan McMahan et al., "Communication-Efficient Learning of Deep Networks from Decentralized Data," in Proc. AISTATS, 2017.</w:t>
      </w:r>
    </w:p>
    <w:p>
      <w:pPr>
        <w:spacing w:line="252" w:lineRule="auto" w:after="60"/>
        <w:ind w:left="432" w:hanging="432"/>
        <w:jc w:val="both"/>
      </w:pPr>
      <w:r>
        <w:rPr>
          <w:color w:val="334155"/>
          <w:sz w:val="17"/>
        </w:rPr>
        <w:t>[40] F. Chollet, "Xception: Deep Learning with Depthwise Separable Convolutions," in Proc. IEEE CVPR, 2017, pp. 1251–1258.</w:t>
      </w:r>
    </w:p>
    <w:p>
      <w:pPr>
        <w:spacing w:line="252" w:lineRule="auto" w:after="60"/>
        <w:ind w:left="432" w:hanging="432"/>
        <w:jc w:val="both"/>
      </w:pPr>
      <w:r>
        <w:rPr>
          <w:color w:val="334155"/>
          <w:sz w:val="17"/>
        </w:rPr>
        <w:t>[41] S. Wang et al., "Privacy-Preserving Acoustic Analysis in Edge Computing Environments," IEEE Internet of Things Journal, vol. 9, no. 12, pp. 9823–9835, 2022.</w:t>
      </w:r>
    </w:p>
    <w:p>
      <w:pPr>
        <w:spacing w:line="252" w:lineRule="auto" w:after="60"/>
        <w:ind w:left="432" w:hanging="432"/>
        <w:jc w:val="both"/>
      </w:pPr>
      <w:r>
        <w:rPr>
          <w:color w:val="334155"/>
          <w:sz w:val="17"/>
        </w:rPr>
        <w:t>[42] X. Li, Y. Zhang, and J. Wang, "Robust Keyword Spotting and Intent Classification in Noisy Telephonic Channels," Speech Communication, vol. 145, pp. 45–59, 2023.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