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56"/>
        </w:rPr>
        <w:t>TrueShield AI</w:t>
      </w:r>
    </w:p>
    <w:p>
      <w:pPr>
        <w:spacing w:after="40"/>
        <w:jc w:val="center"/>
      </w:pPr>
      <w:r>
        <w:rPr>
          <w:rFonts w:ascii="Calibri" w:hAnsi="Calibri"/>
          <w:i/>
          <w:color w:val="2563EB"/>
          <w:sz w:val="28"/>
        </w:rPr>
        <w:t>Real-Time AI-Driven Scam Call Detection System</w:t>
      </w:r>
    </w:p>
    <w:p>
      <w:pPr>
        <w:spacing w:after="320"/>
        <w:jc w:val="center"/>
      </w:pPr>
      <w:r>
        <w:rPr>
          <w:rFonts w:ascii="Calibri" w:hAnsi="Calibri"/>
          <w:color w:val="475569"/>
          <w:sz w:val="21"/>
        </w:rPr>
        <w:t>Vaishnavi Trivedi  |  B.Tech CSE (Cybersecurity)  |  GHRCE Nagpur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200" w:after="280"/>
        <w:jc w:val="center"/>
      </w:pPr>
      <w:r>
        <w:rPr>
          <w:rFonts w:ascii="Calibri" w:hAnsi="Calibri"/>
          <w:b/>
          <w:color w:val="334155"/>
          <w:sz w:val="24"/>
        </w:rPr>
        <w:t>Research Diagrams &amp; System Architecture Figures</w:t>
      </w:r>
    </w:p>
    <w:p>
      <w:pPr>
        <w:spacing w:before="280" w:after="80"/>
        <w:jc w:val="left"/>
      </w:pPr>
      <w:r>
        <w:rPr>
          <w:rFonts w:ascii="Calibri" w:hAnsi="Calibri"/>
          <w:b/>
          <w:color w:val="0F172A"/>
          <w:sz w:val="24"/>
        </w:rPr>
        <w:t>◆  Figure 1: TrueShield AI — End-to-End System Architecture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1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/>
          <w:color w:val="0F172A"/>
          <w:sz w:val="18"/>
        </w:rPr>
        <w:t xml:space="preserve">Fig. 1. </w:t>
      </w:r>
      <w:r>
        <w:rPr>
          <w:rFonts w:ascii="Calibri" w:hAnsi="Calibri"/>
          <w:i/>
          <w:color w:val="475569"/>
          <w:sz w:val="18"/>
        </w:rPr>
        <w:t>Complete 4-tier pipeline showing Real-Time Audio Capture &amp; Streaming ASR → Dual-Engine Hybrid Analysis (Rule Matcher + Gemini LLM) → Maximum-Pooling Threat Arbitration → Live HUD &amp; Supabase Cloud Persistence.</w:t>
      </w:r>
    </w:p>
    <w:p>
      <w:pPr>
        <w:spacing w:before="40" w:after="40"/>
        <w:pBdr>
          <w:bottom w:val="single" w:sz="6" w:space="1" w:color="CBD5E1"/>
        </w:pBdr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F172A"/>
          <w:sz w:val="24"/>
        </w:rPr>
        <w:t>◆  Figure 2: Real-Time Detection Workflow &amp; Decision State Machine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5047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detection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047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/>
          <w:color w:val="0F172A"/>
          <w:sz w:val="18"/>
        </w:rPr>
        <w:t xml:space="preserve">Fig. 2. </w:t>
      </w:r>
      <w:r>
        <w:rPr>
          <w:rFonts w:ascii="Calibri" w:hAnsi="Calibri"/>
          <w:i/>
          <w:color w:val="475569"/>
          <w:sz w:val="18"/>
        </w:rPr>
        <w:t>ISO-standard process flowchart illustrating the continuous acoustic stream loop, parallel dual-engine execution, 6000 ms circuit-breaker timeout fallback, and tri-tier risk threshold routing (Safe / Suspicious / Critical).</w:t>
      </w:r>
    </w:p>
    <w:p>
      <w:pPr>
        <w:spacing w:before="40" w:after="40"/>
        <w:pBdr>
          <w:bottom w:val="single" w:sz="6" w:space="1" w:color="CBD5E1"/>
        </w:pBdr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F172A"/>
          <w:sz w:val="24"/>
        </w:rPr>
        <w:t>◆  Figure 3: Hybrid Threat Fusion Pipeline &amp; Max-Pooling Arbitration Model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61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hybrid_scorin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/>
          <w:color w:val="0F172A"/>
          <w:sz w:val="18"/>
        </w:rPr>
        <w:t xml:space="preserve">Fig. 3. </w:t>
      </w:r>
      <w:r>
        <w:rPr>
          <w:rFonts w:ascii="Calibri" w:hAnsi="Calibri"/>
          <w:i/>
          <w:color w:val="475569"/>
          <w:sz w:val="18"/>
        </w:rPr>
        <w:t>Mathematical formulation of lexical weight accumulation (Engine A), Gemini LLM structured JSON inference (Engine B), and the Max-Pooling fusion operator: S_final = max(S_rule, S_AI). Includes worked trace for a real-world CBI/OTP scam transcript.</w:t>
      </w:r>
    </w:p>
    <w:p>
      <w:pPr>
        <w:spacing w:before="40" w:after="40"/>
        <w:pBdr>
          <w:bottom w:val="single" w:sz="6" w:space="1" w:color="CBD5E1"/>
        </w:pBdr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F172A"/>
          <w:sz w:val="24"/>
        </w:rPr>
        <w:t>◆  Figure 4: TrueShield AI — Phone Scam Threat Taxonomy &amp; Vector Ontology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706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scam_threat_taxono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0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/>
          <w:color w:val="0F172A"/>
          <w:sz w:val="18"/>
        </w:rPr>
        <w:t xml:space="preserve">Fig. 4. </w:t>
      </w:r>
      <w:r>
        <w:rPr>
          <w:rFonts w:ascii="Calibri" w:hAnsi="Calibri"/>
          <w:i/>
          <w:color w:val="475569"/>
          <w:sz w:val="18"/>
        </w:rPr>
        <w:t>Hierarchical 8-class taxonomy of phone fraud vectors modeled by TrueShield AI: Credential Theft, Tech Support/Remote Access, Authority Impersonation (CBI/Police), Financial/Utility Fraud, Verification/KYC, Pressure Tactics, Lottery/Prize Scams, and Safe Baseline.</w:t>
      </w:r>
    </w:p>
    <w:p>
      <w:pPr>
        <w:spacing w:before="40" w:after="40"/>
        <w:pBdr>
          <w:bottom w:val="single" w:sz="6" w:space="1" w:color="CBD5E1"/>
        </w:pBdr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F172A"/>
          <w:sz w:val="24"/>
        </w:rPr>
        <w:t>◆  Figure 5: Conceptual Graphical Abstract — TrueShield AI Overview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5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al_abstra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/>
          <w:color w:val="0F172A"/>
          <w:sz w:val="18"/>
        </w:rPr>
        <w:t xml:space="preserve">Fig. 5. </w:t>
      </w:r>
      <w:r>
        <w:rPr>
          <w:rFonts w:ascii="Calibri" w:hAnsi="Calibri"/>
          <w:i/>
          <w:color w:val="475569"/>
          <w:sz w:val="18"/>
        </w:rPr>
        <w:t>Conceptual illustration of TrueShield AI real-time in-call acoustic waveform capture, dual AI threat analysis, and holographic cyber-shield HUD.</w:t>
      </w:r>
    </w:p>
    <w:p>
      <w:pPr>
        <w:spacing w:before="40" w:after="40"/>
        <w:pBdr>
          <w:bottom w:val="single" w:sz="6" w:space="1" w:color="CBD5E1"/>
        </w:pBdr>
      </w:pPr>
    </w:p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color w:val="0F172A"/>
          <w:sz w:val="28"/>
        </w:rPr>
        <w:t>Quick Legend — TrueShield AI Risk Score Thresholds</w:t>
      </w:r>
    </w:p>
    <w:p>
      <w:pPr>
        <w:spacing w:after="120"/>
        <w:ind w:left="432"/>
      </w:pPr>
      <w:r>
        <w:rPr>
          <w:rFonts w:ascii="Calibri" w:hAnsi="Calibri"/>
          <w:b/>
          <w:color w:val="047857"/>
          <w:sz w:val="22"/>
        </w:rPr>
        <w:t>🟢  SAFE  (Score 0 – 39)</w:t>
        <w:br/>
      </w:r>
      <w:r>
        <w:rPr>
          <w:rFonts w:ascii="Calibri" w:hAnsi="Calibri"/>
          <w:color w:val="334155"/>
          <w:sz w:val="20"/>
        </w:rPr>
        <w:t>Normal conversation. No suspicious keywords detected. Passive monitoring continues silently.</w:t>
      </w:r>
    </w:p>
    <w:p>
      <w:pPr>
        <w:spacing w:after="120"/>
        <w:ind w:left="432"/>
      </w:pPr>
      <w:r>
        <w:rPr>
          <w:rFonts w:ascii="Calibri" w:hAnsi="Calibri"/>
          <w:b/>
          <w:color w:val="A16207"/>
          <w:sz w:val="22"/>
        </w:rPr>
        <w:t>🟡  SUSPICIOUS  (Score 40 – 70)</w:t>
        <w:br/>
      </w:r>
      <w:r>
        <w:rPr>
          <w:rFonts w:ascii="Calibri" w:hAnsi="Calibri"/>
          <w:color w:val="334155"/>
          <w:sz w:val="20"/>
        </w:rPr>
        <w:t>Warning banner displayed. Caller should be verified through official channels. Do not share personal data.</w:t>
      </w:r>
    </w:p>
    <w:p>
      <w:pPr>
        <w:spacing w:after="120"/>
        <w:ind w:left="432"/>
      </w:pPr>
      <w:r>
        <w:rPr>
          <w:rFonts w:ascii="Calibri" w:hAnsi="Calibri"/>
          <w:b/>
          <w:color w:val="B91C1C"/>
          <w:sz w:val="22"/>
        </w:rPr>
        <w:t>🔴  CRITICAL SCAM  (Score &gt; 70)</w:t>
        <w:br/>
      </w:r>
      <w:r>
        <w:rPr>
          <w:rFonts w:ascii="Calibri" w:hAnsi="Calibri"/>
          <w:color w:val="334155"/>
          <w:sz w:val="20"/>
        </w:rPr>
        <w:t>Immediate high-priority alert. Hang up now. Block the number. Do not share OTP, PIN, CVV, or Aadhaar.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280" w:after="120"/>
        <w:jc w:val="center"/>
      </w:pPr>
      <w:r>
        <w:rPr>
          <w:rFonts w:ascii="Courier New" w:hAnsi="Courier New"/>
          <w:b/>
          <w:color w:val="0F172A"/>
          <w:sz w:val="26"/>
        </w:rPr>
        <w:t>Core Fusion Formula:   S_final = max( S_rule,  S_AI )</w:t>
      </w:r>
    </w:p>
    <w:p>
      <w:pPr>
        <w:jc w:val="center"/>
      </w:pPr>
      <w:r>
        <w:rPr>
          <w:rFonts w:ascii="Calibri" w:hAnsi="Calibri"/>
          <w:i/>
          <w:color w:val="475569"/>
          <w:sz w:val="19"/>
        </w:rPr>
        <w:t>Maximum-Pooling ensures zero false negatives — if either engine detects a hard keyword (OTP, AnyDesk, Arrest Warrant), the higher score always wins.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