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CRYPTOCURRENCY MARKET BEHAVIOUR</w:t>
      </w:r>
    </w:p>
    <w:p>
      <w:pPr>
        <w:jc w:val="center"/>
      </w:pPr>
      <w:r>
        <w:rPr>
          <w:i/>
          <w:sz w:val="26"/>
        </w:rPr>
        <w:t>Statistical Analysis, Hypothesis Testing and Regression-Based Volume Prediction</w:t>
      </w:r>
    </w:p>
    <w:p>
      <w:r>
        <w:br/>
      </w:r>
    </w:p>
    <w:p>
      <w:pPr>
        <w:jc w:val="center"/>
      </w:pPr>
      <w:r>
        <w:t>Course: 23CSE351 – Foundations of Data Science</w:t>
      </w:r>
    </w:p>
    <w:p>
      <w:pPr>
        <w:jc w:val="center"/>
      </w:pPr>
      <w:r>
        <w:t>Case Study Report</w:t>
      </w:r>
    </w:p>
    <w:p>
      <w:pPr>
        <w:jc w:val="center"/>
      </w:pPr>
      <w:r>
        <w:t>Student Name: ______________________________</w:t>
      </w:r>
    </w:p>
    <w:p>
      <w:pPr>
        <w:jc w:val="center"/>
      </w:pPr>
      <w:r>
        <w:t>Register Number: ___________________________</w:t>
      </w:r>
    </w:p>
    <w:p>
      <w:pPr>
        <w:jc w:val="center"/>
      </w:pPr>
      <w:r>
        <w:t>Department: _______________________________</w:t>
      </w:r>
    </w:p>
    <w:p>
      <w:pPr>
        <w:jc w:val="center"/>
      </w:pPr>
      <w:r>
        <w:t>Date: _____________________________________</w:t>
      </w:r>
    </w:p>
    <w:p>
      <w:r>
        <w:br w:type="page"/>
      </w:r>
    </w:p>
    <w:p>
      <w:pPr>
        <w:pStyle w:val="Heading1"/>
      </w:pPr>
      <w:r>
        <w:t>Executive Summary</w:t>
      </w:r>
    </w:p>
    <w:p>
      <w:r>
        <w:t>This case study examines cryptocurrency market structure, trading activity, returns, volatility, co-movement and calendar effects using timestamped snapshots of crypto assets. The notebook verifies the source data, handles coverage and measurement issues, reduces overlapping rolling-24-hour observations to a daily analysis panel, investigates 15 questions, performs seven hypothesis tests, and builds regression models to estimate trading volume.</w:t>
      </w:r>
    </w:p>
    <w:p>
      <w:r>
        <w:t>The results show a highly concentrated tracked market, a substantial weekend decline in volume, strongly non-normal Bitcoin returns, a clear difference between stable-value and volatile tokens, and a positive relationship between trading activity and the size of price moves. For volume prediction, Random Forest performs best on a later time period, while linear regression generalises better to assets not seen during training.</w:t>
      </w:r>
    </w:p>
    <w:p>
      <w:pPr>
        <w:pStyle w:val="Heading1"/>
      </w:pPr>
      <w:r>
        <w:t>1. Introduction</w:t>
      </w:r>
    </w:p>
    <w:p>
      <w:r>
        <w:t>Cryptocurrency markets operate continuously and contain assets with very different market values, liquidity, and price behaviour. Looking at market capitalisation alone does not explain which assets are actively traded, how risk differs across assets, or whether market activity changes over time. Statistical analysis and predictive modelling can help describe these patterns and support monitoring decisions.</w:t>
      </w:r>
    </w:p>
    <w:p>
      <w:pPr>
        <w:pStyle w:val="Heading1"/>
      </w:pPr>
      <w:r>
        <w:t>2. Problem Statement</w:t>
      </w:r>
    </w:p>
    <w:p>
      <w:r>
        <w:t>The objective is to investigate the structure and behaviour of the tracked cryptocurrency market using data-driven analysis. The study asks how concentrated market capitalisation and trading volume are, how returns and volatility differ across assets, whether market activity varies by day of week, how closely assets follow Bitcoin, and whether an asset’s 24-hour trading volume can be estimated from market size and recent market behaviour.</w:t>
      </w:r>
    </w:p>
    <w:p>
      <w:pPr>
        <w:pStyle w:val="Heading1"/>
      </w:pPr>
      <w:r>
        <w:t>3. Objectives</w:t>
      </w:r>
    </w:p>
    <w:p>
      <w:pPr>
        <w:pStyle w:val="ListBullet"/>
      </w:pPr>
      <w:r>
        <w:t>Describe the dataset and validate its quality before analysis.</w:t>
      </w:r>
    </w:p>
    <w:p>
      <w:pPr>
        <w:pStyle w:val="ListBullet"/>
      </w:pPr>
      <w:r>
        <w:t>Clean, transform and reduce the snapshot data into a suitable daily panel.</w:t>
      </w:r>
    </w:p>
    <w:p>
      <w:pPr>
        <w:pStyle w:val="ListBullet"/>
      </w:pPr>
      <w:r>
        <w:t>Use summary statistics and visualisations to explore market structure, returns, risk and activity.</w:t>
      </w:r>
    </w:p>
    <w:p>
      <w:pPr>
        <w:pStyle w:val="ListBullet"/>
      </w:pPr>
      <w:r>
        <w:t>Investigate 15 meaningful questions using suitable statistical concepts.</w:t>
      </w:r>
    </w:p>
    <w:p>
      <w:pPr>
        <w:pStyle w:val="ListBullet"/>
      </w:pPr>
      <w:r>
        <w:t>Formulate and test hypotheses, including weekday/weekend and stable-value/volatile comparisons.</w:t>
      </w:r>
    </w:p>
    <w:p>
      <w:pPr>
        <w:pStyle w:val="ListBullet"/>
      </w:pPr>
      <w:r>
        <w:t>Build and evaluate regression models for predicting log-transformed 24-hour trading volume.</w:t>
      </w:r>
    </w:p>
    <w:p>
      <w:pPr>
        <w:pStyle w:val="ListBullet"/>
      </w:pPr>
      <w:r>
        <w:t>Summarise findings, limitations and possible future improvements.</w:t>
      </w:r>
    </w:p>
    <w:p>
      <w:pPr>
        <w:pStyle w:val="Heading1"/>
      </w:pPr>
      <w:r>
        <w:t>4. Dataset Description</w:t>
      </w:r>
    </w:p>
    <w:p>
      <w:r>
        <w:t>The notebook identifies the source as the Kaggle dataset “Hourly Crypto Stocks Market Data” (Adrian Julius Aluoch). Each row represents one asset snapshot at a timestamp. The notebook reports 109,130 snapshots covering 71 assets.</w:t>
      </w:r>
    </w:p>
    <w:tbl>
      <w:tblPr>
        <w:tblStyle w:val="LightShading-Accent1"/>
        <w:tblW w:type="auto" w:w="0"/>
        <w:tblLook w:firstColumn="1" w:firstRow="1" w:lastColumn="0" w:lastRow="0" w:noHBand="0" w:noVBand="1" w:val="04A0"/>
      </w:tblPr>
      <w:tblGrid>
        <w:gridCol w:w="4968"/>
        <w:gridCol w:w="4968"/>
      </w:tblGrid>
      <w:tr>
        <w:tc>
          <w:tcPr>
            <w:tcW w:type="dxa" w:w="4968"/>
          </w:tcPr>
          <w:p>
            <w:r>
              <w:t>Attribute</w:t>
            </w:r>
          </w:p>
        </w:tc>
        <w:tc>
          <w:tcPr>
            <w:tcW w:type="dxa" w:w="4968"/>
          </w:tcPr>
          <w:p>
            <w:r>
              <w:t>Description</w:t>
            </w:r>
          </w:p>
        </w:tc>
      </w:tr>
      <w:tr>
        <w:tc>
          <w:tcPr>
            <w:tcW w:type="dxa" w:w="4968"/>
          </w:tcPr>
          <w:p>
            <w:r>
              <w:t>timestamp</w:t>
            </w:r>
          </w:p>
        </w:tc>
        <w:tc>
          <w:tcPr>
            <w:tcW w:type="dxa" w:w="4968"/>
          </w:tcPr>
          <w:p>
            <w:r>
              <w:t>Time at which the snapshot was collected</w:t>
            </w:r>
          </w:p>
        </w:tc>
      </w:tr>
      <w:tr>
        <w:tc>
          <w:tcPr>
            <w:tcW w:type="dxa" w:w="4968"/>
          </w:tcPr>
          <w:p>
            <w:r>
              <w:t>name / symbol</w:t>
            </w:r>
          </w:p>
        </w:tc>
        <w:tc>
          <w:tcPr>
            <w:tcW w:type="dxa" w:w="4968"/>
          </w:tcPr>
          <w:p>
            <w:r>
              <w:t>Asset name and ticker</w:t>
            </w:r>
          </w:p>
        </w:tc>
      </w:tr>
      <w:tr>
        <w:tc>
          <w:tcPr>
            <w:tcW w:type="dxa" w:w="4968"/>
          </w:tcPr>
          <w:p>
            <w:r>
              <w:t>price_usd</w:t>
            </w:r>
          </w:p>
        </w:tc>
        <w:tc>
          <w:tcPr>
            <w:tcW w:type="dxa" w:w="4968"/>
          </w:tcPr>
          <w:p>
            <w:r>
              <w:t>Price in USD, rounded to two decimal places</w:t>
            </w:r>
          </w:p>
        </w:tc>
      </w:tr>
      <w:tr>
        <w:tc>
          <w:tcPr>
            <w:tcW w:type="dxa" w:w="4968"/>
          </w:tcPr>
          <w:p>
            <w:r>
              <w:t>vol_24h</w:t>
            </w:r>
          </w:p>
        </w:tc>
        <w:tc>
          <w:tcPr>
            <w:tcW w:type="dxa" w:w="4968"/>
          </w:tcPr>
          <w:p>
            <w:r>
              <w:t>Trading volume in USD over the previous 24 hours</w:t>
            </w:r>
          </w:p>
        </w:tc>
      </w:tr>
      <w:tr>
        <w:tc>
          <w:tcPr>
            <w:tcW w:type="dxa" w:w="4968"/>
          </w:tcPr>
          <w:p>
            <w:r>
              <w:t>total_vol</w:t>
            </w:r>
          </w:p>
        </w:tc>
        <w:tc>
          <w:tcPr>
            <w:tcW w:type="dxa" w:w="4968"/>
          </w:tcPr>
          <w:p>
            <w:r>
              <w:t>Asset share (%) of combined 24-hour volume in the same snapshot</w:t>
            </w:r>
          </w:p>
        </w:tc>
      </w:tr>
      <w:tr>
        <w:tc>
          <w:tcPr>
            <w:tcW w:type="dxa" w:w="4968"/>
          </w:tcPr>
          <w:p>
            <w:r>
              <w:t>chg_24h / chg_7d</w:t>
            </w:r>
          </w:p>
        </w:tc>
        <w:tc>
          <w:tcPr>
            <w:tcW w:type="dxa" w:w="4968"/>
          </w:tcPr>
          <w:p>
            <w:r>
              <w:t>Percentage price change over the previous 24 hours / 7 days</w:t>
            </w:r>
          </w:p>
        </w:tc>
      </w:tr>
      <w:tr>
        <w:tc>
          <w:tcPr>
            <w:tcW w:type="dxa" w:w="4968"/>
          </w:tcPr>
          <w:p>
            <w:r>
              <w:t>market_cap</w:t>
            </w:r>
          </w:p>
        </w:tc>
        <w:tc>
          <w:tcPr>
            <w:tcW w:type="dxa" w:w="4968"/>
          </w:tcPr>
          <w:p>
            <w:r>
              <w:t>Market capitalisation in USD</w:t>
            </w:r>
          </w:p>
        </w:tc>
      </w:tr>
      <w:tr>
        <w:tc>
          <w:tcPr>
            <w:tcW w:type="dxa" w:w="4968"/>
          </w:tcPr>
          <w:p>
            <w:r>
              <w:t>name_encoded / symbol_encoded</w:t>
            </w:r>
          </w:p>
        </w:tc>
        <w:tc>
          <w:tcPr>
            <w:tcW w:type="dxa" w:w="4968"/>
          </w:tcPr>
          <w:p>
            <w:r>
              <w:t>Label-encoded versions of name and symbol</w:t>
            </w:r>
          </w:p>
        </w:tc>
      </w:tr>
    </w:tbl>
    <w:p>
      <w:r>
        <w:t>Dataset source: https://www.kaggle.com/datasets/adrianjuliusaluoch/hourly-crypto-stocks-market-data</w:t>
      </w:r>
    </w:p>
    <w:p>
      <w:pPr>
        <w:pStyle w:val="Heading1"/>
      </w:pPr>
      <w:r>
        <w:t>5. Data Preprocessing</w:t>
      </w:r>
    </w:p>
    <w:p>
      <w:pPr>
        <w:pStyle w:val="Heading2"/>
      </w:pPr>
      <w:r>
        <w:t>5.1 Structural and quality checks</w:t>
      </w:r>
    </w:p>
    <w:p>
      <w:pPr>
        <w:pStyle w:val="ListBullet"/>
      </w:pPr>
      <w:r>
        <w:t>The timestamp field was converted to datetime and records were sorted by timestamp and asset name.</w:t>
      </w:r>
    </w:p>
    <w:p>
      <w:pPr>
        <w:pStyle w:val="ListBullet"/>
      </w:pPr>
      <w:r>
        <w:t>The notebook reports no missing values and no duplicate rows.</w:t>
      </w:r>
    </w:p>
    <w:p>
      <w:pPr>
        <w:pStyle w:val="ListBullet"/>
      </w:pPr>
      <w:r>
        <w:t>The meaning of total_vol was checked by recomputing each asset’s share of the total volume at each timestamp. Shares summed to approximately 100% and closely matched the supplied field.</w:t>
      </w:r>
    </w:p>
    <w:p>
      <w:pPr>
        <w:pStyle w:val="ListBullet"/>
      </w:pPr>
      <w:r>
        <w:t>The encoded name and symbol columns were found to map one-to-one to their original text columns, so they added no independent information and were treated as redundant.</w:t>
      </w:r>
    </w:p>
    <w:p>
      <w:pPr>
        <w:pStyle w:val="Heading2"/>
      </w:pPr>
      <w:r>
        <w:t>5.2 Coverage change and anomalous values</w:t>
      </w:r>
    </w:p>
    <w:p>
      <w:r>
        <w:t>The snapshot coverage changed during the study: from 26 January to 20 May 2026, snapshots contained 50 assets; after the change on 20 May, the collection contained 10 assets. The notebook separates these regimes where comparisons require consistent coverage.</w:t>
      </w:r>
    </w:p>
    <w:p>
      <w:r>
        <w:t>The price column was rounded to two decimal places. As a result, Shiba Inu, Pepe and HTX DAO have rows recorded with a price of zero, and Rain has one such row. These values are a measurement limitation rather than evidence that the assets had no market value. BlackRock BUIDL has no reported volume. Extreme moves for RaveDAO and Siren were audited rather than automatically removed, because unusual market movements can be genuine.</w:t>
      </w:r>
    </w:p>
    <w:p>
      <w:pPr>
        <w:pStyle w:val="Heading2"/>
      </w:pPr>
      <w:r>
        <w:t>5.3 Feature engineering and data reduction</w:t>
      </w:r>
    </w:p>
    <w:p>
      <w:r>
        <w:t>Assets were categorised as Stable-value or Volatile based on the coefficient of variation of their observed prices. The notebook classifies 17 assets as Stable-value and the remaining analysed assets as Volatile. The rolling 24-hour measures overlap between hourly snapshots, so the notebook constructs an end-of-day daily panel to reduce repeated observations. It reports 6,150 asset-days overall, including 5,400 asset-days in the 50-asset period.</w:t>
      </w:r>
    </w:p>
    <w:p>
      <w:pPr>
        <w:pStyle w:val="Heading1"/>
      </w:pPr>
      <w:r>
        <w:t>6. Exploratory Data Analysis</w:t>
      </w:r>
    </w:p>
    <w:p>
      <w:pPr>
        <w:pStyle w:val="Heading2"/>
      </w:pPr>
      <w:r>
        <w:t>6.1 Distribution and outliers</w:t>
      </w:r>
    </w:p>
    <w:p>
      <w:r>
        <w:t>The numerical variables are strongly right-skewed. The IQR rule flags approximately 12.6%–19.6% of rows depending on the variable, but such flags are not automatically errors in financial data: market capitalisation and volume naturally vary by orders of magnitude, and returns can contain genuine extreme events. Log transformations are therefore useful for volume-related modelling.</w:t>
      </w:r>
    </w:p>
    <w:p>
      <w:pPr>
        <w:pStyle w:val="Heading2"/>
      </w:pPr>
      <w:r>
        <w:t>6.2 Correlation and sampling</w:t>
      </w:r>
    </w:p>
    <w:p>
      <w:r>
        <w:t>The notebook examines correlations among numerical features for volatile assets and uses a Central Limit Theorem simulation to explain sampling behaviour. It also calculates a 95% confidence interval for Bitcoin’s mean daily return. These analyses support the choice of robust or non-parametric tests where distributions are non-normal.</w:t>
      </w:r>
    </w:p>
    <w:p>
      <w:pPr>
        <w:pStyle w:val="Heading1"/>
      </w:pPr>
      <w:r>
        <w:t>7. Fifteen Analysis Questions and Findings</w:t>
      </w:r>
    </w:p>
    <w:p>
      <w:pPr>
        <w:pStyle w:val="Heading2"/>
      </w:pPr>
      <w:r>
        <w:t>Q1. How concentrated is total market capitalisation?</w:t>
      </w:r>
    </w:p>
    <w:p>
      <w:r>
        <w:t>Bitcoin represents 59.5% of tracked market capitalisation; the top 10 assets represent 92.9%. The HHI is approximately 3,750, indicating high concentration. A long list of assets therefore does not imply an evenly distributed market.</w:t>
      </w:r>
    </w:p>
    <w:p>
      <w:pPr>
        <w:pStyle w:val="Heading2"/>
      </w:pPr>
      <w:r>
        <w:t>Q2. How did Bitcoin’s dominance evolve?</w:t>
      </w:r>
    </w:p>
    <w:p>
      <w:r>
        <w:t>The notebook tracks Bitcoin’s daily share of tracked market capitalisation and compares it with Bitcoin’s price over the consistent 50-asset period. This helps interpret dominance as a market-regime indicator.</w:t>
      </w:r>
    </w:p>
    <w:p>
      <w:pPr>
        <w:pStyle w:val="Heading2"/>
      </w:pPr>
      <w:r>
        <w:t>Q3. Is volume concentrated in the same assets as market capitalisation?</w:t>
      </w:r>
    </w:p>
    <w:p>
      <w:r>
        <w:t>No. Tether accounts for 43.9% of total tracked volume, while Bitcoin accounts for 59.5% of tracked market capitalisation but 26.7% of volume. Value held and trading activity are therefore distributed differently.</w:t>
      </w:r>
    </w:p>
    <w:p>
      <w:pPr>
        <w:pStyle w:val="Heading2"/>
      </w:pPr>
      <w:r>
        <w:t>Q4. How liquid are assets relative to their size?</w:t>
      </w:r>
    </w:p>
    <w:p>
      <w:r>
        <w:t>Turnover is measured as 24-hour volume divided by market capitalisation. Median turnover is used to reduce the influence of spikes. Low turnover can indicate limited trading activity, while unusually high turnover can indicate intense trading or speculation.</w:t>
      </w:r>
    </w:p>
    <w:p>
      <w:pPr>
        <w:pStyle w:val="Heading2"/>
      </w:pPr>
      <w:r>
        <w:t>Q5. What does the daily-return distribution look like?</w:t>
      </w:r>
    </w:p>
    <w:p>
      <w:r>
        <w:t>Bitcoin returns are not normally distributed. Its excess kurtosis is 7.07, and extreme observations occur more often than a normal model would suggest. Across volatile assets, moves beyond three standard deviations occur about 3.4 times as often as normal theory predicts.</w:t>
      </w:r>
    </w:p>
    <w:p>
      <w:pPr>
        <w:pStyle w:val="Heading2"/>
      </w:pPr>
      <w:r>
        <w:t>Q6. Which assets are most and least volatile?</w:t>
      </w:r>
    </w:p>
    <w:p>
      <w:r>
        <w:t>Volatility is measured as the standard deviation of daily returns, with assets required to have at least 30 daily observations. Annualised volatility uses daily standard deviation multiplied by √365. The ranking helps distinguish high-risk assets from comparatively stable ones.</w:t>
      </w:r>
    </w:p>
    <w:p>
      <w:pPr>
        <w:pStyle w:val="Heading2"/>
      </w:pPr>
      <w:r>
        <w:t>Q7. How does volatility differ between stable-value and volatile tokens?</w:t>
      </w:r>
    </w:p>
    <w:p>
      <w:r>
        <w:t>The groups are completely separated in the per-asset comparison: every volatile asset is more volatile than every stable-value asset under the notebook’s measure. The Mann–Whitney test gives p = 3.2 × 10⁻¹⁰.</w:t>
      </w:r>
    </w:p>
    <w:p>
      <w:pPr>
        <w:pStyle w:val="Heading2"/>
      </w:pPr>
      <w:r>
        <w:t>Q8. Are larger assets less volatile?</w:t>
      </w:r>
    </w:p>
    <w:p>
      <w:r>
        <w:t>The size–volatility correlation is weak and not statistically significant (Spearman ρ = −0.14, p = 0.37). Market size alone is not a reliable risk filter in this sample.</w:t>
      </w:r>
    </w:p>
    <w:p>
      <w:pPr>
        <w:pStyle w:val="Heading2"/>
      </w:pPr>
      <w:r>
        <w:t>Q9. How did Bitcoin’s price evolve and what was its worst drawdown?</w:t>
      </w:r>
    </w:p>
    <w:p>
      <w:r>
        <w:t>The notebook examines Bitcoin’s price series, running peak, drawdown and monthly closes. Drawdown is defined as price divided by the running maximum minus one. The notebook notes that Bitcoin lost about 26% over the study period.</w:t>
      </w:r>
    </w:p>
    <w:p>
      <w:pPr>
        <w:pStyle w:val="Heading2"/>
      </w:pPr>
      <w:r>
        <w:t>Q10. How strongly do major assets’ daily returns move together?</w:t>
      </w:r>
    </w:p>
    <w:p>
      <w:r>
        <w:t>Average pairwise return correlation is approximately 0.54, indicating substantial co-movement. Holding several major crypto assets may therefore provide less diversification than their number alone suggests.</w:t>
      </w:r>
    </w:p>
    <w:p>
      <w:pPr>
        <w:pStyle w:val="Heading2"/>
      </w:pPr>
      <w:r>
        <w:t>Q11. How sensitive is each asset to Bitcoin’s moves?</w:t>
      </w:r>
    </w:p>
    <w:p>
      <w:r>
        <w:t>The notebook estimates each asset’s beta by regressing its daily return on Bitcoin’s daily return. Thirteen of 30 assets have beta above 1, meaning their estimated moves amplify Bitcoin’s moves on average.</w:t>
      </w:r>
    </w:p>
    <w:p>
      <w:pPr>
        <w:pStyle w:val="Heading2"/>
      </w:pPr>
      <w:r>
        <w:t>Q12. Does market activity or Bitcoin’s return differ by weekday?</w:t>
      </w:r>
    </w:p>
    <w:p>
      <w:r>
        <w:t>Daily volume and Bitcoin returns are grouped by day of week and visualised. The formal weekday-return analysis finds only limited evidence of a weekday effect, with the result driven mainly by Monday versus Thursday.</w:t>
      </w:r>
    </w:p>
    <w:p>
      <w:pPr>
        <w:pStyle w:val="Heading2"/>
      </w:pPr>
      <w:r>
        <w:t>Q13. Is total market volume lower at weekends?</w:t>
      </w:r>
    </w:p>
    <w:p>
      <w:r>
        <w:t>Yes. Weekend volume is estimated to be $69.1 billion lower per day, a 36.5% decrease relative to weekdays. Welch’s t-test p = 5.9 × 10⁻⁶ and the non-parametric and permutation tests agree.</w:t>
      </w:r>
    </w:p>
    <w:p>
      <w:pPr>
        <w:pStyle w:val="Heading2"/>
      </w:pPr>
      <w:r>
        <w:t>Q14. Is trading activity related to the size of price moves?</w:t>
      </w:r>
    </w:p>
    <w:p>
      <w:r>
        <w:t>Within-asset Spearman correlation between turnover and the size of daily moves is 0.390 (p approximately 4 × 10⁻¹⁵³, n = 4,216 asset-days). Larger moves tend to coincide with greater trading activity.</w:t>
      </w:r>
    </w:p>
    <w:p>
      <w:pPr>
        <w:pStyle w:val="Heading2"/>
      </w:pPr>
      <w:r>
        <w:t>Q15. When Bitcoin moves, does the rest of the market follow?</w:t>
      </w:r>
    </w:p>
    <w:p>
      <w:r>
        <w:t>Market breadth has a Spearman correlation of 0.868 with Bitcoin’s return across 108 days. Bitcoin’s direction matches the majority direction of other volatile assets on 86.1% of days.</w:t>
      </w:r>
    </w:p>
    <w:p>
      <w:pPr>
        <w:pStyle w:val="Heading1"/>
      </w:pPr>
      <w:r>
        <w:t>8. Statistical Hypothesis Testing and A/B Testing</w:t>
      </w:r>
    </w:p>
    <w:p>
      <w:r>
        <w:t>The notebook uses a significance level of α = 0.05. The daily panel is used to avoid treating overlapping hourly rolling-24-hour observations as independent. Statistical significance is interpreted alongside effect size and practical importance.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Test</w:t>
            </w:r>
          </w:p>
        </w:tc>
        <w:tc>
          <w:tcPr>
            <w:tcW w:type="dxa" w:w="3312"/>
          </w:tcPr>
          <w:p>
            <w:r>
              <w:t>Method and result</w:t>
            </w:r>
          </w:p>
        </w:tc>
        <w:tc>
          <w:tcPr>
            <w:tcW w:type="dxa" w:w="3312"/>
          </w:tcPr>
          <w:p>
            <w:r>
              <w:t>Decision / interpretation</w:t>
            </w:r>
          </w:p>
        </w:tc>
      </w:tr>
      <w:tr>
        <w:tc>
          <w:tcPr>
            <w:tcW w:type="dxa" w:w="3312"/>
          </w:tcPr>
          <w:p>
            <w:r>
              <w:t>1. Weekend vs weekday volume</w:t>
            </w:r>
          </w:p>
        </w:tc>
        <w:tc>
          <w:tcPr>
            <w:tcW w:type="dxa" w:w="3312"/>
          </w:tcPr>
          <w:p>
            <w:r>
              <w:t>Welch t = −5.03, p = 5.9 × 10⁻⁶; Mann–Whitney p = 7.2 × 10⁻⁸; permutation p &lt; 0.001; Cohen’s d = −1.05</w:t>
            </w:r>
          </w:p>
        </w:tc>
        <w:tc>
          <w:tcPr>
            <w:tcW w:type="dxa" w:w="3312"/>
          </w:tcPr>
          <w:p>
            <w:r>
              <w:t>Reject H₀. Weekend volume is 36.5% lower; large effect.</w:t>
            </w:r>
          </w:p>
        </w:tc>
      </w:tr>
      <w:tr>
        <w:tc>
          <w:tcPr>
            <w:tcW w:type="dxa" w:w="3312"/>
          </w:tcPr>
          <w:p>
            <w:r>
              <w:t>2. Stable-value vs volatile token volatility</w:t>
            </w:r>
          </w:p>
        </w:tc>
        <w:tc>
          <w:tcPr>
            <w:tcW w:type="dxa" w:w="3312"/>
          </w:tcPr>
          <w:p>
            <w:r>
              <w:t>Mann–Whitney U = 918, one-sided p = 3.2 × 10⁻¹⁰; rank-biserial r = 1.00</w:t>
            </w:r>
          </w:p>
        </w:tc>
        <w:tc>
          <w:tcPr>
            <w:tcW w:type="dxa" w:w="3312"/>
          </w:tcPr>
          <w:p>
            <w:r>
              <w:t>Reject H₀. Complete separation in the measured volatility comparison.</w:t>
            </w:r>
          </w:p>
        </w:tc>
      </w:tr>
      <w:tr>
        <w:tc>
          <w:tcPr>
            <w:tcW w:type="dxa" w:w="3312"/>
          </w:tcPr>
          <w:p>
            <w:r>
              <w:t>3. Bitcoin returns normality</w:t>
            </w:r>
          </w:p>
        </w:tc>
        <w:tc>
          <w:tcPr>
            <w:tcW w:type="dxa" w:w="3312"/>
          </w:tcPr>
          <w:p>
            <w:r>
              <w:t>Shapiro–Wilk W = 0.911, p = 4.4 × 10⁻⁹; Jarque–Bera and D’Agostino–Pearson also reject normality</w:t>
            </w:r>
          </w:p>
        </w:tc>
        <w:tc>
          <w:tcPr>
            <w:tcW w:type="dxa" w:w="3312"/>
          </w:tcPr>
          <w:p>
            <w:r>
              <w:t>Reject H₀. Returns have heavy tails.</w:t>
            </w:r>
          </w:p>
        </w:tc>
      </w:tr>
      <w:tr>
        <w:tc>
          <w:tcPr>
            <w:tcW w:type="dxa" w:w="3312"/>
          </w:tcPr>
          <w:p>
            <w:r>
              <w:t>4. Bitcoin mean daily return equals zero</w:t>
            </w:r>
          </w:p>
        </w:tc>
        <w:tc>
          <w:tcPr>
            <w:tcW w:type="dxa" w:w="3312"/>
          </w:tcPr>
          <w:p>
            <w:r>
              <w:t>One-sample t = −0.61, p = 0.542; Wilcoxon p = 0.552; 95% CI [−0.51%, +0.27%]</w:t>
            </w:r>
          </w:p>
        </w:tc>
        <w:tc>
          <w:tcPr>
            <w:tcW w:type="dxa" w:w="3312"/>
          </w:tcPr>
          <w:p>
            <w:r>
              <w:t>Fail to reject H₀. No statistically reliable non-zero average daily drift detected.</w:t>
            </w:r>
          </w:p>
        </w:tc>
      </w:tr>
      <w:tr>
        <w:tc>
          <w:tcPr>
            <w:tcW w:type="dxa" w:w="3312"/>
          </w:tcPr>
          <w:p>
            <w:r>
              <w:t>5. Weekday effect on Bitcoin returns</w:t>
            </w:r>
          </w:p>
        </w:tc>
        <w:tc>
          <w:tcPr>
            <w:tcW w:type="dxa" w:w="3312"/>
          </w:tcPr>
          <w:p>
            <w:r>
              <w:t>Kruskal–Wallis H = 15.37, p = 0.0175; ANOVA p = 0.075; Monday vs Thursday Bonferroni p = 0.033</w:t>
            </w:r>
          </w:p>
        </w:tc>
        <w:tc>
          <w:tcPr>
            <w:tcW w:type="dxa" w:w="3312"/>
          </w:tcPr>
          <w:p>
            <w:r>
              <w:t>Reject H₀ for the primary rank test, but evidence is fragile and the effect is modest.</w:t>
            </w:r>
          </w:p>
        </w:tc>
      </w:tr>
      <w:tr>
        <w:tc>
          <w:tcPr>
            <w:tcW w:type="dxa" w:w="3312"/>
          </w:tcPr>
          <w:p>
            <w:r>
              <w:t>6. Big moves independent of asset size tier</w:t>
            </w:r>
          </w:p>
        </w:tc>
        <w:tc>
          <w:tcPr>
            <w:tcW w:type="dxa" w:w="3312"/>
          </w:tcPr>
          <w:p>
            <w:r>
              <w:t>χ² = 22.55, df = 2, p = 1.3 × 10⁻⁵; Cramér’s V = 0.073</w:t>
            </w:r>
          </w:p>
        </w:tc>
        <w:tc>
          <w:tcPr>
            <w:tcW w:type="dxa" w:w="3312"/>
          </w:tcPr>
          <w:p>
            <w:r>
              <w:t>Reject H₀ statistically, but the association is very weak. Asset-day dependence may make p-values optimistic.</w:t>
            </w:r>
          </w:p>
        </w:tc>
      </w:tr>
      <w:tr>
        <w:tc>
          <w:tcPr>
            <w:tcW w:type="dxa" w:w="3312"/>
          </w:tcPr>
          <w:p>
            <w:r>
              <w:t>7. Bitcoin volume unrelated to absolute move</w:t>
            </w:r>
          </w:p>
        </w:tc>
        <w:tc>
          <w:tcPr>
            <w:tcW w:type="dxa" w:w="3312"/>
          </w:tcPr>
          <w:p>
            <w:r>
              <w:t>Spearman ρ = 0.462, one-sided p = 2.3 × 10⁻¹¹, n = 183</w:t>
            </w:r>
          </w:p>
        </w:tc>
        <w:tc>
          <w:tcPr>
            <w:tcW w:type="dxa" w:w="3312"/>
          </w:tcPr>
          <w:p>
            <w:r>
              <w:t>Reject H₀. Bitcoin volume is moderately positively associated with the size of its daily move.</w:t>
            </w:r>
          </w:p>
        </w:tc>
      </w:tr>
    </w:tbl>
    <w:p>
      <w:r>
        <w:t>Overall, six of the seven null hypotheses are rejected under their stated primary tests. This count should not be interpreted as meaning every effect is equally important: the weekend volume effect and stable/volatile separation are strong, whereas the size-tier association is practically weak and the weekday effect is sensitive to the test used.</w:t>
      </w:r>
    </w:p>
    <w:p>
      <w:pPr>
        <w:pStyle w:val="Heading1"/>
      </w:pPr>
      <w:r>
        <w:t>9. Regression and Prediction</w:t>
      </w:r>
    </w:p>
    <w:p>
      <w:pPr>
        <w:pStyle w:val="Heading2"/>
      </w:pPr>
      <w:r>
        <w:t>9.1 Model objective and target</w:t>
      </w:r>
    </w:p>
    <w:p>
      <w:r>
        <w:t>The regression task estimates log₁₀(24-hour trading volume). Volume is continuous and strongly right-skewed, so a logarithmic target reduces skew and makes the market-cap coefficient interpretable as an approximate elasticity. Predictors include log market capitalisation, the absolute 24-hour and 7-day moves, asset type, and a weekend indicator.</w:t>
      </w:r>
    </w:p>
    <w:p>
      <w:pPr>
        <w:pStyle w:val="Heading2"/>
      </w:pPr>
      <w:r>
        <w:t>9.2 Models and evaluation</w:t>
      </w:r>
    </w:p>
    <w:p>
      <w:r>
        <w:t>The notebook fits an Ordinary Least Squares (OLS) multiple linear regression and compares it with a Random Forest regressor and a baseline that predicts the training mean. Evaluation uses a later held-out period, which is more realistic than randomly mixing time periods.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Model</w:t>
            </w:r>
          </w:p>
        </w:tc>
        <w:tc>
          <w:tcPr>
            <w:tcW w:type="dxa" w:w="2484"/>
          </w:tcPr>
          <w:p>
            <w:r>
              <w:t>Test R²</w:t>
            </w:r>
          </w:p>
        </w:tc>
        <w:tc>
          <w:tcPr>
            <w:tcW w:type="dxa" w:w="2484"/>
          </w:tcPr>
          <w:p>
            <w:r>
              <w:t>RMSE (log₁₀)</w:t>
            </w:r>
          </w:p>
        </w:tc>
        <w:tc>
          <w:tcPr>
            <w:tcW w:type="dxa" w:w="2484"/>
          </w:tcPr>
          <w:p>
            <w:r>
              <w:t>Median error factor</w:t>
            </w:r>
          </w:p>
        </w:tc>
      </w:tr>
      <w:tr>
        <w:tc>
          <w:tcPr>
            <w:tcW w:type="dxa" w:w="2484"/>
          </w:tcPr>
          <w:p>
            <w:r>
              <w:t>Baseline (training mean)</w:t>
            </w:r>
          </w:p>
        </w:tc>
        <w:tc>
          <w:tcPr>
            <w:tcW w:type="dxa" w:w="2484"/>
          </w:tcPr>
          <w:p>
            <w:r>
              <w:t>−0.002</w:t>
            </w:r>
          </w:p>
        </w:tc>
        <w:tc>
          <w:tcPr>
            <w:tcW w:type="dxa" w:w="2484"/>
          </w:tcPr>
          <w:p>
            <w:r>
              <w:t>1.120</w:t>
            </w:r>
          </w:p>
        </w:tc>
        <w:tc>
          <w:tcPr>
            <w:tcW w:type="dxa" w:w="2484"/>
          </w:tcPr>
          <w:p>
            <w:r>
              <w:t>3.54×</w:t>
            </w:r>
          </w:p>
        </w:tc>
      </w:tr>
      <w:tr>
        <w:tc>
          <w:tcPr>
            <w:tcW w:type="dxa" w:w="2484"/>
          </w:tcPr>
          <w:p>
            <w:r>
              <w:t>Linear Regression (OLS)</w:t>
            </w:r>
          </w:p>
        </w:tc>
        <w:tc>
          <w:tcPr>
            <w:tcW w:type="dxa" w:w="2484"/>
          </w:tcPr>
          <w:p>
            <w:r>
              <w:t>0.487</w:t>
            </w:r>
          </w:p>
        </w:tc>
        <w:tc>
          <w:tcPr>
            <w:tcW w:type="dxa" w:w="2484"/>
          </w:tcPr>
          <w:p>
            <w:r>
              <w:t>0.802</w:t>
            </w:r>
          </w:p>
        </w:tc>
        <w:tc>
          <w:tcPr>
            <w:tcW w:type="dxa" w:w="2484"/>
          </w:tcPr>
          <w:p>
            <w:r>
              <w:t>2.71×</w:t>
            </w:r>
          </w:p>
        </w:tc>
      </w:tr>
      <w:tr>
        <w:tc>
          <w:tcPr>
            <w:tcW w:type="dxa" w:w="2484"/>
          </w:tcPr>
          <w:p>
            <w:r>
              <w:t>Random Forest</w:t>
            </w:r>
          </w:p>
        </w:tc>
        <w:tc>
          <w:tcPr>
            <w:tcW w:type="dxa" w:w="2484"/>
          </w:tcPr>
          <w:p>
            <w:r>
              <w:t>0.673</w:t>
            </w:r>
          </w:p>
        </w:tc>
        <w:tc>
          <w:tcPr>
            <w:tcW w:type="dxa" w:w="2484"/>
          </w:tcPr>
          <w:p>
            <w:r>
              <w:t>0.639</w:t>
            </w:r>
          </w:p>
        </w:tc>
        <w:tc>
          <w:tcPr>
            <w:tcW w:type="dxa" w:w="2484"/>
          </w:tcPr>
          <w:p>
            <w:r>
              <w:t>1.93×</w:t>
            </w:r>
          </w:p>
        </w:tc>
      </w:tr>
    </w:tbl>
    <w:p>
      <w:r>
        <w:t>Random Forest has the strongest time-based test performance: test R² = 0.673 and median multiplicative error factor = 1.93×. Its feature importance is dominated by market capitalisation (0.784), followed by the 24-hour move (0.093), 7-day move (0.063), asset type (0.055) and weekend (0.006).</w:t>
      </w:r>
    </w:p>
    <w:p>
      <w:pPr>
        <w:pStyle w:val="Heading2"/>
      </w:pPr>
      <w:r>
        <w:t>9.3 OLS interpretation and diagnostics</w:t>
      </w:r>
    </w:p>
    <w:p>
      <w:r>
        <w:t>The OLS training R² is 0.462. The log-market-cap coefficient is 1.204 (95% CI [1.163, 1.244]), implying that a 1% increase in market capitalisation is associated with approximately 1.2% higher volume, holding other predictors constant. The weekend coefficient is −0.136, corresponding to about 27% lower volume, other factors equal. All five model coefficients are reported as statistically significant at p ≤ 0.0001 in the notebook.</w:t>
      </w:r>
    </w:p>
    <w:p>
      <w:r>
        <w:t>The maximum variance inflation factor is 1.94, below the notebook’s threshold of 5. Durbin–Watson is 1.89. However, residuals are left-skewed and heavy-tailed, and their spread is not constant. These diagnostics mean OLS p-values should be treated as approximate and a single linear equation may not fit all token categories equally well.</w:t>
      </w:r>
    </w:p>
    <w:p>
      <w:pPr>
        <w:pStyle w:val="Heading2"/>
      </w:pPr>
      <w:r>
        <w:t>9.4 Generalisation to unseen assets</w:t>
      </w:r>
    </w:p>
    <w:p>
      <w:r>
        <w:t>When entire assets are held out using GroupKFold, OLS has mean R² = 0.220 and mean RMSE = 0.850, while Random Forest has mean R² = −0.255 and mean RMSE = 0.985. This reverses the time-split ranking. Random Forest predicts known assets more accurately over time, but may learn asset-specific patterns that transfer poorly to new assets. OLS captures a more transferable general relationship between market size and volume.</w:t>
      </w:r>
    </w:p>
    <w:p>
      <w:r>
        <w:t>The notebook recommends Random Forest for monitoring existing assets and linear regression for interpretation or rough estimates for new assets.</w:t>
      </w:r>
    </w:p>
    <w:p>
      <w:pPr>
        <w:pStyle w:val="Heading1"/>
      </w:pPr>
      <w:r>
        <w:t>10. Visualisation Plan</w:t>
      </w:r>
    </w:p>
    <w:p>
      <w:r>
        <w:t>The notebook contains Python visualisations for market-cap concentration, Bitcoin dominance and price, volume versus market-cap shares, turnover rankings, return distributions and Q–Q plots, volatility comparisons, correlation heatmaps, weekday patterns, hypothesis-test comparisons, regression diagnostics, model performance and unusual-volume residuals. Each figure used in the submitted report or presentation should retain a descriptive title, labelled axes, units and a short interpretation.</w:t>
      </w:r>
    </w:p>
    <w:p>
      <w:pPr>
        <w:pStyle w:val="Heading1"/>
      </w:pPr>
      <w:r>
        <w:t>11. Key Findings</w:t>
      </w:r>
    </w:p>
    <w:p>
      <w:pPr>
        <w:pStyle w:val="ListNumber"/>
      </w:pPr>
      <w:r>
        <w:t>The tracked market is highly concentrated: Bitcoin has 59.5% of market capitalisation and the top 10 assets have 92.9%.</w:t>
      </w:r>
    </w:p>
    <w:p>
      <w:pPr>
        <w:pStyle w:val="ListNumber"/>
      </w:pPr>
      <w:r>
        <w:t>Trading activity is not proportional to market value: Tether contributes 43.9% of volume, while Bitcoin contributes 26.7%.</w:t>
      </w:r>
    </w:p>
    <w:p>
      <w:pPr>
        <w:pStyle w:val="ListNumber"/>
      </w:pPr>
      <w:r>
        <w:t>Bitcoin returns are non-normal with heavy tails, so normal-only risk assumptions can understate extreme movements.</w:t>
      </w:r>
    </w:p>
    <w:p>
      <w:pPr>
        <w:pStyle w:val="ListNumber"/>
      </w:pPr>
      <w:r>
        <w:t>Stable-value tokens are substantially less volatile than volatile tokens in this dataset, though stability does not guarantee liquidity.</w:t>
      </w:r>
    </w:p>
    <w:p>
      <w:pPr>
        <w:pStyle w:val="ListNumber"/>
      </w:pPr>
      <w:r>
        <w:t>Market capitalisation is not a strong standalone indicator of an asset’s volatility.</w:t>
      </w:r>
    </w:p>
    <w:p>
      <w:pPr>
        <w:pStyle w:val="ListNumber"/>
      </w:pPr>
      <w:r>
        <w:t>Crypto assets co-move: average pairwise correlation is 0.54 and Bitcoin direction agrees with market breadth on 86.1% of days.</w:t>
      </w:r>
    </w:p>
    <w:p>
      <w:pPr>
        <w:pStyle w:val="ListNumber"/>
      </w:pPr>
      <w:r>
        <w:t>Weekend total volume is 36.5% lower than weekday volume.</w:t>
      </w:r>
    </w:p>
    <w:p>
      <w:pPr>
        <w:pStyle w:val="ListNumber"/>
      </w:pPr>
      <w:r>
        <w:t>Trading volume and the absolute size of price moves are positively associated.</w:t>
      </w:r>
    </w:p>
    <w:p>
      <w:pPr>
        <w:pStyle w:val="ListNumber"/>
      </w:pPr>
      <w:r>
        <w:t>Random Forest performs best on the later time-based test set, while OLS generalises better to assets excluded from training.</w:t>
      </w:r>
    </w:p>
    <w:p>
      <w:pPr>
        <w:pStyle w:val="Heading1"/>
      </w:pPr>
      <w:r>
        <w:t>12. Limitations</w:t>
      </w:r>
    </w:p>
    <w:p>
      <w:pPr>
        <w:pStyle w:val="ListBullet"/>
      </w:pPr>
      <w:r>
        <w:t>The dataset represents a tracked set of assets rather than the entire cryptocurrency market; rankings and conclusions are limited to the recorded universe.</w:t>
      </w:r>
    </w:p>
    <w:p>
      <w:pPr>
        <w:pStyle w:val="ListBullet"/>
      </w:pPr>
      <w:r>
        <w:t>Coverage changes from 50 assets to 10 assets on 20 May 2026, which makes unadjusted comparisons across the full period potentially misleading.</w:t>
      </w:r>
    </w:p>
    <w:p>
      <w:pPr>
        <w:pStyle w:val="ListBullet"/>
      </w:pPr>
      <w:r>
        <w:t>Prices rounded to two decimals produce zero values for some low-priced tokens, limiting price-based analyses for those assets.</w:t>
      </w:r>
    </w:p>
    <w:p>
      <w:pPr>
        <w:pStyle w:val="ListBullet"/>
      </w:pPr>
      <w:r>
        <w:t>Rolling 24-hour volume and change values overlap between hourly snapshots; daily reduction mitigates but does not eliminate all dependence.</w:t>
      </w:r>
    </w:p>
    <w:p>
      <w:pPr>
        <w:pStyle w:val="ListBullet"/>
      </w:pPr>
      <w:r>
        <w:t>Some tests involving asset-days may still have dependence within an asset, so nominal p-values can be optimistic.</w:t>
      </w:r>
    </w:p>
    <w:p>
      <w:pPr>
        <w:pStyle w:val="ListBullet"/>
      </w:pPr>
      <w:r>
        <w:t>Bitcoin returns are heavy-tailed and OLS residuals violate normality and constant-variance assumptions.</w:t>
      </w:r>
    </w:p>
    <w:p>
      <w:pPr>
        <w:pStyle w:val="ListBullet"/>
      </w:pPr>
      <w:r>
        <w:t>Model performance differs between known assets over time and entirely unseen assets; predictions should be treated as estimates, not guarantees.</w:t>
      </w:r>
    </w:p>
    <w:p>
      <w:pPr>
        <w:pStyle w:val="ListBullet"/>
      </w:pPr>
      <w:r>
        <w:t>Observed associations do not establish causation. For example, higher volume and larger moves occur together, but this analysis cannot establish which causes the other.</w:t>
      </w:r>
    </w:p>
    <w:p>
      <w:pPr>
        <w:pStyle w:val="Heading1"/>
      </w:pPr>
      <w:r>
        <w:t>13. Future Enhancements</w:t>
      </w:r>
    </w:p>
    <w:p>
      <w:pPr>
        <w:pStyle w:val="ListBullet"/>
      </w:pPr>
      <w:r>
        <w:t>Use higher-precision price data to avoid zero-price rounding issues for low-priced assets.</w:t>
      </w:r>
    </w:p>
    <w:p>
      <w:pPr>
        <w:pStyle w:val="ListBullet"/>
      </w:pPr>
      <w:r>
        <w:t>Add explicit token categories such as trading stablecoin, yield-bearing token, exchange token and speculative token.</w:t>
      </w:r>
    </w:p>
    <w:p>
      <w:pPr>
        <w:pStyle w:val="ListBullet"/>
      </w:pPr>
      <w:r>
        <w:t>Collect a longer period with consistent asset coverage and repeat the statistical tests on later data.</w:t>
      </w:r>
    </w:p>
    <w:p>
      <w:pPr>
        <w:pStyle w:val="ListBullet"/>
      </w:pPr>
      <w:r>
        <w:t>Use time-series-aware validation and robust or heteroskedasticity-consistent standard errors.</w:t>
      </w:r>
    </w:p>
    <w:p>
      <w:pPr>
        <w:pStyle w:val="ListBullet"/>
      </w:pPr>
      <w:r>
        <w:t>Evaluate additional models and prediction intervals, and monitor model drift over time.</w:t>
      </w:r>
    </w:p>
    <w:p>
      <w:pPr>
        <w:pStyle w:val="ListBullet"/>
      </w:pPr>
      <w:r>
        <w:t>Investigate liquidity more directly with order-book depth, bid–ask spreads and slippage data.</w:t>
      </w:r>
    </w:p>
    <w:p>
      <w:pPr>
        <w:pStyle w:val="ListBullet"/>
      </w:pPr>
      <w:r>
        <w:t>Publish an interactive dashboard in Tableau or Power BI for market concentration, volatility, volume and model residuals.</w:t>
      </w:r>
    </w:p>
    <w:p>
      <w:pPr>
        <w:pStyle w:val="Heading1"/>
      </w:pPr>
      <w:r>
        <w:t>14. Conclusion</w:t>
      </w:r>
    </w:p>
    <w:p>
      <w:r>
        <w:t>This case study shows that cryptocurrency market behaviour cannot be described by market capitalisation alone. Market value is highly concentrated, trading volume is distributed differently, returns exhibit heavy tails, and activity is substantially lower at weekends. Volatile tokens display much larger daily movements than stable-value tokens, while Bitcoin’s direction is closely associated with the broader market. A regression model can estimate expected trading volume, but its usefulness depends on whether the goal is to monitor familiar assets or generalise to new ones. The findings are descriptive and predictive rather than causal, and the dataset’s coverage and measurement limitations should be considered when applying them.</w:t>
      </w:r>
    </w:p>
    <w:p>
      <w:pPr>
        <w:pStyle w:val="Heading1"/>
      </w:pPr>
      <w:r>
        <w:t>References</w:t>
      </w:r>
    </w:p>
    <w:p>
      <w:pPr>
        <w:pStyle w:val="ListBullet"/>
      </w:pPr>
      <w:r>
        <w:t>Adrian Julius Aluoch, “Hourly Crypto Stocks Market Data,” Kaggle dataset: https://www.kaggle.com/datasets/adrianjuliusaluoch/hourly-crypto-stocks-market-data</w:t>
      </w:r>
    </w:p>
    <w:p>
      <w:pPr>
        <w:pStyle w:val="ListBullet"/>
      </w:pPr>
      <w:r>
        <w:t>23CSE351 – Foundations of Data Science, Case Study Instructions, supplied course document.</w:t>
      </w:r>
    </w:p>
    <w:p>
      <w:pPr>
        <w:pStyle w:val="ListBullet"/>
      </w:pPr>
      <w:r>
        <w:t>Crypto Market Case Study notebook supplied for this report.</w:t>
      </w:r>
    </w:p>
    <w:p>
      <w:pPr>
        <w:pStyle w:val="Heading1"/>
      </w:pPr>
      <w:r>
        <w:t>Appendix: Report-to-notebook alignment</w:t>
      </w:r>
    </w:p>
    <w:p>
      <w:r>
        <w:t>This report follows the supplied notebook’s analysis questions, statistical test results, regression evaluation and limitations. For submission, retain the notebook’s executed code cells and outputs alongside this report. Insert selected charts exported from the notebook where required by your faculty, and complete the student details on the cover page.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