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E4F"/>
          <w:sz w:val="44"/>
        </w:rPr>
        <w:t>AI ROI Planner — Integration Brief</w:t>
      </w:r>
    </w:p>
    <w:p>
      <w:r>
        <w:rPr>
          <w:i/>
          <w:color w:val="555555"/>
          <w:sz w:val="22"/>
        </w:rPr>
        <w:t>CoAction Labs AI Hub  |  Tuesday Review  |  Prepared for stakeholders</w:t>
      </w:r>
    </w:p>
    <w:p>
      <w:pPr>
        <w:spacing w:before="280" w:after="80"/>
      </w:pPr>
      <w:r>
        <w:rPr>
          <w:b/>
          <w:color w:val="0B2E4F"/>
          <w:sz w:val="30"/>
        </w:rPr>
        <w:t>1. Executive Summary</w:t>
      </w:r>
    </w:p>
    <w:p>
      <w:r>
        <w:rPr>
          <w:b w:val="0"/>
          <w:sz w:val="22"/>
        </w:rPr>
        <w:t>I have a working prototype of an AI ROI Planner — a single tool that captures every AI initiative across CoAction, models its 4-year financial impact, and presents it to executives, finance, and initiative owners with role-appropriate views.</w:t>
      </w:r>
    </w:p>
    <w:p>
      <w:r>
        <w:rPr>
          <w:b w:val="0"/>
          <w:sz w:val="22"/>
        </w:rPr>
        <w:t>It complements the existing Project Catalogue: that tells us WHAT we are doing; the ROI Planner tells us WHAT IT IS WORTH. I am proposing to integrate it into the CoAction Labs AI Hub as a permissioned module, on the same Node + Express + Postgres + Okta stack we are standardizing on for the rest of the platform.</w:t>
      </w:r>
    </w:p>
    <w:p>
      <w:pPr>
        <w:spacing w:before="280" w:after="80"/>
      </w:pPr>
      <w:r>
        <w:rPr>
          <w:b/>
          <w:color w:val="0B2E4F"/>
          <w:sz w:val="30"/>
        </w:rPr>
        <w:t>2. What the Prototype Already Does</w:t>
      </w:r>
    </w:p>
    <w:p>
      <w:pPr>
        <w:pStyle w:val="ListBullet"/>
        <w:spacing w:after="40"/>
        <w:ind w:left="360"/>
      </w:pPr>
      <w:r>
        <w:rPr>
          <w:sz w:val="22"/>
        </w:rPr>
        <w:t>Initiative CRUD with phases, vendors, employee types, HITL costs, and per-transaction savings.</w:t>
      </w:r>
    </w:p>
    <w:p>
      <w:pPr>
        <w:pStyle w:val="ListBullet"/>
        <w:spacing w:after="40"/>
        <w:ind w:left="360"/>
      </w:pPr>
      <w:r>
        <w:rPr>
          <w:sz w:val="22"/>
        </w:rPr>
        <w:t>Executive view: tile-based summary by FTE/BPO/Roadmap with click-through drill-downs.</w:t>
      </w:r>
    </w:p>
    <w:p>
      <w:pPr>
        <w:pStyle w:val="ListBullet"/>
        <w:spacing w:after="40"/>
        <w:ind w:left="360"/>
      </w:pPr>
      <w:r>
        <w:rPr>
          <w:sz w:val="22"/>
        </w:rPr>
        <w:t>Run-rate view: pipeline by status (Completed / Active / Planned / Roadmap) with year filter.</w:t>
      </w:r>
    </w:p>
    <w:p>
      <w:pPr>
        <w:pStyle w:val="ListBullet"/>
        <w:spacing w:after="40"/>
        <w:ind w:left="360"/>
      </w:pPr>
      <w:r>
        <w:rPr>
          <w:sz w:val="22"/>
        </w:rPr>
        <w:t>Investment arc: 5-year savings vs costs with cumulative net and breakeven marker.</w:t>
      </w:r>
    </w:p>
    <w:p>
      <w:pPr>
        <w:pStyle w:val="ListBullet"/>
        <w:spacing w:after="40"/>
        <w:ind w:left="360"/>
      </w:pPr>
      <w:r>
        <w:rPr>
          <w:sz w:val="22"/>
        </w:rPr>
        <w:t>HC harvest timeline: quarterly view of FTE positions harvested, grouped by Domain / LOB / AI Type, with business-function drill-down.</w:t>
      </w:r>
    </w:p>
    <w:p>
      <w:pPr>
        <w:pStyle w:val="ListBullet"/>
        <w:spacing w:after="40"/>
        <w:ind w:left="360"/>
      </w:pPr>
      <w:r>
        <w:rPr>
          <w:sz w:val="22"/>
        </w:rPr>
        <w:t>Roadmap Gantt with savings-phase highlighting and 'now' line.</w:t>
      </w:r>
    </w:p>
    <w:p>
      <w:pPr>
        <w:pStyle w:val="ListBullet"/>
        <w:spacing w:after="40"/>
        <w:ind w:left="360"/>
      </w:pPr>
      <w:r>
        <w:rPr>
          <w:sz w:val="22"/>
        </w:rPr>
        <w:t>Impact heatmap sized by Net ROI, Savings, or HC.</w:t>
      </w:r>
    </w:p>
    <w:p>
      <w:pPr>
        <w:pStyle w:val="ListBullet"/>
        <w:spacing w:after="40"/>
        <w:ind w:left="360"/>
      </w:pPr>
      <w:r>
        <w:rPr>
          <w:sz w:val="22"/>
        </w:rPr>
        <w:t>Goals &amp; benchmarking with planned vs realized progress and roadmap-opportunity overlay.</w:t>
      </w:r>
    </w:p>
    <w:p>
      <w:pPr>
        <w:pStyle w:val="ListBullet"/>
        <w:spacing w:after="40"/>
        <w:ind w:left="360"/>
      </w:pPr>
      <w:r>
        <w:rPr>
          <w:sz w:val="22"/>
        </w:rPr>
        <w:t>Dark/Light themes, view-only mode, share/import via encoded blob.</w:t>
      </w:r>
    </w:p>
    <w:p>
      <w:pPr>
        <w:pStyle w:val="ListBullet"/>
        <w:spacing w:after="40"/>
        <w:ind w:left="360"/>
      </w:pPr>
      <w:r>
        <w:rPr>
          <w:sz w:val="22"/>
        </w:rPr>
        <w:t>Calculation methodology panel surfaced in every drill-down — auditability built in.</w:t>
      </w:r>
    </w:p>
    <w:p>
      <w:pPr>
        <w:spacing w:before="280" w:after="80"/>
      </w:pPr>
      <w:r>
        <w:rPr>
          <w:b/>
          <w:color w:val="0B2E4F"/>
          <w:sz w:val="30"/>
        </w:rPr>
        <w:t>3. Why It Belongs in the AI Hub</w:t>
      </w:r>
    </w:p>
    <w:p>
      <w:pPr>
        <w:pStyle w:val="ListBullet"/>
        <w:spacing w:after="40"/>
        <w:ind w:left="360"/>
      </w:pPr>
      <w:r>
        <w:rPr>
          <w:sz w:val="22"/>
        </w:rPr>
        <w:t>Answers the single question every executive asks about AI: 'what are we getting back?'</w:t>
      </w:r>
    </w:p>
    <w:p>
      <w:pPr>
        <w:pStyle w:val="ListBullet"/>
        <w:spacing w:after="40"/>
        <w:ind w:left="360"/>
      </w:pPr>
      <w:r>
        <w:rPr>
          <w:sz w:val="22"/>
        </w:rPr>
        <w:t>Same audience and same auth boundary as the Project Catalogue, Academy, and Governance tiles.</w:t>
      </w:r>
    </w:p>
    <w:p>
      <w:pPr>
        <w:pStyle w:val="ListBullet"/>
        <w:spacing w:after="40"/>
        <w:ind w:left="360"/>
      </w:pPr>
      <w:r>
        <w:rPr>
          <w:sz w:val="22"/>
        </w:rPr>
        <w:t>Reuses concepts already in the Hub: initiatives, owners, teams, LOBs, vendors.</w:t>
      </w:r>
    </w:p>
    <w:p>
      <w:pPr>
        <w:pStyle w:val="ListBullet"/>
        <w:spacing w:after="40"/>
        <w:ind w:left="360"/>
      </w:pPr>
      <w:r>
        <w:rPr>
          <w:sz w:val="22"/>
        </w:rPr>
        <w:t>Surfaces governance signals (no savings phase, missing owner, stale ROI) that today are invisible.</w:t>
      </w:r>
    </w:p>
    <w:p>
      <w:pPr>
        <w:spacing w:before="280" w:after="80"/>
      </w:pPr>
      <w:r>
        <w:rPr>
          <w:b/>
          <w:color w:val="0B2E4F"/>
          <w:sz w:val="30"/>
        </w:rPr>
        <w:t>4. Integration Plan (Node + Express + Postgres + Okta)</w:t>
      </w:r>
    </w:p>
    <w:p>
      <w:pPr>
        <w:spacing w:before="200" w:after="40"/>
      </w:pPr>
      <w:r>
        <w:rPr>
          <w:b/>
          <w:color w:val="0B2E4F"/>
          <w:sz w:val="24"/>
        </w:rPr>
        <w:t>4.1 Database</w:t>
      </w:r>
    </w:p>
    <w:p>
      <w:r>
        <w:rPr>
          <w:b w:val="0"/>
          <w:sz w:val="22"/>
        </w:rPr>
        <w:t>No new bounded contexts required. The component maps cleanly into the labs_ai_hub schema: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</w:tcPr>
          <w:p>
            <w:r/>
            <w:r>
              <w:rPr>
                <w:b/>
                <w:color w:val="0B2E4F"/>
                <w:sz w:val="20"/>
              </w:rPr>
              <w:t>Concept</w:t>
            </w:r>
          </w:p>
        </w:tc>
        <w:tc>
          <w:tcPr>
            <w:tcW w:type="dxa" w:w="3456"/>
          </w:tcPr>
          <w:p>
            <w:r/>
            <w:r>
              <w:rPr>
                <w:b/>
                <w:color w:val="0B2E4F"/>
                <w:sz w:val="20"/>
              </w:rPr>
              <w:t>Schema → Table</w:t>
            </w:r>
          </w:p>
        </w:tc>
        <w:tc>
          <w:tcPr>
            <w:tcW w:type="dxa" w:w="3744"/>
          </w:tcPr>
          <w:p>
            <w:r/>
            <w:r>
              <w:rPr>
                <w:b/>
                <w:color w:val="0B2E4F"/>
                <w:sz w:val="20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Initiative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catalog.initiatives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New asset type alongside agents, prompts, tools.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Phases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catalog.initiative_phases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Child rows, cascade on delete.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ROI model + headcount rows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catalog.initiative_roi_models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Versioned for reproducibility.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HITL + per-tx model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jsonb on catalog.initiatives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Sparse, schema-flexible.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Roadmap opportunity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jsonb on catalog.initiatives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Only populated for 'roadmap' status.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Goals &amp; targets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catalog.initiative_goals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Owned by the catalog domain.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Vendors / platforms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integration.vendor_platforms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Reused across the Hub.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Employee types &amp; costs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ops.reference_employee_types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Admin-managed reference data.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Yearly rollups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analytics.initiative_yearly_rollups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Materialized view, refreshed nightly.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Status transitions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lifecycle.workflow_states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draft → planned → active → completed.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Comments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engagement.comments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Polymorphic on subject_type='initiative'.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Audit trail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audit.events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Auto-populated via trigger.</w:t>
            </w:r>
          </w:p>
        </w:tc>
      </w:tr>
    </w:tbl>
    <w:p>
      <w:pPr>
        <w:spacing w:before="200" w:after="40"/>
      </w:pPr>
      <w:r>
        <w:rPr>
          <w:b/>
          <w:color w:val="0B2E4F"/>
          <w:sz w:val="24"/>
        </w:rPr>
        <w:t>4.2 API Module (apps/api/src/modules/roi/)</w:t>
      </w:r>
    </w:p>
    <w:p>
      <w:r>
        <w:rPr>
          <w:b w:val="0"/>
          <w:sz w:val="22"/>
        </w:rPr>
        <w:t>Mirrors the catalog/agents template:</w:t>
      </w:r>
    </w:p>
    <w:p>
      <w:pPr>
        <w:pStyle w:val="ListBullet"/>
        <w:spacing w:after="40"/>
        <w:ind w:left="360"/>
      </w:pPr>
      <w:r>
        <w:rPr>
          <w:sz w:val="22"/>
        </w:rPr>
        <w:t>roi.routes.ts — Express routes</w:t>
      </w:r>
    </w:p>
    <w:p>
      <w:pPr>
        <w:pStyle w:val="ListBullet"/>
        <w:spacing w:after="40"/>
        <w:ind w:left="360"/>
      </w:pPr>
      <w:r>
        <w:rPr>
          <w:sz w:val="22"/>
        </w:rPr>
        <w:t>roi.controller.ts — HTTP layer</w:t>
      </w:r>
    </w:p>
    <w:p>
      <w:pPr>
        <w:pStyle w:val="ListBullet"/>
        <w:spacing w:after="40"/>
        <w:ind w:left="360"/>
      </w:pPr>
      <w:r>
        <w:rPr>
          <w:sz w:val="22"/>
        </w:rPr>
        <w:t>roi.service.ts — business logic + team scoping</w:t>
      </w:r>
    </w:p>
    <w:p>
      <w:pPr>
        <w:pStyle w:val="ListBullet"/>
        <w:spacing w:after="40"/>
        <w:ind w:left="360"/>
      </w:pPr>
      <w:r>
        <w:rPr>
          <w:sz w:val="22"/>
        </w:rPr>
        <w:t>roi.repo.ts — Drizzle queries</w:t>
      </w:r>
    </w:p>
    <w:p>
      <w:pPr>
        <w:pStyle w:val="ListBullet"/>
        <w:spacing w:after="40"/>
        <w:ind w:left="360"/>
      </w:pPr>
      <w:r>
        <w:rPr>
          <w:sz w:val="22"/>
        </w:rPr>
        <w:t>roi.calc.ts — ported pure financial math, shared with the client</w:t>
      </w:r>
    </w:p>
    <w:p>
      <w:pPr>
        <w:pStyle w:val="ListBullet"/>
        <w:spacing w:after="40"/>
        <w:ind w:left="360"/>
      </w:pPr>
      <w:r>
        <w:rPr>
          <w:sz w:val="22"/>
        </w:rPr>
        <w:t>roi.schema.ts — Drizzle table definitions</w:t>
      </w:r>
    </w:p>
    <w:p>
      <w:pPr>
        <w:pStyle w:val="ListBullet"/>
        <w:spacing w:after="40"/>
        <w:ind w:left="360"/>
      </w:pPr>
      <w:r>
        <w:rPr>
          <w:sz w:val="22"/>
        </w:rPr>
        <w:t>roi.dto.ts — zod validators</w:t>
      </w:r>
    </w:p>
    <w:p>
      <w:pPr>
        <w:pStyle w:val="ListBullet"/>
        <w:spacing w:after="40"/>
        <w:ind w:left="360"/>
      </w:pPr>
      <w:r>
        <w:rPr>
          <w:sz w:val="22"/>
        </w:rPr>
        <w:t>__tests__/roi.calc.spec.ts — Vitest coverage of the math</w:t>
      </w:r>
    </w:p>
    <w:p>
      <w:pPr>
        <w:spacing w:before="200" w:after="40"/>
      </w:pPr>
      <w:r>
        <w:rPr>
          <w:b/>
          <w:color w:val="0B2E4F"/>
          <w:sz w:val="24"/>
        </w:rPr>
        <w:t>4.3 Auth &amp; Permissions (Okta JWT middleware)</w:t>
      </w:r>
    </w:p>
    <w:p>
      <w:r>
        <w:rPr>
          <w:b w:val="0"/>
          <w:sz w:val="22"/>
        </w:rPr>
        <w:t>Replaces Postgres RLS with explicit middleware — easier to debug, same security guarantees.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r/>
            <w:r>
              <w:rPr>
                <w:b/>
                <w:color w:val="0B2E4F"/>
                <w:sz w:val="20"/>
              </w:rPr>
              <w:t>Role</w:t>
            </w:r>
          </w:p>
        </w:tc>
        <w:tc>
          <w:tcPr>
            <w:tcW w:type="dxa" w:w="7920"/>
          </w:tcPr>
          <w:p>
            <w:r/>
            <w:r>
              <w:rPr>
                <w:b/>
                <w:color w:val="0B2E4F"/>
                <w:sz w:val="20"/>
              </w:rPr>
              <w:t>Capability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Viewer</w:t>
            </w:r>
          </w:p>
        </w:tc>
        <w:tc>
          <w:tcPr>
            <w:tcW w:type="dxa" w:w="7920"/>
          </w:tcPr>
          <w:p>
            <w:r/>
            <w:r>
              <w:rPr>
                <w:sz w:val="20"/>
              </w:rPr>
              <w:t>Read all initiatives in their team. Dashboards only.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Contributor</w:t>
            </w:r>
          </w:p>
        </w:tc>
        <w:tc>
          <w:tcPr>
            <w:tcW w:type="dxa" w:w="7920"/>
          </w:tcPr>
          <w:p>
            <w:r/>
            <w:r>
              <w:rPr>
                <w:sz w:val="20"/>
              </w:rPr>
              <w:t>Create / edit initiatives they own. View team data.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7920"/>
          </w:tcPr>
          <w:p>
            <w:r/>
            <w:r>
              <w:rPr>
                <w:sz w:val="20"/>
              </w:rPr>
              <w:t>Full access within their team. Manages settings, vendors, employee types.</w:t>
            </w:r>
          </w:p>
        </w:tc>
      </w:tr>
    </w:tbl>
    <w:p>
      <w:pPr>
        <w:spacing w:before="200" w:after="40"/>
      </w:pPr>
      <w:r>
        <w:rPr>
          <w:b/>
          <w:color w:val="0B2E4F"/>
          <w:sz w:val="24"/>
        </w:rPr>
        <w:t>4.4 Frontend Layout</w:t>
      </w:r>
    </w:p>
    <w:p>
      <w:pPr>
        <w:pStyle w:val="ListBullet"/>
        <w:spacing w:after="40"/>
        <w:ind w:left="360"/>
      </w:pPr>
      <w:r>
        <w:rPr>
          <w:sz w:val="22"/>
        </w:rPr>
        <w:t>New route: /roi-planner behind the same auth as the rest of the Hub.</w:t>
      </w:r>
    </w:p>
    <w:p>
      <w:pPr>
        <w:pStyle w:val="ListBullet"/>
        <w:spacing w:after="40"/>
        <w:ind w:left="360"/>
      </w:pPr>
      <w:r>
        <w:rPr>
          <w:sz w:val="22"/>
        </w:rPr>
        <w:t>Page lives under src/pages/RoiPlanner/, decomposed from the current single 1.6k-line file.</w:t>
      </w:r>
    </w:p>
    <w:p>
      <w:pPr>
        <w:pStyle w:val="ListBullet"/>
        <w:spacing w:after="40"/>
        <w:ind w:left="360"/>
      </w:pPr>
      <w:r>
        <w:rPr>
          <w:sz w:val="22"/>
        </w:rPr>
        <w:t>Data access via src/api/roi.ts — fetch wrapper that attaches the Okta access token (no direct fetch in components).</w:t>
      </w:r>
    </w:p>
    <w:p>
      <w:pPr>
        <w:pStyle w:val="ListBullet"/>
        <w:spacing w:after="40"/>
        <w:ind w:left="360"/>
      </w:pPr>
      <w:r>
        <w:rPr>
          <w:sz w:val="22"/>
        </w:rPr>
        <w:t>Reuses EnterpriseHeader, Tailwind palette, and shadcn primitives to match the rest of the portal.</w:t>
      </w:r>
    </w:p>
    <w:p>
      <w:pPr>
        <w:spacing w:before="280" w:after="80"/>
      </w:pPr>
      <w:r>
        <w:rPr>
          <w:b/>
          <w:color w:val="0B2E4F"/>
          <w:sz w:val="30"/>
        </w:rPr>
        <w:t>5. Risks &amp;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752"/>
          </w:tcPr>
          <w:p>
            <w:r/>
            <w:r>
              <w:rPr>
                <w:b/>
                <w:color w:val="0B2E4F"/>
                <w:sz w:val="20"/>
              </w:rPr>
              <w:t>Risk</w:t>
            </w:r>
          </w:p>
        </w:tc>
        <w:tc>
          <w:tcPr>
            <w:tcW w:type="dxa" w:w="4896"/>
          </w:tcPr>
          <w:p>
            <w:r/>
            <w:r>
              <w:rPr>
                <w:b/>
                <w:color w:val="0B2E4F"/>
                <w:sz w:val="20"/>
              </w:rPr>
              <w:t>Mitigation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20"/>
              </w:rPr>
              <w:t>Financial math has no test coverage today.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Add Vitest suite around roi.calc before any exec demo.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20"/>
              </w:rPr>
              <w:t>1.6k-line single file is hard to maintain.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Decompose into modules in Week 2.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20"/>
              </w:rPr>
              <w:t>Roadmap 'estimated' savings could be misread as committed.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Distinct color treatment + sub-labels already in the UI; reinforce in copy.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20"/>
              </w:rPr>
              <w:t>Prototype's share/import blob is unauthenticated.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Remove for production; replace with signed share links if needed.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20"/>
              </w:rPr>
              <w:t>Local date math could drift across timezones.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Aggregate at month granularity (already the case); add UTC normalization in roi.calc.</w:t>
            </w:r>
          </w:p>
        </w:tc>
      </w:tr>
    </w:tbl>
    <w:p>
      <w:pPr>
        <w:spacing w:before="280" w:after="80"/>
      </w:pPr>
      <w:r>
        <w:rPr>
          <w:b/>
          <w:color w:val="0B2E4F"/>
          <w:sz w:val="30"/>
        </w:rPr>
        <w:t>6. Proposed Rollout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152"/>
          </w:tcPr>
          <w:p>
            <w:r/>
            <w:r>
              <w:rPr>
                <w:b/>
                <w:color w:val="0B2E4F"/>
                <w:sz w:val="20"/>
              </w:rPr>
              <w:t>Week</w:t>
            </w:r>
          </w:p>
        </w:tc>
        <w:tc>
          <w:tcPr>
            <w:tcW w:type="dxa" w:w="8496"/>
          </w:tcPr>
          <w:p>
            <w:r/>
            <w:r>
              <w:rPr>
                <w:b/>
                <w:color w:val="0B2E4F"/>
                <w:sz w:val="20"/>
              </w:rPr>
              <w:t>Deliverable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8496"/>
          </w:tcPr>
          <w:p>
            <w:r/>
            <w:r>
              <w:rPr>
                <w:sz w:val="20"/>
              </w:rPr>
              <w:t>Drizzle schema for catalog.initiatives + child tables; migrations applied to labs_ai_hub.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8496"/>
          </w:tcPr>
          <w:p>
            <w:r/>
            <w:r>
              <w:rPr>
                <w:sz w:val="20"/>
              </w:rPr>
              <w:t>apps/api/src/modules/roi/ scaffolded with Okta middleware and basic CRUD.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8496"/>
          </w:tcPr>
          <w:p>
            <w:r/>
            <w:r>
              <w:rPr>
                <w:sz w:val="20"/>
              </w:rPr>
              <w:t>Vitest suite on roi.calc; locked baseline numbers.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8496"/>
          </w:tcPr>
          <w:p>
            <w:r/>
            <w:r>
              <w:rPr>
                <w:sz w:val="20"/>
              </w:rPr>
              <w:t>Component ported into /roi-planner; window.storage replaced with API hooks.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2–3</w:t>
            </w:r>
          </w:p>
        </w:tc>
        <w:tc>
          <w:tcPr>
            <w:tcW w:type="dxa" w:w="8496"/>
          </w:tcPr>
          <w:p>
            <w:r/>
            <w:r>
              <w:rPr>
                <w:sz w:val="20"/>
              </w:rPr>
              <w:t>File decomposition; UI polish to match portal design system.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3+</w:t>
            </w:r>
          </w:p>
        </w:tc>
        <w:tc>
          <w:tcPr>
            <w:tcW w:type="dxa" w:w="8496"/>
          </w:tcPr>
          <w:p>
            <w:r/>
            <w:r>
              <w:rPr>
                <w:sz w:val="20"/>
              </w:rPr>
              <w:t>Pilot with one team (Growth Protocol or AI Engineering); gather feedback.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4+</w:t>
            </w:r>
          </w:p>
        </w:tc>
        <w:tc>
          <w:tcPr>
            <w:tcW w:type="dxa" w:w="8496"/>
          </w:tcPr>
          <w:p>
            <w:r/>
            <w:r>
              <w:rPr>
                <w:sz w:val="20"/>
              </w:rPr>
              <w:t>Open to org; add Project Catalogue cross-linking; vendor auto-population.</w:t>
            </w:r>
          </w:p>
        </w:tc>
      </w:tr>
    </w:tbl>
    <w:p>
      <w:pPr>
        <w:spacing w:before="280" w:after="80"/>
      </w:pPr>
      <w:r>
        <w:rPr>
          <w:b/>
          <w:color w:val="0B2E4F"/>
          <w:sz w:val="30"/>
        </w:rPr>
        <w:t>7. What I Will Showcase on Tuesday</w:t>
      </w:r>
    </w:p>
    <w:p>
      <w:r>
        <w:rPr>
          <w:b w:val="0"/>
          <w:sz w:val="22"/>
        </w:rPr>
        <w:t>A 15-minute walkthrough in this order:</w:t>
      </w:r>
    </w:p>
    <w:p>
      <w:pPr>
        <w:pStyle w:val="ListBullet"/>
        <w:spacing w:after="40"/>
        <w:ind w:left="360"/>
      </w:pPr>
      <w:r>
        <w:rPr>
          <w:sz w:val="22"/>
        </w:rPr>
        <w:t>1. Open the prototype with sample CoAction initiatives loaded (Vega, CoSave, Cortex, etc.).</w:t>
      </w:r>
    </w:p>
    <w:p>
      <w:pPr>
        <w:pStyle w:val="ListBullet"/>
        <w:spacing w:after="40"/>
        <w:ind w:left="360"/>
      </w:pPr>
      <w:r>
        <w:rPr>
          <w:sz w:val="22"/>
        </w:rPr>
        <w:t>2. Executive view — show the headline FTE + BPO + Roadmap split. Click into 'Build vs Subscribe' tile to demonstrate filtering.</w:t>
      </w:r>
    </w:p>
    <w:p>
      <w:pPr>
        <w:pStyle w:val="ListBullet"/>
        <w:spacing w:after="40"/>
        <w:ind w:left="360"/>
      </w:pPr>
      <w:r>
        <w:rPr>
          <w:sz w:val="22"/>
        </w:rPr>
        <w:t>3. Drill-down — click any initiative tile to show the calculation methodology panel. This is the trust-builder for finance.</w:t>
      </w:r>
    </w:p>
    <w:p>
      <w:pPr>
        <w:pStyle w:val="ListBullet"/>
        <w:spacing w:after="40"/>
        <w:ind w:left="360"/>
      </w:pPr>
      <w:r>
        <w:rPr>
          <w:sz w:val="22"/>
        </w:rPr>
        <w:t>4. Run-rate view — switch year filter, point out Active / Planned / Roadmap pipeline.</w:t>
      </w:r>
    </w:p>
    <w:p>
      <w:pPr>
        <w:pStyle w:val="ListBullet"/>
        <w:spacing w:after="40"/>
        <w:ind w:left="360"/>
      </w:pPr>
      <w:r>
        <w:rPr>
          <w:sz w:val="22"/>
        </w:rPr>
        <w:t>5. Investment arc — show the breakeven marker and cumulative net.</w:t>
      </w:r>
    </w:p>
    <w:p>
      <w:pPr>
        <w:pStyle w:val="ListBullet"/>
        <w:spacing w:after="40"/>
        <w:ind w:left="360"/>
      </w:pPr>
      <w:r>
        <w:rPr>
          <w:sz w:val="22"/>
        </w:rPr>
        <w:t>6. HC harvest — show quarterly FTE positions, group by domain, expand business function.</w:t>
      </w:r>
    </w:p>
    <w:p>
      <w:pPr>
        <w:pStyle w:val="ListBullet"/>
        <w:spacing w:after="40"/>
        <w:ind w:left="360"/>
      </w:pPr>
      <w:r>
        <w:rPr>
          <w:sz w:val="22"/>
        </w:rPr>
        <w:t>7. Roadmap Gantt — show savings phases highlighted in green.</w:t>
      </w:r>
    </w:p>
    <w:p>
      <w:pPr>
        <w:pStyle w:val="ListBullet"/>
        <w:spacing w:after="40"/>
        <w:ind w:left="360"/>
      </w:pPr>
      <w:r>
        <w:rPr>
          <w:sz w:val="22"/>
        </w:rPr>
        <w:t>8. Goals tab — show planned vs realized progress against a sample goal.</w:t>
      </w:r>
    </w:p>
    <w:p>
      <w:pPr>
        <w:pStyle w:val="ListBullet"/>
        <w:spacing w:after="40"/>
        <w:ind w:left="360"/>
      </w:pPr>
      <w:r>
        <w:rPr>
          <w:sz w:val="22"/>
        </w:rPr>
        <w:t>9. Add an initiative live to demonstrate the form and instant ROI preview.</w:t>
      </w:r>
    </w:p>
    <w:p>
      <w:pPr>
        <w:pStyle w:val="ListBullet"/>
        <w:spacing w:after="40"/>
        <w:ind w:left="360"/>
      </w:pPr>
      <w:r>
        <w:rPr>
          <w:sz w:val="22"/>
        </w:rPr>
        <w:t>10. Flip to view-only mode to demonstrate the permission model.</w:t>
      </w:r>
    </w:p>
    <w:p>
      <w:r>
        <w:rPr>
          <w:b w:val="0"/>
          <w:sz w:val="22"/>
        </w:rPr>
        <w:t>Then 10 minutes on integration plan, risks, and rollout. Ask for approval to proceed with Week 1 deliverables.</w:t>
      </w:r>
    </w:p>
    <w:p>
      <w:pPr>
        <w:spacing w:before="280" w:after="80"/>
      </w:pPr>
      <w:r>
        <w:rPr>
          <w:b/>
          <w:color w:val="0B2E4F"/>
          <w:sz w:val="30"/>
        </w:rPr>
        <w:t>8. What I Need From This Meeting</w:t>
      </w:r>
    </w:p>
    <w:p>
      <w:pPr>
        <w:pStyle w:val="ListBullet"/>
        <w:spacing w:after="40"/>
        <w:ind w:left="360"/>
      </w:pPr>
      <w:r>
        <w:rPr>
          <w:sz w:val="22"/>
        </w:rPr>
        <w:t>Approval to scaffold apps/api/src/modules/roi/ on the agreed Node + Express + Drizzle + Okta stack.</w:t>
      </w:r>
    </w:p>
    <w:p>
      <w:pPr>
        <w:pStyle w:val="ListBullet"/>
        <w:spacing w:after="40"/>
        <w:ind w:left="360"/>
      </w:pPr>
      <w:r>
        <w:rPr>
          <w:sz w:val="22"/>
        </w:rPr>
        <w:t>Approval for the schema mapping into catalog / analytics / integration / lifecycle / engagement.</w:t>
      </w:r>
    </w:p>
    <w:p>
      <w:pPr>
        <w:pStyle w:val="ListBullet"/>
        <w:spacing w:after="40"/>
        <w:ind w:left="360"/>
      </w:pPr>
      <w:r>
        <w:rPr>
          <w:sz w:val="22"/>
        </w:rPr>
        <w:t>A pilot team commitment (Growth Protocol or AI Engineering preferred — both already in Project Catalogue).</w:t>
      </w:r>
    </w:p>
    <w:p>
      <w:pPr>
        <w:pStyle w:val="ListBullet"/>
        <w:spacing w:after="40"/>
        <w:ind w:left="360"/>
      </w:pPr>
      <w:r>
        <w:rPr>
          <w:sz w:val="22"/>
        </w:rPr>
        <w:t>Agreement that financial math gets Vitest coverage before any exec sees the numbers.</w:t>
      </w:r>
    </w:p>
    <w:p>
      <w:pPr>
        <w:pStyle w:val="ListBullet"/>
        <w:spacing w:after="40"/>
        <w:ind w:left="360"/>
      </w:pPr>
      <w:r>
        <w:rPr>
          <w:sz w:val="22"/>
        </w:rPr>
        <w:t>Naming sign-off: 'ROI Planner' vs 'AI Investment Tracker' vs alternative.</w:t>
      </w:r>
    </w:p>
    <w:p>
      <w:pPr>
        <w:spacing w:before="360"/>
      </w:pPr>
      <w:r>
        <w:rPr>
          <w:i/>
          <w:color w:val="555555"/>
          <w:sz w:val="18"/>
        </w:rPr>
        <w:t>Prepared by Ramana Narayanan  |  CoAction Labs — AI Engineering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