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01A1D" w14:textId="77777777" w:rsidR="00625569" w:rsidRDefault="00000000">
      <w:pPr>
        <w:spacing w:after="100"/>
      </w:pPr>
      <w:r>
        <w:rPr>
          <w:b/>
          <w:bCs/>
          <w:sz w:val="32"/>
          <w:szCs w:val="32"/>
        </w:rPr>
        <w:t>Executive Summary</w:t>
      </w:r>
    </w:p>
    <w:p w14:paraId="73968DBE" w14:textId="77777777" w:rsidR="00625569" w:rsidRDefault="00000000">
      <w:pPr>
        <w:spacing w:after="300"/>
      </w:pPr>
      <w:r>
        <w:rPr>
          <w:b/>
          <w:bCs/>
          <w:sz w:val="24"/>
          <w:szCs w:val="24"/>
        </w:rPr>
        <w:t>Product Line Profitability and Margin Performance Analysis — Nassau Candy Distributor</w:t>
      </w:r>
    </w:p>
    <w:p w14:paraId="71C8AF9A" w14:textId="77777777" w:rsidR="00625569" w:rsidRDefault="00000000">
      <w:pPr>
        <w:spacing w:after="140"/>
        <w:jc w:val="both"/>
      </w:pPr>
      <w:r>
        <w:rPr>
          <w:sz w:val="22"/>
          <w:szCs w:val="22"/>
        </w:rPr>
        <w:t>Nassau Candy Distributor sells a portfolio of 15 candy products across three divisions (Chocolate, Sugar, and Other). This analysis examined 10,194 orders placed over 2024–2025 to determine which products and divisions genuinely drive profit, and where financial risk is concentrated.</w:t>
      </w:r>
    </w:p>
    <w:p w14:paraId="3B059145" w14:textId="77777777" w:rsidR="00625569" w:rsidRDefault="00000000">
      <w:pPr>
        <w:spacing w:before="260" w:after="140"/>
      </w:pPr>
      <w:r>
        <w:rPr>
          <w:b/>
          <w:bCs/>
          <w:sz w:val="24"/>
          <w:szCs w:val="24"/>
          <w:u w:val="single"/>
        </w:rPr>
        <w:t>Key Findings</w:t>
      </w:r>
    </w:p>
    <w:p w14:paraId="5FA2D450" w14:textId="77777777" w:rsidR="00625569" w:rsidRDefault="00000000">
      <w:pPr>
        <w:pStyle w:val="ListParagraph"/>
        <w:numPr>
          <w:ilvl w:val="0"/>
          <w:numId w:val="1"/>
        </w:numPr>
        <w:spacing w:after="100"/>
      </w:pPr>
      <w:r>
        <w:rPr>
          <w:sz w:val="22"/>
          <w:szCs w:val="22"/>
        </w:rPr>
        <w:t>Five products — all Wonka Bar chocolate variants — generate 95% of total company profit, despite being only one-third of the product catalog. This is a strong business asset, but also a significant concentration risk: the organization is heavily dependent on a single product family.</w:t>
      </w:r>
    </w:p>
    <w:p w14:paraId="04B7EF83" w14:textId="77777777" w:rsidR="00625569" w:rsidRDefault="00000000">
      <w:pPr>
        <w:pStyle w:val="ListParagraph"/>
        <w:numPr>
          <w:ilvl w:val="0"/>
          <w:numId w:val="1"/>
        </w:numPr>
        <w:spacing w:after="100"/>
      </w:pPr>
      <w:r>
        <w:rPr>
          <w:sz w:val="22"/>
          <w:szCs w:val="22"/>
        </w:rPr>
        <w:t>The Chocolate division is the clear financial engine of the business, delivering both the highest sales volume and the highest average profit margin (67.5%).</w:t>
      </w:r>
    </w:p>
    <w:p w14:paraId="1F6C1E07" w14:textId="77777777" w:rsidR="00625569" w:rsidRDefault="00000000">
      <w:pPr>
        <w:pStyle w:val="ListParagraph"/>
        <w:numPr>
          <w:ilvl w:val="0"/>
          <w:numId w:val="1"/>
        </w:numPr>
        <w:spacing w:after="100"/>
      </w:pPr>
      <w:r>
        <w:rPr>
          <w:sz w:val="22"/>
          <w:szCs w:val="22"/>
        </w:rPr>
        <w:t>The "Other" product division underperforms financially, with an average margin of just 37.7% — well below the healthy 65–71% range set by the core Chocolate products.</w:t>
      </w:r>
    </w:p>
    <w:p w14:paraId="11C8B72E" w14:textId="77777777" w:rsidR="00625569" w:rsidRDefault="00000000">
      <w:pPr>
        <w:pStyle w:val="ListParagraph"/>
        <w:numPr>
          <w:ilvl w:val="0"/>
          <w:numId w:val="1"/>
        </w:numPr>
        <w:spacing w:after="100"/>
      </w:pPr>
      <w:r>
        <w:rPr>
          <w:sz w:val="22"/>
          <w:szCs w:val="22"/>
        </w:rPr>
        <w:t>One product, Kazookles, stands out as a specific margin risk: it sells in meaningful volume but returns only a 7.7% profit margin, the lowest of any product in the portfolio.</w:t>
      </w:r>
    </w:p>
    <w:p w14:paraId="5C2821DF" w14:textId="77777777" w:rsidR="00625569" w:rsidRDefault="00000000">
      <w:pPr>
        <w:pStyle w:val="ListParagraph"/>
        <w:numPr>
          <w:ilvl w:val="0"/>
          <w:numId w:val="1"/>
        </w:numPr>
        <w:spacing w:after="100"/>
      </w:pPr>
      <w:r>
        <w:rPr>
          <w:sz w:val="22"/>
          <w:szCs w:val="22"/>
        </w:rPr>
        <w:t>Overall profit margins have been highly stable over the past two years, indicating consistent, disciplined pricing rather than erratic or promotion-driven swings.</w:t>
      </w:r>
    </w:p>
    <w:p w14:paraId="0AA850C4" w14:textId="77777777" w:rsidR="00625569" w:rsidRDefault="00000000">
      <w:pPr>
        <w:spacing w:before="260" w:after="140"/>
      </w:pPr>
      <w:r>
        <w:rPr>
          <w:b/>
          <w:bCs/>
          <w:sz w:val="24"/>
          <w:szCs w:val="24"/>
          <w:u w:val="single"/>
        </w:rPr>
        <w:t>Business Implications</w:t>
      </w:r>
    </w:p>
    <w:p w14:paraId="762F2021" w14:textId="77777777" w:rsidR="00625569" w:rsidRDefault="00000000">
      <w:pPr>
        <w:spacing w:after="140"/>
        <w:jc w:val="both"/>
      </w:pPr>
      <w:r>
        <w:rPr>
          <w:sz w:val="22"/>
          <w:szCs w:val="22"/>
        </w:rPr>
        <w:t>The organization's profitability is currently concentrated in a narrow set of products. While this reflects a strong, well-performing core line, it also means any disruption to Wonka Bar production, pricing, or demand would materially affect the majority of company profit. At the same time, a specific subset of non-chocolate products is underperforming on margin without necessarily being recognized as a distinct risk category until now.</w:t>
      </w:r>
    </w:p>
    <w:p w14:paraId="08F08349" w14:textId="77777777" w:rsidR="00625569" w:rsidRDefault="00000000">
      <w:pPr>
        <w:spacing w:before="260" w:after="140"/>
      </w:pPr>
      <w:r>
        <w:rPr>
          <w:b/>
          <w:bCs/>
          <w:sz w:val="24"/>
          <w:szCs w:val="24"/>
          <w:u w:val="single"/>
        </w:rPr>
        <w:t>Recommendations</w:t>
      </w:r>
    </w:p>
    <w:tbl>
      <w:tblPr>
        <w:tblStyle w:val="TableGrid"/>
        <w:tblW w:w="9093" w:type="dxa"/>
        <w:tblLook w:val="0000" w:firstRow="0" w:lastRow="0" w:firstColumn="0" w:lastColumn="0" w:noHBand="0" w:noVBand="0"/>
      </w:tblPr>
      <w:tblGrid>
        <w:gridCol w:w="1462"/>
        <w:gridCol w:w="7631"/>
      </w:tblGrid>
      <w:tr w:rsidR="00625569" w14:paraId="2F270635" w14:textId="77777777" w:rsidTr="008E4261">
        <w:trPr>
          <w:trHeight w:val="254"/>
        </w:trPr>
        <w:tc>
          <w:tcPr>
            <w:tcW w:w="1663" w:type="dxa"/>
          </w:tcPr>
          <w:p w14:paraId="0DE92D36" w14:textId="77777777" w:rsidR="00625569" w:rsidRDefault="00000000">
            <w:r>
              <w:rPr>
                <w:b/>
                <w:bCs/>
              </w:rPr>
              <w:t>Priority</w:t>
            </w:r>
          </w:p>
        </w:tc>
        <w:tc>
          <w:tcPr>
            <w:tcW w:w="7430" w:type="dxa"/>
          </w:tcPr>
          <w:p w14:paraId="4578321B" w14:textId="77777777" w:rsidR="00625569" w:rsidRDefault="00000000">
            <w:r>
              <w:rPr>
                <w:b/>
                <w:bCs/>
              </w:rPr>
              <w:t>Recommendation</w:t>
            </w:r>
          </w:p>
        </w:tc>
      </w:tr>
      <w:tr w:rsidR="00625569" w14:paraId="546CC04B" w14:textId="77777777" w:rsidTr="008E4261">
        <w:trPr>
          <w:trHeight w:val="254"/>
        </w:trPr>
        <w:tc>
          <w:tcPr>
            <w:tcW w:w="0" w:type="auto"/>
          </w:tcPr>
          <w:p w14:paraId="0725F546" w14:textId="77777777" w:rsidR="00625569" w:rsidRDefault="00000000">
            <w:r>
              <w:t>High</w:t>
            </w:r>
          </w:p>
        </w:tc>
        <w:tc>
          <w:tcPr>
            <w:tcW w:w="0" w:type="auto"/>
          </w:tcPr>
          <w:p w14:paraId="563F45FC" w14:textId="77777777" w:rsidR="00625569" w:rsidRDefault="00000000">
            <w:r>
              <w:t>Review pricing and cost structure for Kazookles and the "Other" division broadly.</w:t>
            </w:r>
          </w:p>
        </w:tc>
      </w:tr>
      <w:tr w:rsidR="00625569" w14:paraId="5861DBFE" w14:textId="77777777" w:rsidTr="008E4261">
        <w:trPr>
          <w:trHeight w:val="510"/>
        </w:trPr>
        <w:tc>
          <w:tcPr>
            <w:tcW w:w="0" w:type="auto"/>
          </w:tcPr>
          <w:p w14:paraId="6B19DEBA" w14:textId="77777777" w:rsidR="00625569" w:rsidRDefault="00000000">
            <w:r>
              <w:t>High</w:t>
            </w:r>
          </w:p>
        </w:tc>
        <w:tc>
          <w:tcPr>
            <w:tcW w:w="0" w:type="auto"/>
          </w:tcPr>
          <w:p w14:paraId="5A826B79" w14:textId="77777777" w:rsidR="00625569" w:rsidRDefault="00000000">
            <w:r>
              <w:t>Protect and continue investing in the five Wonka Bar products as the core revenue and profit driver.</w:t>
            </w:r>
          </w:p>
        </w:tc>
      </w:tr>
      <w:tr w:rsidR="00625569" w14:paraId="1DEEE4D5" w14:textId="77777777" w:rsidTr="008E4261">
        <w:trPr>
          <w:trHeight w:val="510"/>
        </w:trPr>
        <w:tc>
          <w:tcPr>
            <w:tcW w:w="0" w:type="auto"/>
          </w:tcPr>
          <w:p w14:paraId="3D4193B6" w14:textId="77777777" w:rsidR="00625569" w:rsidRDefault="00000000">
            <w:r>
              <w:t>Medium</w:t>
            </w:r>
          </w:p>
        </w:tc>
        <w:tc>
          <w:tcPr>
            <w:tcW w:w="0" w:type="auto"/>
          </w:tcPr>
          <w:p w14:paraId="17CC914D" w14:textId="77777777" w:rsidR="00625569" w:rsidRDefault="00000000">
            <w:r>
              <w:t>Explore margin-improvement or portfolio diversification for non-chocolate products to reduce dependency risk.</w:t>
            </w:r>
          </w:p>
        </w:tc>
      </w:tr>
      <w:tr w:rsidR="00625569" w14:paraId="3C6F28CA" w14:textId="77777777" w:rsidTr="008E4261">
        <w:trPr>
          <w:trHeight w:val="500"/>
        </w:trPr>
        <w:tc>
          <w:tcPr>
            <w:tcW w:w="0" w:type="auto"/>
          </w:tcPr>
          <w:p w14:paraId="70CD7925" w14:textId="77777777" w:rsidR="00625569" w:rsidRDefault="00000000">
            <w:r>
              <w:t>Medium</w:t>
            </w:r>
          </w:p>
        </w:tc>
        <w:tc>
          <w:tcPr>
            <w:tcW w:w="0" w:type="auto"/>
          </w:tcPr>
          <w:p w14:paraId="15AD825F" w14:textId="77777777" w:rsidR="00625569" w:rsidRDefault="00000000">
            <w:r>
              <w:t>Use the accompanying interactive dashboard for ongoing, self-service monitoring of margin and division performance.</w:t>
            </w:r>
          </w:p>
        </w:tc>
      </w:tr>
      <w:tr w:rsidR="00625569" w14:paraId="1FE8B24D" w14:textId="77777777" w:rsidTr="008E4261">
        <w:trPr>
          <w:trHeight w:val="510"/>
        </w:trPr>
        <w:tc>
          <w:tcPr>
            <w:tcW w:w="0" w:type="auto"/>
          </w:tcPr>
          <w:p w14:paraId="0F7CA2A8" w14:textId="77777777" w:rsidR="00625569" w:rsidRDefault="00000000">
            <w:r>
              <w:t>Low</w:t>
            </w:r>
          </w:p>
        </w:tc>
        <w:tc>
          <w:tcPr>
            <w:tcW w:w="0" w:type="auto"/>
          </w:tcPr>
          <w:p w14:paraId="3B78AF45" w14:textId="77777777" w:rsidR="00625569" w:rsidRDefault="00000000">
            <w:r>
              <w:t>Treat Sugar-division figures as directional only, given a very small underlying sample size (40 orders).</w:t>
            </w:r>
          </w:p>
        </w:tc>
      </w:tr>
    </w:tbl>
    <w:p w14:paraId="3D0CEB58" w14:textId="77777777" w:rsidR="00625569" w:rsidRDefault="00000000">
      <w:pPr>
        <w:spacing w:before="260" w:after="140"/>
      </w:pPr>
      <w:r>
        <w:rPr>
          <w:b/>
          <w:bCs/>
          <w:sz w:val="24"/>
          <w:szCs w:val="24"/>
          <w:u w:val="single"/>
        </w:rPr>
        <w:t>Supporting Tools</w:t>
      </w:r>
    </w:p>
    <w:p w14:paraId="33AD71BA" w14:textId="77777777" w:rsidR="00625569" w:rsidRDefault="00000000">
      <w:pPr>
        <w:spacing w:after="140"/>
        <w:jc w:val="both"/>
      </w:pPr>
      <w:r>
        <w:rPr>
          <w:sz w:val="22"/>
          <w:szCs w:val="22"/>
        </w:rPr>
        <w:t xml:space="preserve">A full technical research paper detailing methodology, data quality findings, and analysis is available as a companion document. An interactive </w:t>
      </w:r>
      <w:proofErr w:type="spellStart"/>
      <w:r>
        <w:rPr>
          <w:sz w:val="22"/>
          <w:szCs w:val="22"/>
        </w:rPr>
        <w:t>Streamlit</w:t>
      </w:r>
      <w:proofErr w:type="spellEnd"/>
      <w:r>
        <w:rPr>
          <w:sz w:val="22"/>
          <w:szCs w:val="22"/>
        </w:rPr>
        <w:t xml:space="preserve"> dashboard has also been developed, allowing stakeholders to filter results by division, product, margin threshold, and date range for ongoing self-service analysis.</w:t>
      </w:r>
    </w:p>
    <w:sectPr w:rsidR="006255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75D4"/>
    <w:multiLevelType w:val="hybridMultilevel"/>
    <w:tmpl w:val="37564B34"/>
    <w:lvl w:ilvl="0" w:tplc="961C1EC6">
      <w:start w:val="1"/>
      <w:numFmt w:val="bullet"/>
      <w:lvlText w:val="●"/>
      <w:lvlJc w:val="left"/>
      <w:pPr>
        <w:ind w:left="720" w:hanging="360"/>
      </w:pPr>
    </w:lvl>
    <w:lvl w:ilvl="1" w:tplc="E09C6314">
      <w:start w:val="1"/>
      <w:numFmt w:val="bullet"/>
      <w:lvlText w:val="○"/>
      <w:lvlJc w:val="left"/>
      <w:pPr>
        <w:ind w:left="1440" w:hanging="360"/>
      </w:pPr>
    </w:lvl>
    <w:lvl w:ilvl="2" w:tplc="581C929A">
      <w:start w:val="1"/>
      <w:numFmt w:val="bullet"/>
      <w:lvlText w:val="■"/>
      <w:lvlJc w:val="left"/>
      <w:pPr>
        <w:ind w:left="2160" w:hanging="360"/>
      </w:pPr>
    </w:lvl>
    <w:lvl w:ilvl="3" w:tplc="849853D0">
      <w:start w:val="1"/>
      <w:numFmt w:val="bullet"/>
      <w:lvlText w:val="●"/>
      <w:lvlJc w:val="left"/>
      <w:pPr>
        <w:ind w:left="2880" w:hanging="360"/>
      </w:pPr>
    </w:lvl>
    <w:lvl w:ilvl="4" w:tplc="C6FAE4CE">
      <w:start w:val="1"/>
      <w:numFmt w:val="bullet"/>
      <w:lvlText w:val="○"/>
      <w:lvlJc w:val="left"/>
      <w:pPr>
        <w:ind w:left="3600" w:hanging="360"/>
      </w:pPr>
    </w:lvl>
    <w:lvl w:ilvl="5" w:tplc="2EEA1DCA">
      <w:start w:val="1"/>
      <w:numFmt w:val="bullet"/>
      <w:lvlText w:val="■"/>
      <w:lvlJc w:val="left"/>
      <w:pPr>
        <w:ind w:left="4320" w:hanging="360"/>
      </w:pPr>
    </w:lvl>
    <w:lvl w:ilvl="6" w:tplc="223E1C38">
      <w:start w:val="1"/>
      <w:numFmt w:val="bullet"/>
      <w:lvlText w:val="●"/>
      <w:lvlJc w:val="left"/>
      <w:pPr>
        <w:ind w:left="5040" w:hanging="360"/>
      </w:pPr>
    </w:lvl>
    <w:lvl w:ilvl="7" w:tplc="D57C913E">
      <w:start w:val="1"/>
      <w:numFmt w:val="bullet"/>
      <w:lvlText w:val="●"/>
      <w:lvlJc w:val="left"/>
      <w:pPr>
        <w:ind w:left="5760" w:hanging="360"/>
      </w:pPr>
    </w:lvl>
    <w:lvl w:ilvl="8" w:tplc="74683440">
      <w:start w:val="1"/>
      <w:numFmt w:val="bullet"/>
      <w:lvlText w:val="●"/>
      <w:lvlJc w:val="left"/>
      <w:pPr>
        <w:ind w:left="6480" w:hanging="360"/>
      </w:pPr>
    </w:lvl>
  </w:abstractNum>
  <w:num w:numId="1" w16cid:durableId="232545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569"/>
    <w:rsid w:val="00385A47"/>
    <w:rsid w:val="00625569"/>
    <w:rsid w:val="008E4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645AF"/>
  <w15:docId w15:val="{BB8B277A-B990-4E01-AF8B-8688A2E6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8E426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8E42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Vaishnavi Helwatkar</cp:lastModifiedBy>
  <cp:revision>2</cp:revision>
  <dcterms:created xsi:type="dcterms:W3CDTF">2026-09-13T16:15:00Z</dcterms:created>
  <dcterms:modified xsi:type="dcterms:W3CDTF">2026-10-02T19:11:00Z</dcterms:modified>
</cp:coreProperties>
</file>