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Write a SQL query to get a monthly number of patients having ‘Telederm Center’ as their first channel and ‘Website’ as a later channel at any point of time. Consider the first appointment date where the channel is ‘Telederm Center’ to get monthly numbers (if a patient takes appointment on 29-03-2019 using ‘Telederm Center’ channel and if the same patient takes appointment on 12-04-2019 using  ‘Website’ channel then you have to count this patient on 29-03-2019).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WITH patient_data AS (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SELECT 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PatientId, appt_date, Channel,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MIN(CASE 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WHEN Channel = 'Telederm Center' 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THEN appt_date 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END) OVER (PARTITION BY PatientId) AS first_telederm_date,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MAX(CASE 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WHEN Channel = 'Website' 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THEN 1 ELSE 0 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END) OVER (PARTITION BY PatientId) AS has_website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FROM patients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final_data AS (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SELECT DISTINCT PatientId, first_telederm_date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FROM patient_data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WHERE first_telederm_date IS NOT NULL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AND has_website = 1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DATE_FORMAT(first_telederm_date, '%Y-%m') AS YearMonth,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COUNT(*) AS Patients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final_data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GROUP BY YearMonth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ORDER BY YearMonth;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417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footerReference r:id="rId11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3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