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</w:rPr>
        <w:t xml:space="preserve">Assignment 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t>4</w:t>
      </w: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Test-Driven Development (TDD) Process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Info graphic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Title: Test-Driven Development (TDD) Process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Introduction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Brief explanation of TDD and its significance in software development.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TDD Process Overview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  <w:t>Test-driven development overturns conventional growth and testing. So, instead of first writing your code and then summarily fitting a test to verify the block of malware you just wrote, test-driven creation requires that you first write the test and then apply code modifications before the test you have already written passes your code. 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  <w:t>You first write the unit test in TDD, watch it fail, and then enforce code modifications before the test passes. Sounds backwards, huh? But when you use this 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technique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 the code you generate is safer and less susceptible to breaking in the long run. 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  <w:t>A unit test is essentially a test that, like an algorithm, for example, covers a small portion of logic. Checks on units should be probabilistic. I mean that unit tests should never have adverse effects, such as calls to external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API’s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  <w:t> that provide unpredictable or changing data, when I say “deterministic.” Instead of data that might alter over time, you’d use mock data.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depiction of the three main steps: Write Test, Write Code, Refactor.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Arrows showing the iterative nature of TDD.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34890" cy="3474720"/>
            <wp:effectExtent l="0" t="0" r="381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Write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writing test cases before writing any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a test case being written.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2: Write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depiction of writing code to make the test cases pass.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a developer writing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Refactor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refactoring code to improve its structure without changing its behavior.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code being optimized.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80" w:beforeAutospacing="0" w:after="180" w:afterAutospacing="0"/>
        <w:ind w:left="420" w:leftChars="0" w:right="0" w:hanging="420" w:firstLineChars="0"/>
        <w:rPr>
          <w:rFonts w:hint="default" w:ascii="Times New Roman" w:hAnsi="Times New Roman" w:eastAsia="__Manrope_Fallback_cbcdd2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__Manrope_Fallback_cbcdd2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What are the Tools Used for Test Driven Development</w:t>
      </w:r>
    </w:p>
    <w:p>
      <w:pPr>
        <w:pStyle w:val="8"/>
        <w:keepNext w:val="0"/>
        <w:keepLines w:val="0"/>
        <w:widowControl/>
        <w:suppressLineNumbers w:val="0"/>
        <w:spacing w:before="180" w:beforeAutospacing="0" w:after="180" w:afterAutospacing="0"/>
        <w:ind w:left="0" w:right="0" w:firstLine="0"/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</w:rPr>
        <w:t>The following are some popular and most used frameworks/tools for unit testing that support the TDD approach: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CsUnit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A research tool for an open-source unit that provides a TDD unit test system for. Net projects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Dorset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For Python, a very basic, easy-to-learn the unit testing system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JUnit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A test system for a Java TDD unit.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NUnit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This one is used for. Net projects once again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PHPUnit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For PHP projects, this one is used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PyUnit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For Python, a standard unit testing application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TestNG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A 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Java testing framework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which overrides JUnit’s limitations.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__Manrope_Fallback_cbcdd2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RSpec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: A system for projects with Ruby.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Benefits of TDD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First of all, writing the tests allows you to understand what you want from the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code.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You’ll get short reviews.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A comprehensive specification is created by TDD.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TDD decreases the time spent reworking.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In the debugger, you waste less time.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You can easily recognize mistakes and issues.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TDD informs you whether your last update (or refactoring) has broken the working code.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TDD makes it possible for the design to develop and respond to your evolving understanding of the problem.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The extreme simplification of the code is forced by TDD. In answer to the requirements of the tests, you can only write code.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You are compelled to write tiny classes based on one issue.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TDD produces SOLID applications.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A clean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 xml:space="preserve"> GUI 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supports TDD.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TDD produces code that is easily extensible, 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scalable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 and maintainable.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The subsequent 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  <w:t>unit testing</w:t>
      </w: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are easy and serve as code validation.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Since TDD use cases are written as tests, the tests can be used by other programmers as usage samples of how the code is supposed to operate.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The marketing time for production is shorter.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The productivity of the program is improved.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Costs for construction are being cut.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Efficiency is strengthened.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__Manrope_Fallback_cbcdd2" w:cs="Times New Roman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It eliminates bugs.</w:t>
      </w:r>
    </w:p>
    <w:p>
      <w:pPr>
        <w:numPr>
          <w:ilvl w:val="0"/>
          <w:numId w:val="5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Summary of the TDD process and its benefits.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Call to action or further resources for learning TDD.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__Manrope_Fallback_cbcdd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Name:Vaishnavi Vilas Surve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43DCA"/>
    <w:multiLevelType w:val="singleLevel"/>
    <w:tmpl w:val="BBC43D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7EE1939"/>
    <w:multiLevelType w:val="multilevel"/>
    <w:tmpl w:val="27EE19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67B4E8"/>
    <w:multiLevelType w:val="singleLevel"/>
    <w:tmpl w:val="3F67B4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F7AAE04"/>
    <w:multiLevelType w:val="singleLevel"/>
    <w:tmpl w:val="3F7AAE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6339B0"/>
    <w:multiLevelType w:val="multilevel"/>
    <w:tmpl w:val="606339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84154"/>
    <w:rsid w:val="029D79D6"/>
    <w:rsid w:val="049A781C"/>
    <w:rsid w:val="07584154"/>
    <w:rsid w:val="0D624402"/>
    <w:rsid w:val="0EFC41A3"/>
    <w:rsid w:val="1C2403B8"/>
    <w:rsid w:val="1DC26B60"/>
    <w:rsid w:val="22EE0D5B"/>
    <w:rsid w:val="27D86739"/>
    <w:rsid w:val="29B661FB"/>
    <w:rsid w:val="382D18A2"/>
    <w:rsid w:val="3ADA3F1A"/>
    <w:rsid w:val="419F0436"/>
    <w:rsid w:val="41D531E7"/>
    <w:rsid w:val="578130E3"/>
    <w:rsid w:val="65BE2AA5"/>
    <w:rsid w:val="72442685"/>
    <w:rsid w:val="74AB0875"/>
    <w:rsid w:val="76C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2024-05-20T12:19:00Z</dcterms:created>
  <dc:creator>Hp</dc:creator>
  <cp:lastModifiedBy>Vaishnavi Surve</cp:lastModifiedBy>
  <dcterms:modified xsi:type="dcterms:W3CDTF">2024-05-24T05:45:06Z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2D46D0442FB546F9A00D223BDB519963_13</vt:lpwstr>
  </property>
</Properties>
</file>