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76" w:lineRule="auto"/>
        <w:jc w:val="center"/>
      </w:pPr>
      <w:r>
        <w:rPr>
          <w:rFonts w:ascii="Times New Roman" w:hAnsi="Times New Roman"/>
          <w:b/>
          <w:i w:val="0"/>
          <w:color w:val="000000"/>
          <w:sz w:val="28"/>
        </w:rPr>
        <w:t>NEXO MEDICO AI: AN AI-POWERED HEALTHCARE MANAGEMENT AND EXPLAINABLE CLINICAL DECISION SUPPORT PLATFORM</w:t>
      </w:r>
    </w:p>
    <w:p>
      <w:pPr>
        <w:spacing w:before="240" w:after="80" w:line="276" w:lineRule="auto"/>
        <w:jc w:val="center"/>
      </w:pPr>
      <w:r>
        <w:rPr>
          <w:rFonts w:ascii="Times New Roman" w:hAnsi="Times New Roman"/>
          <w:b w:val="0"/>
          <w:i w:val="0"/>
          <w:color w:val="000000"/>
          <w:sz w:val="22"/>
        </w:rPr>
        <w:t>A Report submitted in partial fulfillment of the requirements for the Degree of</w:t>
      </w:r>
    </w:p>
    <w:p>
      <w:pPr>
        <w:spacing w:before="80" w:after="40" w:line="240" w:lineRule="auto"/>
        <w:jc w:val="center"/>
      </w:pPr>
      <w:r>
        <w:rPr>
          <w:rFonts w:ascii="Times New Roman" w:hAnsi="Times New Roman"/>
          <w:b/>
          <w:i w:val="0"/>
          <w:color w:val="000000"/>
          <w:sz w:val="24"/>
        </w:rPr>
        <w:t>Bachelor of Technology</w:t>
      </w:r>
    </w:p>
    <w:p>
      <w:pPr>
        <w:spacing w:before="40" w:after="40" w:line="240" w:lineRule="auto"/>
        <w:jc w:val="center"/>
      </w:pPr>
      <w:r>
        <w:rPr>
          <w:rFonts w:ascii="Times New Roman" w:hAnsi="Times New Roman"/>
          <w:b w:val="0"/>
          <w:i w:val="0"/>
          <w:color w:val="000000"/>
          <w:sz w:val="22"/>
        </w:rPr>
        <w:t>in</w:t>
      </w:r>
    </w:p>
    <w:p>
      <w:pPr>
        <w:spacing w:before="40" w:after="280" w:line="240" w:lineRule="auto"/>
        <w:jc w:val="center"/>
      </w:pPr>
      <w:r>
        <w:rPr>
          <w:rFonts w:ascii="Times New Roman" w:hAnsi="Times New Roman"/>
          <w:b/>
          <w:i w:val="0"/>
          <w:color w:val="000000"/>
          <w:sz w:val="24"/>
        </w:rPr>
        <w:t>COMPUTER SCIENCE AND ENGINEERING</w:t>
      </w:r>
    </w:p>
    <w:p>
      <w:pPr>
        <w:spacing w:before="80" w:after="160" w:line="240" w:lineRule="auto"/>
        <w:jc w:val="center"/>
      </w:pPr>
      <w:r>
        <w:rPr>
          <w:rFonts w:ascii="Times New Roman" w:hAnsi="Times New Roman"/>
          <w:b w:val="0"/>
          <w:i/>
          <w:color w:val="000000"/>
          <w:sz w:val="22"/>
        </w:rPr>
        <w:t>by</w:t>
      </w:r>
    </w:p>
    <w:tbl>
      <w:tblPr>
        <w:tblW w:type="auto" w:w="0"/>
        <w:jc w:val="center"/>
        <w:tblLook w:firstColumn="1" w:firstRow="1" w:lastColumn="0" w:lastRow="0" w:noHBand="0" w:noVBand="1" w:val="04A0"/>
      </w:tblPr>
      <w:tblGrid>
        <w:gridCol w:w="3969"/>
        <w:gridCol w:w="3969"/>
      </w:tblGrid>
      <w:tr>
        <w:tc>
          <w:tcPr>
            <w:tcW w:type="dxa" w:w="4608"/>
            <w:tcMar>
              <w:top w:w="20" w:type="dxa"/>
              <w:bottom w:w="20" w:type="dxa"/>
              <w:left w:w="40" w:type="dxa"/>
              <w:right w:w="40" w:type="dxa"/>
            </w:tcMar>
          </w:tcPr>
          <w:p>
            <w:pPr>
              <w:jc w:val="left"/>
            </w:pPr>
            <w:r>
              <w:rPr>
                <w:rFonts w:ascii="Times New Roman" w:hAnsi="Times New Roman"/>
                <w:b/>
                <w:i w:val="0"/>
                <w:color w:val="000000"/>
                <w:sz w:val="22"/>
              </w:rPr>
              <w:t>Yashwanth [Candidate 1]</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(2211CS010001)</w:t>
            </w:r>
          </w:p>
        </w:tc>
      </w:tr>
      <w:tr>
        <w:tc>
          <w:tcPr>
            <w:tcW w:type="dxa" w:w="4608"/>
            <w:tcMar>
              <w:top w:w="20" w:type="dxa"/>
              <w:bottom w:w="20" w:type="dxa"/>
              <w:left w:w="40" w:type="dxa"/>
              <w:right w:w="40" w:type="dxa"/>
            </w:tcMar>
          </w:tcPr>
          <w:p>
            <w:pPr>
              <w:jc w:val="left"/>
            </w:pPr>
            <w:r>
              <w:rPr>
                <w:rFonts w:ascii="Times New Roman" w:hAnsi="Times New Roman"/>
                <w:b/>
                <w:i w:val="0"/>
                <w:color w:val="000000"/>
                <w:sz w:val="22"/>
              </w:rPr>
              <w:t>[Candidate Name 2]</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(2211CS010002)</w:t>
            </w:r>
          </w:p>
        </w:tc>
      </w:tr>
      <w:tr>
        <w:tc>
          <w:tcPr>
            <w:tcW w:type="dxa" w:w="4608"/>
            <w:tcMar>
              <w:top w:w="20" w:type="dxa"/>
              <w:bottom w:w="20" w:type="dxa"/>
              <w:left w:w="40" w:type="dxa"/>
              <w:right w:w="40" w:type="dxa"/>
            </w:tcMar>
          </w:tcPr>
          <w:p>
            <w:pPr>
              <w:jc w:val="left"/>
            </w:pPr>
            <w:r>
              <w:rPr>
                <w:rFonts w:ascii="Times New Roman" w:hAnsi="Times New Roman"/>
                <w:b/>
                <w:i w:val="0"/>
                <w:color w:val="000000"/>
                <w:sz w:val="22"/>
              </w:rPr>
              <w:t>[Candidate Name 3]</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(2211CS010003)</w:t>
            </w:r>
          </w:p>
        </w:tc>
      </w:tr>
      <w:tr>
        <w:tc>
          <w:tcPr>
            <w:tcW w:type="dxa" w:w="4608"/>
            <w:tcMar>
              <w:top w:w="20" w:type="dxa"/>
              <w:bottom w:w="20" w:type="dxa"/>
              <w:left w:w="40" w:type="dxa"/>
              <w:right w:w="40" w:type="dxa"/>
            </w:tcMar>
          </w:tcPr>
          <w:p>
            <w:pPr>
              <w:jc w:val="left"/>
            </w:pPr>
            <w:r>
              <w:rPr>
                <w:rFonts w:ascii="Times New Roman" w:hAnsi="Times New Roman"/>
                <w:b/>
                <w:i w:val="0"/>
                <w:color w:val="000000"/>
                <w:sz w:val="22"/>
              </w:rPr>
              <w:t>[Candidate Name 4]</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(2211CS010004)</w:t>
            </w:r>
          </w:p>
        </w:tc>
      </w:tr>
    </w:tbl>
    <w:p>
      <w:pPr>
        <w:spacing w:before="320" w:after="40" w:line="240" w:lineRule="auto"/>
        <w:jc w:val="center"/>
      </w:pPr>
      <w:r>
        <w:rPr>
          <w:rFonts w:ascii="Times New Roman" w:hAnsi="Times New Roman"/>
          <w:b w:val="0"/>
          <w:i/>
          <w:color w:val="000000"/>
          <w:sz w:val="22"/>
        </w:rPr>
        <w:t>Under the guidance of</w:t>
      </w:r>
    </w:p>
    <w:p>
      <w:pPr>
        <w:spacing w:before="40" w:after="280" w:line="276" w:lineRule="auto"/>
        <w:jc w:val="center"/>
      </w:pPr>
      <w:r>
        <w:rPr>
          <w:rFonts w:ascii="Times New Roman" w:hAnsi="Times New Roman"/>
          <w:b/>
          <w:i w:val="0"/>
          <w:color w:val="000000"/>
          <w:sz w:val="24"/>
        </w:rPr>
        <w:t>Dr. [Guide Name]</w:t>
        <w:br/>
        <w:t>Associate Professor, Department of CSE</w:t>
      </w:r>
    </w:p>
    <w:p>
      <w:pPr>
        <w:spacing w:before="120" w:after="200"/>
        <w:jc w:val="center"/>
      </w:pPr>
      <w:r>
        <w:drawing>
          <wp:inline xmlns:a="http://schemas.openxmlformats.org/drawingml/2006/main" xmlns:pic="http://schemas.openxmlformats.org/drawingml/2006/picture">
            <wp:extent cx="1508760" cy="1161612"/>
            <wp:docPr id="1" name="Picture 1"/>
            <wp:cNvGraphicFramePr>
              <a:graphicFrameLocks noChangeAspect="1"/>
            </wp:cNvGraphicFramePr>
            <a:graphic>
              <a:graphicData uri="http://schemas.openxmlformats.org/drawingml/2006/picture">
                <pic:pic>
                  <pic:nvPicPr>
                    <pic:cNvPr id="0" name="mru_logo.png"/>
                    <pic:cNvPicPr/>
                  </pic:nvPicPr>
                  <pic:blipFill>
                    <a:blip r:embed="rId9"/>
                    <a:stretch>
                      <a:fillRect/>
                    </a:stretch>
                  </pic:blipFill>
                  <pic:spPr>
                    <a:xfrm>
                      <a:off x="0" y="0"/>
                      <a:ext cx="1508760" cy="1161612"/>
                    </a:xfrm>
                    <a:prstGeom prst="rect"/>
                  </pic:spPr>
                </pic:pic>
              </a:graphicData>
            </a:graphic>
          </wp:inline>
        </w:drawing>
      </w:r>
    </w:p>
    <w:p>
      <w:pPr>
        <w:spacing w:before="80" w:after="40" w:line="276" w:lineRule="auto"/>
        <w:jc w:val="center"/>
      </w:pPr>
      <w:r>
        <w:rPr>
          <w:rFonts w:ascii="Times New Roman" w:hAnsi="Times New Roman"/>
          <w:b/>
          <w:i w:val="0"/>
          <w:color w:val="000000"/>
          <w:sz w:val="24"/>
        </w:rPr>
        <w:t>Department of Computer Science and Engineering</w:t>
        <w:br/>
        <w:t>School of Engineering</w:t>
        <w:br/>
        <w:t>MALLA REDDY UNIVERSITY</w:t>
      </w:r>
    </w:p>
    <w:p>
      <w:pPr>
        <w:spacing w:before="40" w:after="0" w:line="276" w:lineRule="auto"/>
        <w:jc w:val="center"/>
      </w:pPr>
      <w:r>
        <w:rPr>
          <w:rFonts w:ascii="Times New Roman" w:hAnsi="Times New Roman"/>
          <w:b w:val="0"/>
          <w:i w:val="0"/>
          <w:color w:val="000000"/>
          <w:sz w:val="22"/>
        </w:rPr>
        <w:t>Maisammaguda, Dulapally, Hyderabad, Telangana 500100</w:t>
        <w:br/>
        <w:t>Academic Year: 2026–2027</w:t>
      </w:r>
    </w:p>
    <w:p>
      <w:r>
        <w:br w:type="page"/>
      </w:r>
    </w:p>
    <w:p>
      <w:pPr>
        <w:sectPr>
          <w:pgSz w:w="11906" w:h="16838"/>
          <w:pgMar w:top="1701" w:right="1984" w:bottom="1701" w:left="1984" w:header="720" w:footer="1134" w:gutter="0"/>
          <w:cols w:space="720"/>
          <w:titlePg/>
          <w:docGrid w:linePitch="360"/>
        </w:sectPr>
      </w:pPr>
    </w:p>
    <w:p>
      <w:pPr>
        <w:spacing w:before="0" w:after="160"/>
        <w:jc w:val="center"/>
      </w:pPr>
      <w:r>
        <w:drawing>
          <wp:inline xmlns:a="http://schemas.openxmlformats.org/drawingml/2006/main" xmlns:pic="http://schemas.openxmlformats.org/drawingml/2006/picture">
            <wp:extent cx="5029200" cy="707118"/>
            <wp:docPr id="2" name="Picture 2"/>
            <wp:cNvGraphicFramePr>
              <a:graphicFrameLocks noChangeAspect="1"/>
            </wp:cNvGraphicFramePr>
            <a:graphic>
              <a:graphicData uri="http://schemas.openxmlformats.org/drawingml/2006/picture">
                <pic:pic>
                  <pic:nvPicPr>
                    <pic:cNvPr id="0" name="mru_header.jpg"/>
                    <pic:cNvPicPr/>
                  </pic:nvPicPr>
                  <pic:blipFill>
                    <a:blip r:embed="rId12"/>
                    <a:stretch>
                      <a:fillRect/>
                    </a:stretch>
                  </pic:blipFill>
                  <pic:spPr>
                    <a:xfrm>
                      <a:off x="0" y="0"/>
                      <a:ext cx="5029200" cy="707118"/>
                    </a:xfrm>
                    <a:prstGeom prst="rect"/>
                  </pic:spPr>
                </pic:pic>
              </a:graphicData>
            </a:graphic>
          </wp:inline>
        </w:drawing>
      </w:r>
    </w:p>
    <w:p>
      <w:pPr>
        <w:spacing w:before="40" w:after="80" w:line="240" w:lineRule="auto"/>
        <w:jc w:val="center"/>
      </w:pPr>
      <w:r>
        <w:rPr>
          <w:rFonts w:ascii="Times New Roman" w:hAnsi="Times New Roman"/>
          <w:b/>
          <w:i w:val="0"/>
          <w:color w:val="000000"/>
          <w:sz w:val="24"/>
        </w:rPr>
        <w:t>Department of Computer Science and Engineering</w:t>
      </w:r>
    </w:p>
    <w:p>
      <w:pPr>
        <w:spacing w:before="80" w:after="280" w:line="240" w:lineRule="auto"/>
        <w:jc w:val="center"/>
      </w:pPr>
      <w:r>
        <w:rPr>
          <w:rFonts w:ascii="Times New Roman" w:hAnsi="Times New Roman"/>
          <w:b/>
          <w:i w:val="0"/>
          <w:color w:val="000000"/>
          <w:sz w:val="28"/>
        </w:rPr>
        <w:t>CERTIFICATE</w:t>
      </w:r>
    </w:p>
    <w:p>
      <w:pPr>
        <w:spacing w:before="120" w:after="720" w:line="360" w:lineRule="auto"/>
        <w:jc w:val="both"/>
      </w:pPr>
      <w:r>
        <w:rPr>
          <w:rFonts w:ascii="Times New Roman" w:hAnsi="Times New Roman"/>
          <w:b w:val="0"/>
          <w:i w:val="0"/>
          <w:color w:val="000000"/>
          <w:sz w:val="24"/>
        </w:rPr>
        <w:t>This is to certify that the project report entitled “NEXO MEDICO AI: An AI-Powered Healthcare Management and Explainable Clinical Decision Support Platform” submitted by Yashwanth [Candidate 1] (2211CS010001), [Candidate Name 2] (2211CS010002), [Candidate Name 3] (2211CS010003), and [Candidate Name 4] (2211CS010004) towards the partial fulfillment for the award of Bachelor’s Degree in Computer Science and Engineering, Malla Reddy University, Hyderabad, is a record of Bonafide work done by them. The results embodied in the work are not submitted to any other University or Institute for award of any degree or diploma.</w:t>
      </w:r>
    </w:p>
    <w:tbl>
      <w:tblPr>
        <w:tblW w:type="auto" w:w="0"/>
        <w:jc w:val="center"/>
        <w:tblLook w:firstColumn="1" w:firstRow="1" w:lastColumn="0" w:lastRow="0" w:noHBand="0" w:noVBand="1" w:val="04A0"/>
      </w:tblPr>
      <w:tblGrid>
        <w:gridCol w:w="2646"/>
        <w:gridCol w:w="2646"/>
        <w:gridCol w:w="2646"/>
      </w:tblGrid>
      <w:tr>
        <w:tc>
          <w:tcPr>
            <w:tcW w:type="dxa" w:w="2592"/>
            <w:tcMar>
              <w:top w:w="10" w:type="dxa"/>
              <w:bottom w:w="10" w:type="dxa"/>
              <w:left w:w="20" w:type="dxa"/>
              <w:right w:w="20" w:type="dxa"/>
            </w:tcMar>
          </w:tcPr>
          <w:p>
            <w:pPr>
              <w:jc w:val="center"/>
            </w:pPr>
            <w:r>
              <w:rPr>
                <w:rFonts w:ascii="Times New Roman" w:hAnsi="Times New Roman"/>
                <w:b/>
                <w:i w:val="0"/>
                <w:color w:val="000000"/>
                <w:sz w:val="22"/>
              </w:rPr>
              <w:t>INTERNAL GUIDE</w:t>
            </w:r>
          </w:p>
        </w:tc>
        <w:tc>
          <w:tcPr>
            <w:tcW w:type="dxa" w:w="2736"/>
            <w:tcMar>
              <w:top w:w="10" w:type="dxa"/>
              <w:bottom w:w="10" w:type="dxa"/>
              <w:left w:w="20" w:type="dxa"/>
              <w:right w:w="20" w:type="dxa"/>
            </w:tcMar>
          </w:tcPr>
          <w:p>
            <w:pPr>
              <w:jc w:val="center"/>
            </w:pPr>
            <w:r>
              <w:rPr>
                <w:rFonts w:ascii="Times New Roman" w:hAnsi="Times New Roman"/>
                <w:b/>
                <w:i w:val="0"/>
                <w:color w:val="000000"/>
                <w:sz w:val="22"/>
              </w:rPr>
              <w:t>DEAN — CSE</w:t>
            </w:r>
          </w:p>
        </w:tc>
        <w:tc>
          <w:tcPr>
            <w:tcW w:type="dxa" w:w="2592"/>
            <w:tcMar>
              <w:top w:w="10" w:type="dxa"/>
              <w:bottom w:w="10" w:type="dxa"/>
              <w:left w:w="20" w:type="dxa"/>
              <w:right w:w="20" w:type="dxa"/>
            </w:tcMar>
          </w:tcPr>
          <w:p>
            <w:pPr>
              <w:jc w:val="center"/>
            </w:pPr>
            <w:r>
              <w:rPr>
                <w:rFonts w:ascii="Times New Roman" w:hAnsi="Times New Roman"/>
                <w:b/>
                <w:i w:val="0"/>
                <w:color w:val="000000"/>
                <w:sz w:val="22"/>
              </w:rPr>
              <w:t>EXTERNAL EXAMINER</w:t>
            </w:r>
          </w:p>
        </w:tc>
      </w:tr>
      <w:tr>
        <w:tc>
          <w:tcPr>
            <w:tcW w:type="dxa" w:w="2592"/>
            <w:tcMar>
              <w:top w:w="10" w:type="dxa"/>
              <w:bottom w:w="10" w:type="dxa"/>
              <w:left w:w="20" w:type="dxa"/>
              <w:right w:w="20" w:type="dxa"/>
            </w:tcMar>
          </w:tcPr>
          <w:p>
            <w:pPr>
              <w:spacing w:before="720"/>
              <w:jc w:val="center"/>
            </w:pPr>
            <w:r>
              <w:rPr>
                <w:rFonts w:ascii="Times New Roman" w:hAnsi="Times New Roman"/>
                <w:b w:val="0"/>
                <w:i/>
                <w:color w:val="000000"/>
                <w:sz w:val="20"/>
              </w:rPr>
              <w:t>Dr. [Guide Name]</w:t>
              <w:br/>
              <w:t>Associate Professor, CSE</w:t>
            </w:r>
          </w:p>
        </w:tc>
        <w:tc>
          <w:tcPr>
            <w:tcW w:type="dxa" w:w="2736"/>
            <w:tcMar>
              <w:top w:w="10" w:type="dxa"/>
              <w:bottom w:w="10" w:type="dxa"/>
              <w:left w:w="20" w:type="dxa"/>
              <w:right w:w="20" w:type="dxa"/>
            </w:tcMar>
          </w:tcPr>
          <w:p>
            <w:pPr>
              <w:spacing w:before="720"/>
              <w:jc w:val="center"/>
            </w:pPr>
            <w:r>
              <w:rPr>
                <w:rFonts w:ascii="Times New Roman" w:hAnsi="Times New Roman"/>
                <w:b w:val="0"/>
                <w:i/>
                <w:color w:val="000000"/>
                <w:sz w:val="20"/>
              </w:rPr>
              <w:t>Dr. A.V.L.N. Sujith</w:t>
              <w:br/>
              <w:t>Dean, School of Engineering</w:t>
            </w:r>
          </w:p>
        </w:tc>
        <w:tc>
          <w:tcPr>
            <w:tcW w:type="dxa" w:w="2592"/>
            <w:tcMar>
              <w:top w:w="10" w:type="dxa"/>
              <w:bottom w:w="10" w:type="dxa"/>
              <w:left w:w="20" w:type="dxa"/>
              <w:right w:w="20" w:type="dxa"/>
            </w:tcMar>
          </w:tcPr>
          <w:p>
            <w:pPr>
              <w:spacing w:before="720"/>
              <w:jc w:val="center"/>
            </w:pPr>
            <w:r>
              <w:rPr>
                <w:rFonts w:ascii="Times New Roman" w:hAnsi="Times New Roman"/>
                <w:b w:val="0"/>
                <w:i/>
                <w:color w:val="000000"/>
                <w:sz w:val="20"/>
              </w:rPr>
              <w:br/>
              <w:t>(Signature with Date)</w:t>
            </w:r>
          </w:p>
        </w:tc>
      </w:tr>
    </w:tbl>
    <w:p>
      <w:r>
        <w:br w:type="page"/>
      </w:r>
    </w:p>
    <w:p>
      <w:pPr>
        <w:spacing w:before="240" w:after="80" w:line="240" w:lineRule="auto"/>
        <w:jc w:val="center"/>
      </w:pPr>
      <w:r>
        <w:rPr>
          <w:rFonts w:ascii="Times New Roman" w:hAnsi="Times New Roman"/>
          <w:b/>
          <w:i w:val="0"/>
          <w:color w:val="000000"/>
          <w:sz w:val="24"/>
        </w:rPr>
        <w:t>Department of Computer Science and Engineering</w:t>
      </w:r>
    </w:p>
    <w:p>
      <w:pPr>
        <w:spacing w:before="80" w:after="360" w:line="240" w:lineRule="auto"/>
        <w:jc w:val="center"/>
      </w:pPr>
      <w:r>
        <w:rPr>
          <w:rFonts w:ascii="Times New Roman" w:hAnsi="Times New Roman"/>
          <w:b/>
          <w:i w:val="0"/>
          <w:color w:val="000000"/>
          <w:sz w:val="28"/>
        </w:rPr>
        <w:t>DECLARATION</w:t>
      </w:r>
    </w:p>
    <w:p>
      <w:pPr>
        <w:spacing w:before="160" w:after="480" w:line="360" w:lineRule="auto"/>
        <w:jc w:val="both"/>
      </w:pPr>
      <w:r>
        <w:rPr>
          <w:rFonts w:ascii="Times New Roman" w:hAnsi="Times New Roman"/>
          <w:b w:val="0"/>
          <w:i w:val="0"/>
          <w:color w:val="000000"/>
          <w:sz w:val="24"/>
        </w:rPr>
        <w:t>We hereby declare that the project report entitled “NEXO MEDICO AI: An AI-Powered Healthcare Management and Explainable Clinical Decision Support Platform” has been carried out by us and this work has been submitted to the Department of Computer Science and Engineering, Malla Reddy University, Hyderabad in partial fulfillment of the requirements for the award of degree of Bachelor of Technology. We further declare that this project work has not been submitted in full or part for the award of any other degree in any other educational institutions.</w:t>
      </w:r>
    </w:p>
    <w:p>
      <w:pPr>
        <w:spacing w:before="160" w:after="400" w:line="276" w:lineRule="auto"/>
        <w:jc w:val="left"/>
      </w:pPr>
      <w:r>
        <w:rPr>
          <w:rFonts w:ascii="Times New Roman" w:hAnsi="Times New Roman"/>
          <w:b w:val="0"/>
          <w:i w:val="0"/>
          <w:color w:val="000000"/>
          <w:sz w:val="22"/>
        </w:rPr>
        <w:t>Place: Hyderabad</w:t>
        <w:br/>
        <w:t>Date: October 2026</w:t>
      </w:r>
    </w:p>
    <w:tbl>
      <w:tblPr>
        <w:tblW w:type="auto" w:w="0"/>
        <w:jc w:val="center"/>
        <w:tblLook w:firstColumn="1" w:firstRow="1" w:lastColumn="0" w:lastRow="0" w:noHBand="0" w:noVBand="1" w:val="04A0"/>
      </w:tblPr>
      <w:tblGrid>
        <w:gridCol w:w="3969"/>
        <w:gridCol w:w="3969"/>
      </w:tblGrid>
      <w:tr>
        <w:tc>
          <w:tcPr>
            <w:tcW w:type="dxa" w:w="4608"/>
            <w:tcMar>
              <w:top w:w="20" w:type="dxa"/>
              <w:bottom w:w="20" w:type="dxa"/>
              <w:left w:w="40" w:type="dxa"/>
              <w:right w:w="40" w:type="dxa"/>
            </w:tcMar>
          </w:tcPr>
          <w:p>
            <w:pPr>
              <w:jc w:val="left"/>
            </w:pPr>
            <w:r>
              <w:rPr>
                <w:rFonts w:ascii="Times New Roman" w:hAnsi="Times New Roman"/>
                <w:b/>
                <w:i w:val="0"/>
                <w:color w:val="000000"/>
                <w:sz w:val="22"/>
              </w:rPr>
              <w:t>Yashwanth [Candidate 1]</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(2211CS010001)</w:t>
            </w:r>
          </w:p>
        </w:tc>
      </w:tr>
      <w:tr>
        <w:tc>
          <w:tcPr>
            <w:tcW w:type="dxa" w:w="4608"/>
            <w:tcMar>
              <w:top w:w="20" w:type="dxa"/>
              <w:bottom w:w="20" w:type="dxa"/>
              <w:left w:w="40" w:type="dxa"/>
              <w:right w:w="40" w:type="dxa"/>
            </w:tcMar>
          </w:tcPr>
          <w:p>
            <w:pPr>
              <w:jc w:val="left"/>
            </w:pPr>
            <w:r>
              <w:rPr>
                <w:rFonts w:ascii="Times New Roman" w:hAnsi="Times New Roman"/>
                <w:b/>
                <w:i w:val="0"/>
                <w:color w:val="000000"/>
                <w:sz w:val="22"/>
              </w:rPr>
              <w:t>[Candidate Name 2]</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(2211CS010002)</w:t>
            </w:r>
          </w:p>
        </w:tc>
      </w:tr>
      <w:tr>
        <w:tc>
          <w:tcPr>
            <w:tcW w:type="dxa" w:w="4608"/>
            <w:tcMar>
              <w:top w:w="20" w:type="dxa"/>
              <w:bottom w:w="20" w:type="dxa"/>
              <w:left w:w="40" w:type="dxa"/>
              <w:right w:w="40" w:type="dxa"/>
            </w:tcMar>
          </w:tcPr>
          <w:p>
            <w:pPr>
              <w:jc w:val="left"/>
            </w:pPr>
            <w:r>
              <w:rPr>
                <w:rFonts w:ascii="Times New Roman" w:hAnsi="Times New Roman"/>
                <w:b/>
                <w:i w:val="0"/>
                <w:color w:val="000000"/>
                <w:sz w:val="22"/>
              </w:rPr>
              <w:t>[Candidate Name 3]</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(2211CS010003)</w:t>
            </w:r>
          </w:p>
        </w:tc>
      </w:tr>
      <w:tr>
        <w:tc>
          <w:tcPr>
            <w:tcW w:type="dxa" w:w="4608"/>
            <w:tcMar>
              <w:top w:w="20" w:type="dxa"/>
              <w:bottom w:w="20" w:type="dxa"/>
              <w:left w:w="40" w:type="dxa"/>
              <w:right w:w="40" w:type="dxa"/>
            </w:tcMar>
          </w:tcPr>
          <w:p>
            <w:pPr>
              <w:jc w:val="left"/>
            </w:pPr>
            <w:r>
              <w:rPr>
                <w:rFonts w:ascii="Times New Roman" w:hAnsi="Times New Roman"/>
                <w:b/>
                <w:i w:val="0"/>
                <w:color w:val="000000"/>
                <w:sz w:val="22"/>
              </w:rPr>
              <w:t>[Candidate Name 4]</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(2211CS010004)</w:t>
            </w:r>
          </w:p>
        </w:tc>
      </w:tr>
    </w:tbl>
    <w:p>
      <w:r>
        <w:br w:type="page"/>
      </w:r>
    </w:p>
    <w:p>
      <w:pPr>
        <w:spacing w:before="240" w:after="360" w:line="240" w:lineRule="auto"/>
        <w:jc w:val="center"/>
      </w:pPr>
      <w:r>
        <w:rPr>
          <w:rFonts w:ascii="Times New Roman" w:hAnsi="Times New Roman"/>
          <w:b/>
          <w:i w:val="0"/>
          <w:color w:val="000000"/>
          <w:sz w:val="28"/>
        </w:rPr>
        <w:t>ACKNOWLEDGEMENTS</w:t>
      </w:r>
    </w:p>
    <w:p>
      <w:pPr>
        <w:spacing w:before="120" w:after="200" w:line="360" w:lineRule="auto"/>
        <w:jc w:val="both"/>
      </w:pPr>
      <w:r>
        <w:rPr>
          <w:rFonts w:ascii="Times New Roman" w:hAnsi="Times New Roman"/>
          <w:b w:val="0"/>
          <w:i w:val="0"/>
          <w:color w:val="000000"/>
          <w:sz w:val="24"/>
        </w:rPr>
        <w:t>We extend our sincere gratitude to all those who have contributed to the successful completion of this project report. Firstly, we would like to express our heartfelt thanks to Sri Ch. Malla Reddy, Founder Chairman, and Dr. V. S. K. Reddy, Vice-Chancellor, Malla Reddy University, for their visionary leadership, academic encouragement, and unwavering commitment to nurturing cutting-edge research and innovation.</w:t>
      </w:r>
    </w:p>
    <w:p>
      <w:pPr>
        <w:spacing w:before="120" w:after="200" w:line="360" w:lineRule="auto"/>
        <w:jc w:val="both"/>
      </w:pPr>
      <w:r>
        <w:rPr>
          <w:rFonts w:ascii="Times New Roman" w:hAnsi="Times New Roman"/>
          <w:b w:val="0"/>
          <w:i w:val="0"/>
          <w:color w:val="000000"/>
          <w:sz w:val="24"/>
        </w:rPr>
        <w:t>We would also like to express our deepest appreciation to our project guide, Dr. [Guide Name], Associate Professor, Department of Computer Science and Engineering, whose invaluable guidance, insightful architectural feedback, and constant encouragement have been instrumental throughout the course of this project. His expertise in software engineering paradigms and machine learning systems significantly shaped our implementation.</w:t>
      </w:r>
    </w:p>
    <w:p>
      <w:pPr>
        <w:spacing w:before="120" w:after="200" w:line="360" w:lineRule="auto"/>
        <w:jc w:val="both"/>
      </w:pPr>
      <w:r>
        <w:rPr>
          <w:rFonts w:ascii="Times New Roman" w:hAnsi="Times New Roman"/>
          <w:b w:val="0"/>
          <w:i w:val="0"/>
          <w:color w:val="000000"/>
          <w:sz w:val="24"/>
        </w:rPr>
        <w:t>We sincerely thank Dr. A.V.L.N. Sujith, Dean, CSE, School of Engineering, for his continuous encouragement, administrative support, and constructive critiques that fostered an environment of rigorous learning and technical excellence throughout our academic tenure.</w:t>
      </w:r>
    </w:p>
    <w:p>
      <w:pPr>
        <w:spacing w:before="120" w:after="480" w:line="360" w:lineRule="auto"/>
        <w:jc w:val="both"/>
      </w:pPr>
      <w:r>
        <w:rPr>
          <w:rFonts w:ascii="Times New Roman" w:hAnsi="Times New Roman"/>
          <w:b w:val="0"/>
          <w:i w:val="0"/>
          <w:color w:val="000000"/>
          <w:sz w:val="24"/>
        </w:rPr>
        <w:t>Finally, we express our profound gratitude to our family members, faculty mentors, technical staff, and peers for their steadfast moral support, understanding, and assistance during every phase of this major project.</w:t>
      </w:r>
    </w:p>
    <w:tbl>
      <w:tblPr>
        <w:tblW w:type="auto" w:w="0"/>
        <w:jc w:val="center"/>
        <w:tblLook w:firstColumn="1" w:firstRow="1" w:lastColumn="0" w:lastRow="0" w:noHBand="0" w:noVBand="1" w:val="04A0"/>
      </w:tblPr>
      <w:tblGrid>
        <w:gridCol w:w="3969"/>
        <w:gridCol w:w="3969"/>
      </w:tblGrid>
      <w:tr>
        <w:tc>
          <w:tcPr>
            <w:tcW w:type="dxa" w:w="4608"/>
            <w:tcMar>
              <w:top w:w="20" w:type="dxa"/>
              <w:bottom w:w="20" w:type="dxa"/>
              <w:left w:w="40" w:type="dxa"/>
              <w:right w:w="40" w:type="dxa"/>
            </w:tcMar>
          </w:tcPr>
          <w:p>
            <w:pPr>
              <w:jc w:val="left"/>
            </w:pPr>
            <w:r>
              <w:rPr>
                <w:rFonts w:ascii="Times New Roman" w:hAnsi="Times New Roman"/>
                <w:b/>
                <w:i w:val="0"/>
                <w:color w:val="000000"/>
                <w:sz w:val="22"/>
              </w:rPr>
              <w:t>Yashwanth [Candidate 1]</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(2211CS010001)</w:t>
            </w:r>
          </w:p>
        </w:tc>
      </w:tr>
      <w:tr>
        <w:tc>
          <w:tcPr>
            <w:tcW w:type="dxa" w:w="4608"/>
            <w:tcMar>
              <w:top w:w="20" w:type="dxa"/>
              <w:bottom w:w="20" w:type="dxa"/>
              <w:left w:w="40" w:type="dxa"/>
              <w:right w:w="40" w:type="dxa"/>
            </w:tcMar>
          </w:tcPr>
          <w:p>
            <w:pPr>
              <w:jc w:val="left"/>
            </w:pPr>
            <w:r>
              <w:rPr>
                <w:rFonts w:ascii="Times New Roman" w:hAnsi="Times New Roman"/>
                <w:b/>
                <w:i w:val="0"/>
                <w:color w:val="000000"/>
                <w:sz w:val="22"/>
              </w:rPr>
              <w:t>[Candidate Name 2]</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(2211CS010002)</w:t>
            </w:r>
          </w:p>
        </w:tc>
      </w:tr>
      <w:tr>
        <w:tc>
          <w:tcPr>
            <w:tcW w:type="dxa" w:w="4608"/>
            <w:tcMar>
              <w:top w:w="20" w:type="dxa"/>
              <w:bottom w:w="20" w:type="dxa"/>
              <w:left w:w="40" w:type="dxa"/>
              <w:right w:w="40" w:type="dxa"/>
            </w:tcMar>
          </w:tcPr>
          <w:p>
            <w:pPr>
              <w:jc w:val="left"/>
            </w:pPr>
            <w:r>
              <w:rPr>
                <w:rFonts w:ascii="Times New Roman" w:hAnsi="Times New Roman"/>
                <w:b/>
                <w:i w:val="0"/>
                <w:color w:val="000000"/>
                <w:sz w:val="22"/>
              </w:rPr>
              <w:t>[Candidate Name 3]</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(2211CS010003)</w:t>
            </w:r>
          </w:p>
        </w:tc>
      </w:tr>
      <w:tr>
        <w:tc>
          <w:tcPr>
            <w:tcW w:type="dxa" w:w="4608"/>
            <w:tcMar>
              <w:top w:w="20" w:type="dxa"/>
              <w:bottom w:w="20" w:type="dxa"/>
              <w:left w:w="40" w:type="dxa"/>
              <w:right w:w="40" w:type="dxa"/>
            </w:tcMar>
          </w:tcPr>
          <w:p>
            <w:pPr>
              <w:jc w:val="left"/>
            </w:pPr>
            <w:r>
              <w:rPr>
                <w:rFonts w:ascii="Times New Roman" w:hAnsi="Times New Roman"/>
                <w:b/>
                <w:i w:val="0"/>
                <w:color w:val="000000"/>
                <w:sz w:val="22"/>
              </w:rPr>
              <w:t>[Candidate Name 4]</w:t>
            </w:r>
          </w:p>
        </w:tc>
        <w:tc>
          <w:tcPr>
            <w:tcW w:type="dxa" w:w="3168"/>
            <w:tcMar>
              <w:top w:w="20" w:type="dxa"/>
              <w:bottom w:w="20" w:type="dxa"/>
              <w:left w:w="40" w:type="dxa"/>
              <w:right w:w="40" w:type="dxa"/>
            </w:tcMar>
          </w:tcPr>
          <w:p>
            <w:pPr>
              <w:jc w:val="right"/>
            </w:pPr>
            <w:r>
              <w:rPr>
                <w:rFonts w:ascii="Times New Roman" w:hAnsi="Times New Roman"/>
                <w:b w:val="0"/>
                <w:i w:val="0"/>
                <w:color w:val="000000"/>
                <w:sz w:val="22"/>
              </w:rPr>
              <w:t>(2211CS010004)</w:t>
            </w:r>
          </w:p>
        </w:tc>
      </w:tr>
    </w:tbl>
    <w:p>
      <w:r>
        <w:br w:type="page"/>
      </w:r>
    </w:p>
    <w:p>
      <w:pPr>
        <w:spacing w:before="240" w:after="360" w:line="240" w:lineRule="auto"/>
        <w:jc w:val="center"/>
      </w:pPr>
      <w:r>
        <w:rPr>
          <w:rFonts w:ascii="Times New Roman" w:hAnsi="Times New Roman"/>
          <w:b/>
          <w:i w:val="0"/>
          <w:color w:val="000000"/>
          <w:sz w:val="28"/>
        </w:rPr>
        <w:t>ABSTRACT</w:t>
      </w:r>
    </w:p>
    <w:p>
      <w:pPr>
        <w:spacing w:before="120" w:after="160" w:line="240" w:lineRule="auto"/>
        <w:jc w:val="both"/>
      </w:pPr>
      <w:r>
        <w:rPr>
          <w:rFonts w:ascii="Times New Roman" w:hAnsi="Times New Roman"/>
          <w:b w:val="0"/>
          <w:i w:val="0"/>
          <w:color w:val="000000"/>
          <w:sz w:val="24"/>
        </w:rPr>
        <w:t>Contemporary healthcare delivery is severely constrained by fragmented electronic health records, opaque diagnostic workflows, and delays in critical emergency triage. In many developing healthcare ecosystems, patient data remains isolated within proprietary departmental silos, preventing longitudinal visibility and increasing the risk of conflicting diagnoses and adverse drug events. Furthermore, modern clinical artificial intelligence solutions frequently function as unexplainable black-boxes, failing to establish the clinical trust required for routine physician adoption. In acute trauma and emergency scenarios, first responders lack instantaneous, verified access to vital patient information—such as blood type, critical allergies, chronic conditions, and emergency contacts—resulting in preventable treatment delays during the critical 'golden hour'.</w:t>
      </w:r>
    </w:p>
    <w:p>
      <w:pPr>
        <w:spacing w:before="120" w:after="160" w:line="240" w:lineRule="auto"/>
        <w:jc w:val="both"/>
      </w:pPr>
      <w:r>
        <w:rPr>
          <w:rFonts w:ascii="Times New Roman" w:hAnsi="Times New Roman"/>
          <w:b w:val="0"/>
          <w:i w:val="0"/>
          <w:color w:val="000000"/>
          <w:sz w:val="24"/>
        </w:rPr>
        <w:t>To decisively overcome these foundational limitations, this project introduces NEXO MEDICO AI: a full-stack, multi-tenant healthcare management and explainable clinical decision support platform. Developed using Next.js 14 App Router, TypeScript, PostgreSQL, Prisma ORM, and an asynchronous Python FastAPI microservice, the system unifies eight interdependent healthcare subsystems into a cohesive, secure ecosystem. Core technological innovations include: (1) a multi-tenant hospital information framework enabling isolated clinical operations while facilitating authorized cross-hospital health record interoperability; (2) an Explainable Clinical Decision Support System (CDSS) that augments diagnostic predictions with feature-importance attributions using SHAP and LIME, transforming black-box disease probabilities into transparent, clinically actionable insights; (3) an unguessable, tokenized Emergency QR identification architecture that allows bystanders and paramedics to scan a public emergency ID and instantly retrieve life-saving medical profiles without exposing sensitive demographics; (4) an India-specific demographic and geographic verification pipeline backed by official PIN code and administrative boundary data; and (5) a cryptographic two-factor authentication (2FA) workflow utilizing dynamic time-sensitive OTPs dispatched via a production-grade Gmail SMTP/TLS transmission gateway.</w:t>
      </w:r>
    </w:p>
    <w:p>
      <w:pPr>
        <w:spacing w:before="120" w:after="240" w:line="240" w:lineRule="auto"/>
        <w:jc w:val="both"/>
      </w:pPr>
      <w:r>
        <w:rPr>
          <w:rFonts w:ascii="Times New Roman" w:hAnsi="Times New Roman"/>
          <w:b w:val="0"/>
          <w:i w:val="0"/>
          <w:color w:val="000000"/>
          <w:sz w:val="24"/>
        </w:rPr>
        <w:t>In this Major Project Phase-I implementation, 34 of 38 planned core modules have been fully engineered, integrated, and validated against a live PostgreSQL database across eleven comprehensive test suites. Empirical benchmarks demonstrate sub-45ms API response latencies, 100% reliable 2FA OTP delivery, instant mobile Emergency QR scanning, and explainable AI disease risk predictions. Phase-I establishes the architectural foundation for advanced Phase-II extensions, including real-time bedside IoT vital streaming, national ABDM/ABHA integration, and privacy-preserving federated clinical learning across participating hospitals.</w:t>
      </w:r>
    </w:p>
    <w:p>
      <w:pPr>
        <w:spacing w:before="160" w:after="0" w:line="240" w:lineRule="auto"/>
        <w:jc w:val="both"/>
      </w:pPr>
      <w:r>
        <w:rPr>
          <w:rFonts w:ascii="Times New Roman" w:hAnsi="Times New Roman"/>
          <w:b/>
          <w:i w:val="0"/>
          <w:color w:val="000000"/>
          <w:sz w:val="22"/>
        </w:rPr>
        <w:t xml:space="preserve">Keywords: </w:t>
      </w:r>
      <w:r>
        <w:rPr>
          <w:rFonts w:ascii="Times New Roman" w:hAnsi="Times New Roman"/>
          <w:b w:val="0"/>
          <w:i/>
          <w:color w:val="000000"/>
          <w:sz w:val="22"/>
        </w:rPr>
        <w:t>Healthcare Management, Explainable AI (XAI), Clinical Decision Support (CDSS), Electronic Health Records (EHR), Emergency QR ID, Next.js 14, FastAPI, Prisma ORM, SHAP, Two-Factor Authentication.</w:t>
      </w:r>
    </w:p>
    <w:p>
      <w:r>
        <w:br w:type="page"/>
      </w:r>
    </w:p>
    <w:p>
      <w:pPr>
        <w:spacing w:before="160" w:after="200" w:line="240"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9"/>
        <w:gridCol w:w="3969"/>
      </w:tblGrid>
      <w:tr>
        <w:tc>
          <w:tcPr>
            <w:tcW w:type="dxa" w:w="6480"/>
            <w:tcMar>
              <w:top w:w="40" w:type="dxa"/>
              <w:bottom w:w="40" w:type="dxa"/>
              <w:left w:w="60" w:type="dxa"/>
              <w:right w:w="60" w:type="dxa"/>
            </w:tcMar>
            <w:shd w:fill="0284C7"/>
          </w:tcPr>
          <w:p>
            <w:pPr>
              <w:jc w:val="left"/>
            </w:pPr>
            <w:r>
              <w:rPr>
                <w:rFonts w:ascii="Times New Roman" w:hAnsi="Times New Roman"/>
                <w:b/>
                <w:i w:val="0"/>
                <w:color w:val="FFFFFF"/>
                <w:sz w:val="19"/>
              </w:rPr>
              <w:t>DESCRIPTION / TITLE</w:t>
            </w:r>
          </w:p>
        </w:tc>
        <w:tc>
          <w:tcPr>
            <w:tcW w:type="dxa" w:w="1440"/>
            <w:tcMar>
              <w:top w:w="40" w:type="dxa"/>
              <w:bottom w:w="40" w:type="dxa"/>
              <w:left w:w="60" w:type="dxa"/>
              <w:right w:w="60" w:type="dxa"/>
            </w:tcMar>
            <w:shd w:fill="0284C7"/>
          </w:tcPr>
          <w:p>
            <w:pPr>
              <w:jc w:val="right"/>
            </w:pPr>
            <w:r>
              <w:rPr>
                <w:rFonts w:ascii="Times New Roman" w:hAnsi="Times New Roman"/>
                <w:b/>
                <w:i w:val="0"/>
                <w:color w:val="FFFFFF"/>
                <w:sz w:val="19"/>
              </w:rPr>
              <w:t>PAGE NO.</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i w:val="0"/>
                <w:color w:val="000000"/>
                <w:sz w:val="17"/>
              </w:rPr>
              <w:t>CERTIFICATE</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i w:val="0"/>
                <w:color w:val="000000"/>
                <w:sz w:val="17"/>
              </w:rPr>
              <w:t>i</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i w:val="0"/>
                <w:color w:val="000000"/>
                <w:sz w:val="17"/>
              </w:rPr>
              <w:t>DECLARATION</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i w:val="0"/>
                <w:color w:val="000000"/>
                <w:sz w:val="17"/>
              </w:rPr>
              <w:t>ii</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i w:val="0"/>
                <w:color w:val="000000"/>
                <w:sz w:val="17"/>
              </w:rPr>
              <w:t>ACKNOWLEDGEMENTS</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i w:val="0"/>
                <w:color w:val="000000"/>
                <w:sz w:val="17"/>
              </w:rPr>
              <w:t>iii</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i w:val="0"/>
                <w:color w:val="000000"/>
                <w:sz w:val="17"/>
              </w:rPr>
              <w:t>ABSTRACT</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i w:val="0"/>
                <w:color w:val="000000"/>
                <w:sz w:val="17"/>
              </w:rPr>
              <w:t>iv</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i w:val="0"/>
                <w:color w:val="000000"/>
                <w:sz w:val="17"/>
              </w:rPr>
              <w:t>LIST OF FIGURES</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i w:val="0"/>
                <w:color w:val="000000"/>
                <w:sz w:val="17"/>
              </w:rPr>
              <w:t>vi</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i w:val="0"/>
                <w:color w:val="000000"/>
                <w:sz w:val="17"/>
              </w:rPr>
              <w:t>LIST OF TABLES</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i w:val="0"/>
                <w:color w:val="000000"/>
                <w:sz w:val="17"/>
              </w:rPr>
              <w:t>vii</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i w:val="0"/>
                <w:color w:val="000000"/>
                <w:sz w:val="17"/>
              </w:rPr>
              <w:t>ABBREVIATIONS AND NOMENCLATURE</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i w:val="0"/>
                <w:color w:val="000000"/>
                <w:sz w:val="17"/>
              </w:rPr>
              <w:t>viii</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i w:val="0"/>
                <w:color w:val="000000"/>
                <w:sz w:val="17"/>
              </w:rPr>
              <w:t>CHAPTER 1  INTRODUCTION</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i w:val="0"/>
                <w:color w:val="000000"/>
                <w:sz w:val="17"/>
              </w:rPr>
              <w:t>1</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 xml:space="preserve">   1.1  Introduction</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val="0"/>
                <w:i w:val="0"/>
                <w:color w:val="000000"/>
                <w:sz w:val="17"/>
              </w:rPr>
              <w:t>1</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 xml:space="preserve">   1.2  Problem Statement</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val="0"/>
                <w:i w:val="0"/>
                <w:color w:val="000000"/>
                <w:sz w:val="17"/>
              </w:rPr>
              <w:t>2</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 xml:space="preserve">   1.3  Objective of Project</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val="0"/>
                <w:i w:val="0"/>
                <w:color w:val="000000"/>
                <w:sz w:val="17"/>
              </w:rPr>
              <w:t>3</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i w:val="0"/>
                <w:color w:val="000000"/>
                <w:sz w:val="17"/>
              </w:rPr>
              <w:t>CHAPTER 2  PROBLEM IDENTIFICATION</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i w:val="0"/>
                <w:color w:val="000000"/>
                <w:sz w:val="17"/>
              </w:rPr>
              <w:t>5</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 xml:space="preserve">   2.1  Existing System</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val="0"/>
                <w:i w:val="0"/>
                <w:color w:val="000000"/>
                <w:sz w:val="17"/>
              </w:rPr>
              <w:t>5</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 xml:space="preserve">   2.2  Proposed System</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val="0"/>
                <w:i w:val="0"/>
                <w:color w:val="000000"/>
                <w:sz w:val="17"/>
              </w:rPr>
              <w:t>6</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 xml:space="preserve">   2.3  Comparative Analysis (Existing vs Proposed)</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val="0"/>
                <w:i w:val="0"/>
                <w:color w:val="000000"/>
                <w:sz w:val="17"/>
              </w:rPr>
              <w:t>7</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i w:val="0"/>
                <w:color w:val="000000"/>
                <w:sz w:val="17"/>
              </w:rPr>
              <w:t>CHAPTER 3  REQUIREMENTS</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i w:val="0"/>
                <w:color w:val="000000"/>
                <w:sz w:val="17"/>
              </w:rPr>
              <w:t>9</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 xml:space="preserve">   3.1  Software Requirements</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val="0"/>
                <w:i w:val="0"/>
                <w:color w:val="000000"/>
                <w:sz w:val="17"/>
              </w:rPr>
              <w:t>9</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 xml:space="preserve">   3.2  Hardware Requirements</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val="0"/>
                <w:i w:val="0"/>
                <w:color w:val="000000"/>
                <w:sz w:val="17"/>
              </w:rPr>
              <w:t>10</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i w:val="0"/>
                <w:color w:val="000000"/>
                <w:sz w:val="17"/>
              </w:rPr>
              <w:t>CHAPTER 4  DESIGN AND IMPLEMENTATION</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i w:val="0"/>
                <w:color w:val="000000"/>
                <w:sz w:val="17"/>
              </w:rPr>
              <w:t>11</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 xml:space="preserve">   4.1  System Design (Architecture &amp; Diagrams)</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val="0"/>
                <w:i w:val="0"/>
                <w:color w:val="000000"/>
                <w:sz w:val="17"/>
              </w:rPr>
              <w:t>11</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 xml:space="preserve">   4.2  System Implementation Details</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val="0"/>
                <w:i w:val="0"/>
                <w:color w:val="000000"/>
                <w:sz w:val="17"/>
              </w:rPr>
              <w:t>18</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 xml:space="preserve">   4.3  Testing Methodology &amp; Verification Evidence</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val="0"/>
                <w:i w:val="0"/>
                <w:color w:val="000000"/>
                <w:sz w:val="17"/>
              </w:rPr>
              <w:t>20</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i w:val="0"/>
                <w:color w:val="000000"/>
                <w:sz w:val="17"/>
              </w:rPr>
              <w:t>CHAPTER 5  CODE AND SCREENSHOTS</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i w:val="0"/>
                <w:color w:val="000000"/>
                <w:sz w:val="17"/>
              </w:rPr>
              <w:t>22</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 xml:space="preserve">   5.1  Source Code Excerpts &amp; Explanations</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val="0"/>
                <w:i w:val="0"/>
                <w:color w:val="000000"/>
                <w:sz w:val="17"/>
              </w:rPr>
              <w:t>22</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 xml:space="preserve">   5.2  Application Screenshots &amp; Walkthrough</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val="0"/>
                <w:i w:val="0"/>
                <w:color w:val="000000"/>
                <w:sz w:val="17"/>
              </w:rPr>
              <w:t>28</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i w:val="0"/>
                <w:color w:val="000000"/>
                <w:sz w:val="17"/>
              </w:rPr>
              <w:t>CHAPTER 6  RESULTS AND CONCLUSION</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i w:val="0"/>
                <w:color w:val="000000"/>
                <w:sz w:val="17"/>
              </w:rPr>
              <w:t>33</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 xml:space="preserve">   6.1  Empirical Results &amp; Performance Evaluation</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val="0"/>
                <w:i w:val="0"/>
                <w:color w:val="000000"/>
                <w:sz w:val="17"/>
              </w:rPr>
              <w:t>33</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 xml:space="preserve">   6.2  Conclusion and Phase-II Roadmap</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val="0"/>
                <w:i w:val="0"/>
                <w:color w:val="000000"/>
                <w:sz w:val="17"/>
              </w:rPr>
              <w:t>34</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i w:val="0"/>
                <w:color w:val="000000"/>
                <w:sz w:val="17"/>
              </w:rPr>
              <w:t>REFERENCES</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i w:val="0"/>
                <w:color w:val="000000"/>
                <w:sz w:val="17"/>
              </w:rPr>
              <w:t>36</w:t>
            </w:r>
          </w:p>
        </w:tc>
      </w:tr>
      <w:tr>
        <w:tc>
          <w:tcPr>
            <w:tcW w:type="dxa" w:w="6480"/>
            <w:tcMar>
              <w:top w:w="20" w:type="dxa"/>
              <w:bottom w:w="20" w:type="dxa"/>
              <w:left w:w="50" w:type="dxa"/>
              <w:right w:w="50" w:type="dxa"/>
            </w:tcMar>
            <w:shd w:fill="FFFFFF"/>
          </w:tcPr>
          <w:p>
            <w:pPr>
              <w:spacing w:before="0" w:after="0" w:line="240" w:lineRule="auto"/>
              <w:jc w:val="left"/>
            </w:pPr>
            <w:r>
              <w:rPr>
                <w:rFonts w:ascii="Times New Roman" w:hAnsi="Times New Roman"/>
                <w:b/>
                <w:i w:val="0"/>
                <w:color w:val="000000"/>
                <w:sz w:val="17"/>
              </w:rPr>
              <w:t>APPENDIX A  POSTGRESQL DATABASE SCHEMA CATALOG</w:t>
            </w:r>
          </w:p>
        </w:tc>
        <w:tc>
          <w:tcPr>
            <w:tcW w:type="dxa" w:w="1440"/>
            <w:tcMar>
              <w:top w:w="20" w:type="dxa"/>
              <w:bottom w:w="20" w:type="dxa"/>
              <w:left w:w="50" w:type="dxa"/>
              <w:right w:w="50" w:type="dxa"/>
            </w:tcMar>
            <w:shd w:fill="FFFFFF"/>
          </w:tcPr>
          <w:p>
            <w:pPr>
              <w:spacing w:before="0" w:after="0" w:line="240" w:lineRule="auto"/>
              <w:jc w:val="right"/>
            </w:pPr>
            <w:r>
              <w:rPr>
                <w:rFonts w:ascii="Times New Roman" w:hAnsi="Times New Roman"/>
                <w:b/>
                <w:i w:val="0"/>
                <w:color w:val="000000"/>
                <w:sz w:val="17"/>
              </w:rPr>
              <w:t>37</w:t>
            </w:r>
          </w:p>
        </w:tc>
      </w:tr>
      <w:tr>
        <w:tc>
          <w:tcPr>
            <w:tcW w:type="dxa" w:w="6480"/>
            <w:tcMar>
              <w:top w:w="20" w:type="dxa"/>
              <w:bottom w:w="20" w:type="dxa"/>
              <w:left w:w="50" w:type="dxa"/>
              <w:right w:w="50" w:type="dxa"/>
            </w:tcMar>
            <w:shd w:fill="F8FAFC"/>
          </w:tcPr>
          <w:p>
            <w:pPr>
              <w:spacing w:before="0" w:after="0" w:line="240" w:lineRule="auto"/>
              <w:jc w:val="left"/>
            </w:pPr>
            <w:r>
              <w:rPr>
                <w:rFonts w:ascii="Times New Roman" w:hAnsi="Times New Roman"/>
                <w:b/>
                <w:i w:val="0"/>
                <w:color w:val="000000"/>
                <w:sz w:val="17"/>
              </w:rPr>
              <w:t>APPENDIX B  CORE API ENDPOINTS SPECIFICATION</w:t>
            </w:r>
          </w:p>
        </w:tc>
        <w:tc>
          <w:tcPr>
            <w:tcW w:type="dxa" w:w="1440"/>
            <w:tcMar>
              <w:top w:w="20" w:type="dxa"/>
              <w:bottom w:w="20" w:type="dxa"/>
              <w:left w:w="50" w:type="dxa"/>
              <w:right w:w="50" w:type="dxa"/>
            </w:tcMar>
            <w:shd w:fill="F8FAFC"/>
          </w:tcPr>
          <w:p>
            <w:pPr>
              <w:spacing w:before="0" w:after="0" w:line="240" w:lineRule="auto"/>
              <w:jc w:val="right"/>
            </w:pPr>
            <w:r>
              <w:rPr>
                <w:rFonts w:ascii="Times New Roman" w:hAnsi="Times New Roman"/>
                <w:b/>
                <w:i w:val="0"/>
                <w:color w:val="000000"/>
                <w:sz w:val="17"/>
              </w:rPr>
              <w:t>37</w:t>
            </w:r>
          </w:p>
        </w:tc>
      </w:tr>
    </w:tbl>
    <w:p>
      <w:r>
        <w:br w:type="page"/>
      </w:r>
    </w:p>
    <w:p>
      <w:pPr>
        <w:spacing w:before="160" w:after="200" w:line="240" w:lineRule="auto"/>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2646"/>
        <w:gridCol w:w="2646"/>
        <w:gridCol w:w="2646"/>
      </w:tblGrid>
      <w:tr>
        <w:tc>
          <w:tcPr>
            <w:tcW w:type="dxa" w:w="1728"/>
            <w:tcMar>
              <w:top w:w="40" w:type="dxa"/>
              <w:bottom w:w="40" w:type="dxa"/>
              <w:left w:w="60" w:type="dxa"/>
              <w:right w:w="60" w:type="dxa"/>
            </w:tcMar>
            <w:shd w:fill="0284C7"/>
          </w:tcPr>
          <w:p>
            <w:pPr>
              <w:jc w:val="center"/>
            </w:pPr>
            <w:r>
              <w:rPr>
                <w:rFonts w:ascii="Times New Roman" w:hAnsi="Times New Roman"/>
                <w:b/>
                <w:i w:val="0"/>
                <w:color w:val="FFFFFF"/>
                <w:sz w:val="19"/>
              </w:rPr>
              <w:t>FIGURE NO.</w:t>
            </w:r>
          </w:p>
        </w:tc>
        <w:tc>
          <w:tcPr>
            <w:tcW w:type="dxa" w:w="5040"/>
            <w:tcMar>
              <w:top w:w="40" w:type="dxa"/>
              <w:bottom w:w="40" w:type="dxa"/>
              <w:left w:w="60" w:type="dxa"/>
              <w:right w:w="60" w:type="dxa"/>
            </w:tcMar>
            <w:shd w:fill="0284C7"/>
          </w:tcPr>
          <w:p>
            <w:pPr>
              <w:jc w:val="left"/>
            </w:pPr>
            <w:r>
              <w:rPr>
                <w:rFonts w:ascii="Times New Roman" w:hAnsi="Times New Roman"/>
                <w:b/>
                <w:i w:val="0"/>
                <w:color w:val="FFFFFF"/>
                <w:sz w:val="19"/>
              </w:rPr>
              <w:t>FIGURE TITLE</w:t>
            </w:r>
          </w:p>
        </w:tc>
        <w:tc>
          <w:tcPr>
            <w:tcW w:type="dxa" w:w="1152"/>
            <w:tcMar>
              <w:top w:w="40" w:type="dxa"/>
              <w:bottom w:w="40" w:type="dxa"/>
              <w:left w:w="60" w:type="dxa"/>
              <w:right w:w="60" w:type="dxa"/>
            </w:tcMar>
            <w:shd w:fill="0284C7"/>
          </w:tcPr>
          <w:p>
            <w:pPr>
              <w:jc w:val="center"/>
            </w:pPr>
            <w:r>
              <w:rPr>
                <w:rFonts w:ascii="Times New Roman" w:hAnsi="Times New Roman"/>
                <w:b/>
                <w:i w:val="0"/>
                <w:color w:val="FFFFFF"/>
                <w:sz w:val="19"/>
              </w:rPr>
              <w:t>PAGE NO.</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Figure 4.1</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Four-Tier System Architecture of Nexo Medico AI</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12</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Figure 4.2</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Modular Subsystem Architecture and Functional Coupling</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13</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Figure 4.3</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Entity-Relationship Diagram (ERD) of Nexo Medico AI Database</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14</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Figure 4.4</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Use Case Diagram for Nexo Medico AI Multi-Actor Roles</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14</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Figure 4.5</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Level-1 Data Flow Diagram (DFD) Illustrating Ingestion &amp; Inference</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15</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Figure 4.6</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Sequence Diagram for User Registration and 2FA OTP Verification</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16</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Figure 4.7</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Sequence Diagram for Emergency QR Scanning and Profile Resolution</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16</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Figure 4.8</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Sequence Diagram for Explainable Clinical Decision Support (CDSS)</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17</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Figure 4.9</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Activity Diagram for Emergency Triage and Inpatient Care Pathways</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17</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Figure 4.10</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Production Containerized Deployment Topology and Network Architecture</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18</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Figure 5.1</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Patient Identity Verification OTP Modal</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28</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Figure 5.2</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Production Gmail SMTP OTP Dispatch and Server Log Verification</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28</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Figure 5.3</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Real-World Patient Email Notification Received in Inbox</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29</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Figure 5.4</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Patient Self-Registration Form with India Demographic Validation</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29</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Figure 5.5</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Doctor Clinical Encounter and Consultation Dashboard</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30</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Figure 5.6</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Patient Universal Health Passport and Longitudinal EHR Interface</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30</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Figure 5.7</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AI Clinical Decision Support Engine with SHAP Feature Explanations</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31</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Figure 5.8</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Hospital Multi-Tenancy and Ward Bed Management Dashboard</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31</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Figure 5.9</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Pharmacy Inventory and Automated Prescription Dispensing System</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32</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Figure 5.10</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Laboratory Diagnostics Management and OCR Report Ingestion</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32</w:t>
            </w:r>
          </w:p>
        </w:tc>
      </w:tr>
    </w:tbl>
    <w:p>
      <w:r>
        <w:br w:type="page"/>
      </w:r>
    </w:p>
    <w:p>
      <w:pPr>
        <w:spacing w:before="160" w:after="200" w:line="240" w:lineRule="auto"/>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2646"/>
        <w:gridCol w:w="2646"/>
        <w:gridCol w:w="2646"/>
      </w:tblGrid>
      <w:tr>
        <w:tc>
          <w:tcPr>
            <w:tcW w:type="dxa" w:w="1728"/>
            <w:tcMar>
              <w:top w:w="40" w:type="dxa"/>
              <w:bottom w:w="40" w:type="dxa"/>
              <w:left w:w="60" w:type="dxa"/>
              <w:right w:w="60" w:type="dxa"/>
            </w:tcMar>
            <w:shd w:fill="0284C7"/>
          </w:tcPr>
          <w:p>
            <w:pPr>
              <w:jc w:val="center"/>
            </w:pPr>
            <w:r>
              <w:rPr>
                <w:rFonts w:ascii="Times New Roman" w:hAnsi="Times New Roman"/>
                <w:b/>
                <w:i w:val="0"/>
                <w:color w:val="FFFFFF"/>
                <w:sz w:val="19"/>
              </w:rPr>
              <w:t>TABLE NO.</w:t>
            </w:r>
          </w:p>
        </w:tc>
        <w:tc>
          <w:tcPr>
            <w:tcW w:type="dxa" w:w="5040"/>
            <w:tcMar>
              <w:top w:w="40" w:type="dxa"/>
              <w:bottom w:w="40" w:type="dxa"/>
              <w:left w:w="60" w:type="dxa"/>
              <w:right w:w="60" w:type="dxa"/>
            </w:tcMar>
            <w:shd w:fill="0284C7"/>
          </w:tcPr>
          <w:p>
            <w:pPr>
              <w:jc w:val="left"/>
            </w:pPr>
            <w:r>
              <w:rPr>
                <w:rFonts w:ascii="Times New Roman" w:hAnsi="Times New Roman"/>
                <w:b/>
                <w:i w:val="0"/>
                <w:color w:val="FFFFFF"/>
                <w:sz w:val="19"/>
              </w:rPr>
              <w:t>TABLE TITLE</w:t>
            </w:r>
          </w:p>
        </w:tc>
        <w:tc>
          <w:tcPr>
            <w:tcW w:type="dxa" w:w="1152"/>
            <w:tcMar>
              <w:top w:w="40" w:type="dxa"/>
              <w:bottom w:w="40" w:type="dxa"/>
              <w:left w:w="60" w:type="dxa"/>
              <w:right w:w="60" w:type="dxa"/>
            </w:tcMar>
            <w:shd w:fill="0284C7"/>
          </w:tcPr>
          <w:p>
            <w:pPr>
              <w:jc w:val="center"/>
            </w:pPr>
            <w:r>
              <w:rPr>
                <w:rFonts w:ascii="Times New Roman" w:hAnsi="Times New Roman"/>
                <w:b/>
                <w:i w:val="0"/>
                <w:color w:val="FFFFFF"/>
                <w:sz w:val="19"/>
              </w:rPr>
              <w:t>PAGE NO.</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Table 2.1</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Comparative Analysis of Existing Healthcare Systems vs. Nexo Medico AI</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8</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Table 3.1</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Minimum &amp; Recommended Software Requirements</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9</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Table 3.2</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Minimum &amp; Recommended Hardware Specifications</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10</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Table 4.1</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Comprehensive Test Execution Matrix across Nexo Medico AI Subsystems</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21</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Table 6.1</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Subsystem Latency, Throughput, and Performance Benchmarks</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33</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Table 6.2</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AI Clinical Risk Model Diagnostic Accuracy and Validation Metrics</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34</w:t>
            </w:r>
          </w:p>
        </w:tc>
      </w:tr>
      <w:tr>
        <w:tc>
          <w:tcPr>
            <w:tcW w:type="dxa" w:w="1728"/>
            <w:tcMar>
              <w:top w:w="25" w:type="dxa"/>
              <w:bottom w:w="25" w:type="dxa"/>
              <w:left w:w="50" w:type="dxa"/>
              <w:right w:w="50" w:type="dxa"/>
            </w:tcMar>
            <w:shd w:fill="F8FAFC"/>
          </w:tcPr>
          <w:p>
            <w:pPr>
              <w:spacing w:before="0" w:after="0" w:line="240" w:lineRule="auto"/>
              <w:jc w:val="center"/>
            </w:pPr>
            <w:r>
              <w:rPr>
                <w:rFonts w:ascii="Times New Roman" w:hAnsi="Times New Roman"/>
                <w:b/>
                <w:i w:val="0"/>
                <w:color w:val="000000"/>
                <w:sz w:val="17"/>
              </w:rPr>
              <w:t>Table A.1</w:t>
            </w:r>
          </w:p>
        </w:tc>
        <w:tc>
          <w:tcPr>
            <w:tcW w:type="dxa" w:w="5040"/>
            <w:tcMar>
              <w:top w:w="25" w:type="dxa"/>
              <w:bottom w:w="25" w:type="dxa"/>
              <w:left w:w="50" w:type="dxa"/>
              <w:right w:w="50" w:type="dxa"/>
            </w:tcMar>
            <w:shd w:fill="F8FAFC"/>
          </w:tcPr>
          <w:p>
            <w:pPr>
              <w:spacing w:before="0" w:after="0" w:line="240" w:lineRule="auto"/>
              <w:jc w:val="left"/>
            </w:pPr>
            <w:r>
              <w:rPr>
                <w:rFonts w:ascii="Times New Roman" w:hAnsi="Times New Roman"/>
                <w:b w:val="0"/>
                <w:i w:val="0"/>
                <w:color w:val="000000"/>
                <w:sz w:val="17"/>
              </w:rPr>
              <w:t>Categorized PostgreSQL Database Schema Models (33 Total)</w:t>
            </w:r>
          </w:p>
        </w:tc>
        <w:tc>
          <w:tcPr>
            <w:tcW w:type="dxa" w:w="1152"/>
            <w:tcMar>
              <w:top w:w="25" w:type="dxa"/>
              <w:bottom w:w="25" w:type="dxa"/>
              <w:left w:w="50" w:type="dxa"/>
              <w:right w:w="50" w:type="dxa"/>
            </w:tcMar>
            <w:shd w:fill="F8FAFC"/>
          </w:tcPr>
          <w:p>
            <w:pPr>
              <w:spacing w:before="0" w:after="0" w:line="240" w:lineRule="auto"/>
              <w:jc w:val="center"/>
            </w:pPr>
            <w:r>
              <w:rPr>
                <w:rFonts w:ascii="Times New Roman" w:hAnsi="Times New Roman"/>
                <w:b w:val="0"/>
                <w:i w:val="0"/>
                <w:color w:val="000000"/>
                <w:sz w:val="17"/>
              </w:rPr>
              <w:t>37</w:t>
            </w:r>
          </w:p>
        </w:tc>
      </w:tr>
      <w:tr>
        <w:tc>
          <w:tcPr>
            <w:tcW w:type="dxa" w:w="1728"/>
            <w:tcMar>
              <w:top w:w="25" w:type="dxa"/>
              <w:bottom w:w="25" w:type="dxa"/>
              <w:left w:w="50" w:type="dxa"/>
              <w:right w:w="50" w:type="dxa"/>
            </w:tcMar>
            <w:shd w:fill="FFFFFF"/>
          </w:tcPr>
          <w:p>
            <w:pPr>
              <w:spacing w:before="0" w:after="0" w:line="240" w:lineRule="auto"/>
              <w:jc w:val="center"/>
            </w:pPr>
            <w:r>
              <w:rPr>
                <w:rFonts w:ascii="Times New Roman" w:hAnsi="Times New Roman"/>
                <w:b/>
                <w:i w:val="0"/>
                <w:color w:val="000000"/>
                <w:sz w:val="17"/>
              </w:rPr>
              <w:t>Table B.1</w:t>
            </w:r>
          </w:p>
        </w:tc>
        <w:tc>
          <w:tcPr>
            <w:tcW w:type="dxa" w:w="5040"/>
            <w:tcMar>
              <w:top w:w="25" w:type="dxa"/>
              <w:bottom w:w="25" w:type="dxa"/>
              <w:left w:w="50" w:type="dxa"/>
              <w:right w:w="50" w:type="dxa"/>
            </w:tcMar>
            <w:shd w:fill="FFFFFF"/>
          </w:tcPr>
          <w:p>
            <w:pPr>
              <w:spacing w:before="0" w:after="0" w:line="240" w:lineRule="auto"/>
              <w:jc w:val="left"/>
            </w:pPr>
            <w:r>
              <w:rPr>
                <w:rFonts w:ascii="Times New Roman" w:hAnsi="Times New Roman"/>
                <w:b w:val="0"/>
                <w:i w:val="0"/>
                <w:color w:val="000000"/>
                <w:sz w:val="17"/>
              </w:rPr>
              <w:t>Primary REST &amp; Microservice API Endpoints Catalog</w:t>
            </w:r>
          </w:p>
        </w:tc>
        <w:tc>
          <w:tcPr>
            <w:tcW w:type="dxa" w:w="1152"/>
            <w:tcMar>
              <w:top w:w="25" w:type="dxa"/>
              <w:bottom w:w="25" w:type="dxa"/>
              <w:left w:w="50" w:type="dxa"/>
              <w:right w:w="50" w:type="dxa"/>
            </w:tcMar>
            <w:shd w:fill="FFFFFF"/>
          </w:tcPr>
          <w:p>
            <w:pPr>
              <w:spacing w:before="0" w:after="0" w:line="240" w:lineRule="auto"/>
              <w:jc w:val="center"/>
            </w:pPr>
            <w:r>
              <w:rPr>
                <w:rFonts w:ascii="Times New Roman" w:hAnsi="Times New Roman"/>
                <w:b w:val="0"/>
                <w:i w:val="0"/>
                <w:color w:val="000000"/>
                <w:sz w:val="17"/>
              </w:rPr>
              <w:t>38</w:t>
            </w:r>
          </w:p>
        </w:tc>
      </w:tr>
    </w:tbl>
    <w:p>
      <w:r>
        <w:br w:type="page"/>
      </w:r>
    </w:p>
    <w:p>
      <w:pPr>
        <w:spacing w:before="160" w:after="200" w:line="240" w:lineRule="auto"/>
        <w:jc w:val="center"/>
      </w:pPr>
      <w:r>
        <w:rPr>
          <w:rFonts w:ascii="Times New Roman" w:hAnsi="Times New Roman"/>
          <w:b/>
          <w:i w:val="0"/>
          <w:color w:val="000000"/>
          <w:sz w:val="28"/>
        </w:rPr>
        <w:t>ABBREVIATIONS AND NOMENCLATURE</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9"/>
        <w:gridCol w:w="3969"/>
      </w:tblGrid>
      <w:tr>
        <w:tc>
          <w:tcPr>
            <w:tcW w:type="dxa" w:w="2160"/>
            <w:tcMar>
              <w:top w:w="40" w:type="dxa"/>
              <w:bottom w:w="40" w:type="dxa"/>
              <w:left w:w="60" w:type="dxa"/>
              <w:right w:w="60" w:type="dxa"/>
            </w:tcMar>
            <w:shd w:fill="0284C7"/>
          </w:tcPr>
          <w:p>
            <w:pPr>
              <w:jc w:val="center"/>
            </w:pPr>
            <w:r>
              <w:rPr>
                <w:rFonts w:ascii="Times New Roman" w:hAnsi="Times New Roman"/>
                <w:b/>
                <w:i w:val="0"/>
                <w:color w:val="FFFFFF"/>
                <w:sz w:val="19"/>
              </w:rPr>
              <w:t>ABBREVIATION</w:t>
            </w:r>
          </w:p>
        </w:tc>
        <w:tc>
          <w:tcPr>
            <w:tcW w:type="dxa" w:w="5760"/>
            <w:tcMar>
              <w:top w:w="40" w:type="dxa"/>
              <w:bottom w:w="40" w:type="dxa"/>
              <w:left w:w="60" w:type="dxa"/>
              <w:right w:w="60" w:type="dxa"/>
            </w:tcMar>
            <w:shd w:fill="0284C7"/>
          </w:tcPr>
          <w:p>
            <w:pPr>
              <w:jc w:val="left"/>
            </w:pPr>
            <w:r>
              <w:rPr>
                <w:rFonts w:ascii="Times New Roman" w:hAnsi="Times New Roman"/>
                <w:b/>
                <w:i w:val="0"/>
                <w:color w:val="FFFFFF"/>
                <w:sz w:val="19"/>
              </w:rPr>
              <w:t>EXPANSION / DEFINITION</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AI</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Artificial Intelligence</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XAI</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Explainable Artificial Intelligence</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CDSS</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Clinical Decision Support System</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EHR</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Electronic Health Record</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EMR</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Electronic Medical Record</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HIS</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Hospital Information System</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ABDM</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Ayushman Bharat Digital Mission</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ABHA</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Ayushman Bharat Health Account</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UPHID</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Universal Patient Health Identification</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SHAP</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SHapley Additive exPlanations</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LIME</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Local Interpretable Model-agnostic Explanations</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FHIR</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Fast Healthcare Interoperability Resources (HL7)</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HIPAA</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Health Insurance Portability and Accountability Act</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DISHA</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Digital Information Security in Healthcare Act (India)</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OTP</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One-Time Password</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2FA</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Two-Factor Authentication</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SMTP</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Simple Mail Transfer Protocol</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TLS</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Transport Layer Security</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OCR</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Optical Character Recognition</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ORM</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Object-Relational Mapping</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RBAC</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Role-Based Access Control</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RSC</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React Server Components</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ERD</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Entity-Relationship Diagram</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DFD</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Data Flow Diagram</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REST</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Representational State Transfer</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AUROC</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Area Under the Receiver Operating Characteristic Curve</w:t>
            </w:r>
          </w:p>
        </w:tc>
      </w:tr>
      <w:tr>
        <w:tc>
          <w:tcPr>
            <w:tcW w:type="dxa" w:w="2160"/>
            <w:tcMar>
              <w:top w:w="20" w:type="dxa"/>
              <w:bottom w:w="20" w:type="dxa"/>
              <w:left w:w="50" w:type="dxa"/>
              <w:right w:w="50" w:type="dxa"/>
            </w:tcMar>
            <w:shd w:fill="F8FAFC"/>
          </w:tcPr>
          <w:p>
            <w:pPr>
              <w:spacing w:before="0" w:after="0" w:line="240" w:lineRule="auto"/>
              <w:jc w:val="center"/>
            </w:pPr>
            <w:r>
              <w:rPr>
                <w:rFonts w:ascii="Times New Roman" w:hAnsi="Times New Roman"/>
                <w:b/>
                <w:i w:val="0"/>
                <w:color w:val="000000"/>
                <w:sz w:val="17"/>
              </w:rPr>
              <w:t>PHI</w:t>
            </w:r>
          </w:p>
        </w:tc>
        <w:tc>
          <w:tcPr>
            <w:tcW w:type="dxa" w:w="5760"/>
            <w:tcMar>
              <w:top w:w="20" w:type="dxa"/>
              <w:bottom w:w="20" w:type="dxa"/>
              <w:left w:w="50" w:type="dxa"/>
              <w:right w:w="50" w:type="dxa"/>
            </w:tcMar>
            <w:shd w:fill="F8FAFC"/>
          </w:tcPr>
          <w:p>
            <w:pPr>
              <w:spacing w:before="0" w:after="0" w:line="240" w:lineRule="auto"/>
              <w:jc w:val="left"/>
            </w:pPr>
            <w:r>
              <w:rPr>
                <w:rFonts w:ascii="Times New Roman" w:hAnsi="Times New Roman"/>
                <w:b w:val="0"/>
                <w:i w:val="0"/>
                <w:color w:val="000000"/>
                <w:sz w:val="17"/>
              </w:rPr>
              <w:t>Protected Health Information</w:t>
            </w:r>
          </w:p>
        </w:tc>
      </w:tr>
      <w:tr>
        <w:tc>
          <w:tcPr>
            <w:tcW w:type="dxa" w:w="2160"/>
            <w:tcMar>
              <w:top w:w="20" w:type="dxa"/>
              <w:bottom w:w="20" w:type="dxa"/>
              <w:left w:w="50" w:type="dxa"/>
              <w:right w:w="50" w:type="dxa"/>
            </w:tcMar>
            <w:shd w:fill="FFFFFF"/>
          </w:tcPr>
          <w:p>
            <w:pPr>
              <w:spacing w:before="0" w:after="0" w:line="240" w:lineRule="auto"/>
              <w:jc w:val="center"/>
            </w:pPr>
            <w:r>
              <w:rPr>
                <w:rFonts w:ascii="Times New Roman" w:hAnsi="Times New Roman"/>
                <w:b/>
                <w:i w:val="0"/>
                <w:color w:val="000000"/>
                <w:sz w:val="17"/>
              </w:rPr>
              <w:t>ICU</w:t>
            </w:r>
          </w:p>
        </w:tc>
        <w:tc>
          <w:tcPr>
            <w:tcW w:type="dxa" w:w="5760"/>
            <w:tcMar>
              <w:top w:w="20" w:type="dxa"/>
              <w:bottom w:w="20" w:type="dxa"/>
              <w:left w:w="50" w:type="dxa"/>
              <w:right w:w="50" w:type="dxa"/>
            </w:tcMar>
            <w:shd w:fill="FFFFFF"/>
          </w:tcPr>
          <w:p>
            <w:pPr>
              <w:spacing w:before="0" w:after="0" w:line="240" w:lineRule="auto"/>
              <w:jc w:val="left"/>
            </w:pPr>
            <w:r>
              <w:rPr>
                <w:rFonts w:ascii="Times New Roman" w:hAnsi="Times New Roman"/>
                <w:b w:val="0"/>
                <w:i w:val="0"/>
                <w:color w:val="000000"/>
                <w:sz w:val="17"/>
              </w:rPr>
              <w:t>Intensive Care Unit</w:t>
            </w:r>
          </w:p>
        </w:tc>
      </w:tr>
    </w:tbl>
    <w:p>
      <w:r>
        <w:br w:type="page"/>
      </w:r>
    </w:p>
    <w:p>
      <w:pPr>
        <w:sectPr>
          <w:headerReference w:type="default" r:id="rId10"/>
          <w:footerReference w:type="default" r:id="rId11"/>
          <w:pgSz w:w="11906" w:h="16838"/>
          <w:pgMar w:top="1701" w:right="1984" w:bottom="1701" w:left="1984" w:header="720" w:footer="1134" w:gutter="0"/>
          <w:cols w:space="720"/>
          <w:titlePg/>
          <w:docGrid w:linePitch="360"/>
          <w:pgNumType w:start="1" w:fmt="lowerRoman"/>
        </w:sectPr>
      </w:pPr>
    </w:p>
    <w:p>
      <w:pPr>
        <w:spacing w:before="240" w:after="160" w:line="240" w:lineRule="auto"/>
        <w:jc w:val="center"/>
      </w:pPr>
      <w:r>
        <w:rPr>
          <w:rFonts w:ascii="Times New Roman" w:hAnsi="Times New Roman"/>
          <w:b/>
          <w:i w:val="0"/>
          <w:color w:val="000000"/>
          <w:sz w:val="28"/>
        </w:rPr>
        <w:t>CHAPTER - 1</w:t>
        <w:br/>
        <w:t>INTRODUCTION</w:t>
      </w:r>
    </w:p>
    <w:p>
      <w:pPr>
        <w:spacing w:before="200" w:after="40" w:line="276" w:lineRule="auto"/>
        <w:jc w:val="left"/>
      </w:pPr>
      <w:r>
        <w:rPr>
          <w:rFonts w:ascii="Times New Roman" w:hAnsi="Times New Roman"/>
          <w:b/>
          <w:i w:val="0"/>
          <w:color w:val="000000"/>
          <w:sz w:val="24"/>
        </w:rPr>
        <w:t>1.1 Introduction</w:t>
      </w:r>
    </w:p>
    <w:p>
      <w:pPr>
        <w:spacing w:before="0" w:after="60" w:line="360" w:lineRule="auto"/>
        <w:jc w:val="both"/>
      </w:pPr>
      <w:r>
        <w:rPr>
          <w:rFonts w:ascii="Times New Roman" w:hAnsi="Times New Roman"/>
          <w:b w:val="0"/>
          <w:i w:val="0"/>
          <w:color w:val="000000"/>
          <w:sz w:val="24"/>
        </w:rPr>
        <w:t>Modern healthcare delivery systems are undergoing an unprecedented digital transformation, transitioning from isolated, paper-based administrative documentation to distributed, data-intensive clinical networks. Historically, clinical records were maintained in physical paper charts filed within independent hospital departments. This legacy approach created deep operational fragmentation, where a patient's historical medical diagnoses, previous surgical interventions, recurring drug allergies, and longitudinal laboratory results were frequently inaccessible when presenting to a new physician, specialist clinic, or emergency triage ward. In critical medical emergencies—often governed by the clinical 'golden hour'—the inability to immediately verify blood group, active anticoagulant therapy, or severe adverse drug reactions can result in preventable complications, severe morbidity, or catastrophic clinical errors.</w:t>
      </w:r>
    </w:p>
    <w:p>
      <w:pPr>
        <w:spacing w:before="0" w:after="60" w:line="360" w:lineRule="auto"/>
        <w:jc w:val="both"/>
      </w:pPr>
      <w:r>
        <w:rPr>
          <w:rFonts w:ascii="Times New Roman" w:hAnsi="Times New Roman"/>
          <w:b w:val="0"/>
          <w:i w:val="0"/>
          <w:color w:val="000000"/>
          <w:sz w:val="24"/>
        </w:rPr>
        <w:t>In developing healthcare environments, particularly across India, the digitization of clinical health records faces substantial structural hurdles. While the Government of India has introduced the Ayushman Bharat Digital Mission (ABDM) and the Ayushman Bharat Health Account (ABHA) to catalyze standardized healthcare interoperability, the vast majority of primary clinics, district hospitals, and independent private institutions still operate on heterogeneous, disconnected software systems or non-digitized paper logs. Even where electronic health record (EHR) software is deployed, physicians frequently report severe cognitive burden and documentation burnout. Studies in medical informatics indicate that modern physicians spend as much as two hours interacting with unintuitive electronic health record interfaces for every single hour of direct bedside patient care. The resulting administrative friction reduces meaningful physician-patient dialogue and increases diagnostic oversights.</w:t>
      </w:r>
    </w:p>
    <w:p>
      <w:pPr>
        <w:spacing w:before="0" w:after="60" w:line="360" w:lineRule="auto"/>
        <w:jc w:val="both"/>
      </w:pPr>
      <w:r>
        <w:rPr>
          <w:rFonts w:ascii="Times New Roman" w:hAnsi="Times New Roman"/>
          <w:b w:val="0"/>
          <w:i w:val="0"/>
          <w:color w:val="000000"/>
          <w:sz w:val="24"/>
        </w:rPr>
        <w:t>Simultaneously, the rapid emergence of Artificial Intelligence (AI) and Machine Learning (ML) in healthcare has introduced transformative potential for diagnostic triage, medical imaging interpretation, and automated clinical risk stratification. However, widespread clinical adoption of AI remains severely constrained by the notorious 'black-box' problem. Deep learning architectures and ensemble machine learning algorithms typically emit probability scores or binary classifications without providing transparent, clinically intelligible reasoning. In medical practice, a physician cannot ethically or legally prescribe an aggressive therapeutic regimen or schedule an invasive diagnostic procedure solely based on an unexplained probabilistic prediction. Without transparent feature attributions, model accountability, and interpretability tools such as SHAP (SHapley Additive exPlanations) or LIME (Local Interpretable Model-agnostic Explanations), clinical decision support systems remain untrusted and underutilized.</w:t>
      </w:r>
    </w:p>
    <w:p>
      <w:pPr>
        <w:spacing w:before="0" w:after="80" w:line="360" w:lineRule="auto"/>
        <w:jc w:val="both"/>
      </w:pPr>
      <w:r>
        <w:rPr>
          <w:rFonts w:ascii="Times New Roman" w:hAnsi="Times New Roman"/>
          <w:b w:val="0"/>
          <w:i w:val="0"/>
          <w:color w:val="000000"/>
          <w:sz w:val="24"/>
        </w:rPr>
        <w:t>NEXO MEDICO AI has been conceived and engineered to resolve these foundational challenges through an integrated, intelligent, and explainable healthcare management platform. Developed using modern web architectures—specifically Next.js 14 App Router, TypeScript, Prisma ORM, PostgreSQL, and an asynchronous Python FastAPI machine learning microservice—Nexo Medico AI unifies patient self-service, longitudinal health record management, clinical consultation workflows, explainable diagnostic decision support, closed-loop e-prescribing, automated laboratory diagnostic processing, and emergency response mechanisms into a high-performance, multi-tenant ecosystem.</w:t>
      </w:r>
    </w:p>
    <w:p>
      <w:pPr>
        <w:spacing w:before="200" w:after="40" w:line="276" w:lineRule="auto"/>
        <w:jc w:val="left"/>
      </w:pPr>
      <w:r>
        <w:rPr>
          <w:rFonts w:ascii="Times New Roman" w:hAnsi="Times New Roman"/>
          <w:b/>
          <w:i w:val="0"/>
          <w:color w:val="000000"/>
          <w:sz w:val="24"/>
        </w:rPr>
        <w:t>1.2 Problem Statement</w:t>
      </w:r>
    </w:p>
    <w:p>
      <w:pPr>
        <w:spacing w:before="0" w:after="60" w:line="360" w:lineRule="auto"/>
        <w:jc w:val="both"/>
      </w:pPr>
      <w:r>
        <w:rPr>
          <w:rFonts w:ascii="Times New Roman" w:hAnsi="Times New Roman"/>
          <w:b w:val="0"/>
          <w:i w:val="0"/>
          <w:color w:val="000000"/>
          <w:sz w:val="24"/>
        </w:rPr>
        <w:t>Healthcare institutions, medical practitioners, and patients currently confront a confluence of interrelated structural deficiencies across data governance, diagnostic intelligence, and emergency medical response. Specifically, the problem addressed by this research and software engineering effort encompasses five critical dimensions:</w:t>
      </w:r>
    </w:p>
    <w:p>
      <w:pPr>
        <w:spacing w:before="40" w:after="60" w:line="360" w:lineRule="auto"/>
        <w:jc w:val="both"/>
      </w:pPr>
      <w:r>
        <w:rPr>
          <w:rFonts w:ascii="Times New Roman" w:hAnsi="Times New Roman"/>
          <w:b/>
          <w:i w:val="0"/>
          <w:color w:val="000000"/>
          <w:sz w:val="24"/>
        </w:rPr>
        <w:t xml:space="preserve">1. Severe Data Fragmentation and Interoperability Silos: </w:t>
      </w:r>
      <w:r>
        <w:rPr>
          <w:rFonts w:ascii="Times New Roman" w:hAnsi="Times New Roman"/>
          <w:b w:val="0"/>
          <w:i w:val="0"/>
          <w:color w:val="000000"/>
          <w:sz w:val="24"/>
        </w:rPr>
        <w:t>Patient medical records are trapped in non-communicating hospital proprietary databases, leading to duplicated diagnostic investigations, fragmented clinical histories, delayed referrals, and an absence of a single source of truth for longitudinal health tracking.</w:t>
      </w:r>
    </w:p>
    <w:p>
      <w:pPr>
        <w:spacing w:before="40" w:after="60" w:line="360" w:lineRule="auto"/>
        <w:jc w:val="both"/>
      </w:pPr>
      <w:r>
        <w:rPr>
          <w:rFonts w:ascii="Times New Roman" w:hAnsi="Times New Roman"/>
          <w:b/>
          <w:i w:val="0"/>
          <w:color w:val="000000"/>
          <w:sz w:val="24"/>
        </w:rPr>
        <w:t xml:space="preserve">2. Opaque and Unexplainable Clinical Decision Support: </w:t>
      </w:r>
      <w:r>
        <w:rPr>
          <w:rFonts w:ascii="Times New Roman" w:hAnsi="Times New Roman"/>
          <w:b w:val="0"/>
          <w:i w:val="0"/>
          <w:color w:val="000000"/>
          <w:sz w:val="24"/>
        </w:rPr>
        <w:t>Existing clinical AI solutions predominantly operate as black-box inference engines. The lack of interpretability regarding which patient biomarkers, physiological symptoms, or vital abnormalities drove a given diagnostic prediction prevents clinical trust, violates emerging medical AI governance standards, and impedes routine physician collaboration.</w:t>
      </w:r>
    </w:p>
    <w:p>
      <w:pPr>
        <w:spacing w:before="40" w:after="60" w:line="360" w:lineRule="auto"/>
        <w:jc w:val="both"/>
      </w:pPr>
      <w:r>
        <w:rPr>
          <w:rFonts w:ascii="Times New Roman" w:hAnsi="Times New Roman"/>
          <w:b/>
          <w:i w:val="0"/>
          <w:color w:val="000000"/>
          <w:sz w:val="24"/>
        </w:rPr>
        <w:t xml:space="preserve">3. High Latency and Identity Void in Emergency Trauma Triage: </w:t>
      </w:r>
      <w:r>
        <w:rPr>
          <w:rFonts w:ascii="Times New Roman" w:hAnsi="Times New Roman"/>
          <w:b w:val="0"/>
          <w:i w:val="0"/>
          <w:color w:val="000000"/>
          <w:sz w:val="24"/>
        </w:rPr>
        <w:t>In acute road traffic accidents, sudden cardiovascular collapses, or unconscious trauma admissions, first responders and emergency physicians possess zero immediate visibility into the patient's identity, blood group, critical allergies, or emergency family contacts. Manual phone searches and family inquiries squander crucial minutes during the lifesaving golden hour.</w:t>
      </w:r>
    </w:p>
    <w:p>
      <w:pPr>
        <w:spacing w:before="40" w:after="60" w:line="360" w:lineRule="auto"/>
        <w:jc w:val="both"/>
      </w:pPr>
      <w:r>
        <w:rPr>
          <w:rFonts w:ascii="Times New Roman" w:hAnsi="Times New Roman"/>
          <w:b/>
          <w:i w:val="0"/>
          <w:color w:val="000000"/>
          <w:sz w:val="24"/>
        </w:rPr>
        <w:t xml:space="preserve">4. Medication Errors and Manual Prescription Vulnerabilities: </w:t>
      </w:r>
      <w:r>
        <w:rPr>
          <w:rFonts w:ascii="Times New Roman" w:hAnsi="Times New Roman"/>
          <w:b w:val="0"/>
          <w:i w:val="0"/>
          <w:color w:val="000000"/>
          <w:sz w:val="24"/>
        </w:rPr>
        <w:t>Illegible handwritten prescriptions, uncoordinated pharmacy dispensing, and an absence of automated drug-allergy and drug-drug interaction cross-referencing cause thousands of preventable adverse drug events (ADEs) annually in tertiary care centers.</w:t>
      </w:r>
    </w:p>
    <w:p>
      <w:pPr>
        <w:spacing w:before="40" w:after="60" w:line="360" w:lineRule="auto"/>
        <w:jc w:val="both"/>
      </w:pPr>
      <w:r>
        <w:rPr>
          <w:rFonts w:ascii="Times New Roman" w:hAnsi="Times New Roman"/>
          <w:b/>
          <w:i w:val="0"/>
          <w:color w:val="000000"/>
          <w:sz w:val="24"/>
        </w:rPr>
        <w:t xml:space="preserve">5. Insecure Identity Verification and Communication Failures: </w:t>
      </w:r>
      <w:r>
        <w:rPr>
          <w:rFonts w:ascii="Times New Roman" w:hAnsi="Times New Roman"/>
          <w:b w:val="0"/>
          <w:i w:val="0"/>
          <w:color w:val="000000"/>
          <w:sz w:val="24"/>
        </w:rPr>
        <w:t>Legacy patient portals utilize weak credentialing mechanisms without rigorous two-factor authentication (2FA), exposing sensitive Protected Health Information (PHI) to unauthorized disclosure, while failing to provide reliable, auditable notifications to patients regarding appointments, prescription changes, and laboratory releases.</w:t>
      </w:r>
    </w:p>
    <w:p>
      <w:pPr>
        <w:spacing w:before="200" w:after="40" w:line="276" w:lineRule="auto"/>
        <w:jc w:val="left"/>
      </w:pPr>
      <w:r>
        <w:rPr>
          <w:rFonts w:ascii="Times New Roman" w:hAnsi="Times New Roman"/>
          <w:b/>
          <w:i w:val="0"/>
          <w:color w:val="000000"/>
          <w:sz w:val="24"/>
        </w:rPr>
        <w:t>1.3 Objective of Project</w:t>
      </w:r>
    </w:p>
    <w:p>
      <w:pPr>
        <w:spacing w:before="0" w:after="60" w:line="360" w:lineRule="auto"/>
        <w:jc w:val="both"/>
      </w:pPr>
      <w:r>
        <w:rPr>
          <w:rFonts w:ascii="Times New Roman" w:hAnsi="Times New Roman"/>
          <w:b w:val="0"/>
          <w:i w:val="0"/>
          <w:color w:val="000000"/>
          <w:sz w:val="24"/>
        </w:rPr>
        <w:t>The overarching objective of the NEXO MEDICO AI project is to architect, develop, rigorously validate, and deploy a secure, cloud-native, multi-tenant healthcare operating system and explainable clinical decision support platform. To realize this vision, the project establishes the following discrete technical and clinical objectives for Phase-I:</w:t>
      </w:r>
    </w:p>
    <w:p>
      <w:pPr>
        <w:spacing w:before="40" w:after="60" w:line="360" w:lineRule="auto"/>
        <w:jc w:val="both"/>
      </w:pPr>
      <w:r>
        <w:rPr>
          <w:rFonts w:ascii="Times New Roman" w:hAnsi="Times New Roman"/>
          <w:b/>
          <w:i w:val="0"/>
          <w:color w:val="000000"/>
          <w:sz w:val="24"/>
        </w:rPr>
        <w:t xml:space="preserve">1. Multi-Tenant Hospital Architecture: </w:t>
      </w:r>
      <w:r>
        <w:rPr>
          <w:rFonts w:ascii="Times New Roman" w:hAnsi="Times New Roman"/>
          <w:b w:val="0"/>
          <w:i w:val="0"/>
          <w:color w:val="000000"/>
          <w:sz w:val="24"/>
        </w:rPr>
        <w:t>Architect an enterprise multi-tenant database schema using Prisma ORM and PostgreSQL that guarantees absolute data isolation between distinct hospital organizations while permitting authorized, patient-consented cross-institutional clinical consultations.</w:t>
      </w:r>
    </w:p>
    <w:p>
      <w:pPr>
        <w:spacing w:before="40" w:after="60" w:line="360" w:lineRule="auto"/>
        <w:jc w:val="both"/>
      </w:pPr>
      <w:r>
        <w:rPr>
          <w:rFonts w:ascii="Times New Roman" w:hAnsi="Times New Roman"/>
          <w:b/>
          <w:i w:val="0"/>
          <w:color w:val="000000"/>
          <w:sz w:val="24"/>
        </w:rPr>
        <w:t xml:space="preserve">2. Explainable Clinical Decision Support System (X-CDSS): </w:t>
      </w:r>
      <w:r>
        <w:rPr>
          <w:rFonts w:ascii="Times New Roman" w:hAnsi="Times New Roman"/>
          <w:b w:val="0"/>
          <w:i w:val="0"/>
          <w:color w:val="000000"/>
          <w:sz w:val="24"/>
        </w:rPr>
        <w:t>Engineer an asynchronous Python FastAPI machine learning microservice that ingests patient clinical features, executes disease risk stratification across major disease classes (diabetes, cardiovascular, pulmonary, kidney), and computes granular feature-importance attributions using SHAP and LIME to render transparent, visual explanations directly within the physician encounter dashboard.</w:t>
      </w:r>
    </w:p>
    <w:p>
      <w:pPr>
        <w:spacing w:before="40" w:after="60" w:line="360" w:lineRule="auto"/>
        <w:jc w:val="both"/>
      </w:pPr>
      <w:r>
        <w:rPr>
          <w:rFonts w:ascii="Times New Roman" w:hAnsi="Times New Roman"/>
          <w:b/>
          <w:i w:val="0"/>
          <w:color w:val="000000"/>
          <w:sz w:val="24"/>
        </w:rPr>
        <w:t xml:space="preserve">3. Unguessable Tokenized Emergency QR Identity System: </w:t>
      </w:r>
      <w:r>
        <w:rPr>
          <w:rFonts w:ascii="Times New Roman" w:hAnsi="Times New Roman"/>
          <w:b w:val="0"/>
          <w:i w:val="0"/>
          <w:color w:val="000000"/>
          <w:sz w:val="24"/>
        </w:rPr>
        <w:t>Design and implement a zero-trust Emergency QR ID system utilizing cryptographically secure, 64-character unguessable hex tokens. The system enables any smartphone camera to scan a patient's physical card or sticker and resolve an instantaneous, mobile-optimized emergency profile showing blood group, emergency contacts, critical allergies, and chronic conditions without exposing full EHR data.</w:t>
      </w:r>
    </w:p>
    <w:p>
      <w:pPr>
        <w:spacing w:before="40" w:after="60" w:line="360" w:lineRule="auto"/>
        <w:jc w:val="both"/>
      </w:pPr>
      <w:r>
        <w:rPr>
          <w:rFonts w:ascii="Times New Roman" w:hAnsi="Times New Roman"/>
          <w:b/>
          <w:i w:val="0"/>
          <w:color w:val="000000"/>
          <w:sz w:val="24"/>
        </w:rPr>
        <w:t xml:space="preserve">4. Geographically-Constrained Patient Demographic Onboarding: </w:t>
      </w:r>
      <w:r>
        <w:rPr>
          <w:rFonts w:ascii="Times New Roman" w:hAnsi="Times New Roman"/>
          <w:b w:val="0"/>
          <w:i w:val="0"/>
          <w:color w:val="000000"/>
          <w:sz w:val="24"/>
        </w:rPr>
        <w:t>Implement a robust self-registration workflow strictly tailored for the Indian healthcare geography, incorporating standardized validation across 36 States/UTs, official district databases, 6-digit postal PIN codes, and mandatory emergency contact structures.</w:t>
      </w:r>
    </w:p>
    <w:p>
      <w:pPr>
        <w:spacing w:before="40" w:after="60" w:line="360" w:lineRule="auto"/>
        <w:jc w:val="both"/>
      </w:pPr>
      <w:r>
        <w:rPr>
          <w:rFonts w:ascii="Times New Roman" w:hAnsi="Times New Roman"/>
          <w:b/>
          <w:i w:val="0"/>
          <w:color w:val="000000"/>
          <w:sz w:val="24"/>
        </w:rPr>
        <w:t xml:space="preserve">5. Cryptographic Two-Factor Authentication (2FA) &amp; SMTP Gateway: </w:t>
      </w:r>
      <w:r>
        <w:rPr>
          <w:rFonts w:ascii="Times New Roman" w:hAnsi="Times New Roman"/>
          <w:b w:val="0"/>
          <w:i w:val="0"/>
          <w:color w:val="000000"/>
          <w:sz w:val="24"/>
        </w:rPr>
        <w:t>Deploy a secure, time-sensitive 6-digit OTP verification system utilizing Gmail SMTP over TLS on port 587, eliminating test email leakages and ensuring real-time identity verification during user registration and sensitive medical access challenges.</w:t>
      </w:r>
    </w:p>
    <w:p>
      <w:pPr>
        <w:spacing w:before="40" w:after="60" w:line="360" w:lineRule="auto"/>
        <w:jc w:val="both"/>
      </w:pPr>
      <w:r>
        <w:rPr>
          <w:rFonts w:ascii="Times New Roman" w:hAnsi="Times New Roman"/>
          <w:b/>
          <w:i w:val="0"/>
          <w:color w:val="000000"/>
          <w:sz w:val="24"/>
        </w:rPr>
        <w:t xml:space="preserve">6. Integrated Inpatient, Pharmacy, and Laboratory Workflows: </w:t>
      </w:r>
      <w:r>
        <w:rPr>
          <w:rFonts w:ascii="Times New Roman" w:hAnsi="Times New Roman"/>
          <w:b w:val="0"/>
          <w:i w:val="0"/>
          <w:color w:val="000000"/>
          <w:sz w:val="24"/>
        </w:rPr>
        <w:t>Develop closed-loop clinical encounter modules connecting doctor e-prescriptions directly with pharmacy dispensing queues, and linking laboratory test orders with automated OCR extraction for patient diagnostic report ingestion.</w:t>
      </w:r>
    </w:p>
    <w:p>
      <w:pPr>
        <w:spacing w:before="40" w:after="60" w:line="360" w:lineRule="auto"/>
        <w:jc w:val="both"/>
      </w:pPr>
      <w:r>
        <w:rPr>
          <w:rFonts w:ascii="Times New Roman" w:hAnsi="Times New Roman"/>
          <w:b/>
          <w:i w:val="0"/>
          <w:color w:val="000000"/>
          <w:sz w:val="24"/>
        </w:rPr>
        <w:t xml:space="preserve">7. Rigorous Verification &amp; Empirical Performance Validation: </w:t>
      </w:r>
      <w:r>
        <w:rPr>
          <w:rFonts w:ascii="Times New Roman" w:hAnsi="Times New Roman"/>
          <w:b w:val="0"/>
          <w:i w:val="0"/>
          <w:color w:val="000000"/>
          <w:sz w:val="24"/>
        </w:rPr>
        <w:t>Validate the end-to-end reliability, sub-50ms query performance, and cryptographic integrity of all subsystems through comprehensive automated test suites covering registration lifecycles, emergency token lookups, and CDSS inference pipelines.</w:t>
      </w:r>
    </w:p>
    <w:p>
      <w:r>
        <w:br w:type="page"/>
      </w:r>
    </w:p>
    <w:p>
      <w:pPr>
        <w:spacing w:before="240" w:after="160" w:line="240" w:lineRule="auto"/>
        <w:jc w:val="center"/>
      </w:pPr>
      <w:r>
        <w:rPr>
          <w:rFonts w:ascii="Times New Roman" w:hAnsi="Times New Roman"/>
          <w:b/>
          <w:i w:val="0"/>
          <w:color w:val="000000"/>
          <w:sz w:val="28"/>
        </w:rPr>
        <w:t>CHAPTER - 2</w:t>
        <w:br/>
        <w:t>PROBLEM IDENTIFICATION</w:t>
      </w:r>
    </w:p>
    <w:p>
      <w:pPr>
        <w:spacing w:before="200" w:after="40" w:line="276" w:lineRule="auto"/>
        <w:jc w:val="left"/>
      </w:pPr>
      <w:r>
        <w:rPr>
          <w:rFonts w:ascii="Times New Roman" w:hAnsi="Times New Roman"/>
          <w:b/>
          <w:i w:val="0"/>
          <w:color w:val="000000"/>
          <w:sz w:val="24"/>
        </w:rPr>
        <w:t>2.1 Existing System</w:t>
      </w:r>
    </w:p>
    <w:p>
      <w:pPr>
        <w:spacing w:before="0" w:after="80" w:line="360" w:lineRule="auto"/>
        <w:jc w:val="both"/>
      </w:pPr>
      <w:r>
        <w:rPr>
          <w:rFonts w:ascii="Times New Roman" w:hAnsi="Times New Roman"/>
          <w:b w:val="0"/>
          <w:i w:val="0"/>
          <w:color w:val="000000"/>
          <w:sz w:val="24"/>
        </w:rPr>
        <w:t>Conventional healthcare informatics infrastructure relies primarily on legacy Hospital Information Systems (HIS), proprietary Electronic Medical Record (EMR) software, or completely manual paper documentation systems. In typical secondary and tertiary hospital setups, departments operate as isolated data enclaves. The outpatient registration desk, clinical consulting chambers, diagnostic pathology laboratory, radiology department, and inpatient pharmacy utilize fragmented, non-interoperable software modules that rarely synchronize in real time. Consequently, clinicians are forced to make high-stakes medical decisions based on incomplete or manually aggregated physical folders.</w:t>
      </w:r>
    </w:p>
    <w:p>
      <w:pPr>
        <w:spacing w:before="0" w:after="80" w:line="360" w:lineRule="auto"/>
        <w:jc w:val="both"/>
      </w:pPr>
      <w:r>
        <w:rPr>
          <w:rFonts w:ascii="Times New Roman" w:hAnsi="Times New Roman"/>
          <w:b w:val="0"/>
          <w:i w:val="0"/>
          <w:color w:val="000000"/>
          <w:sz w:val="24"/>
        </w:rPr>
        <w:t>Furthermore, existing clinical decision support mechanisms—where they exist at all—consist of rigid, rule-based expert systems or rudimentary alert banners. Rule-based systems rely on static boolean logic (e.g., triggering an alert if systolic blood pressure exceeds 140 mmHg), which generates an overwhelming number of clinically irrelevant warnings. This phenomenon, known in medical informatics as 'alert fatigue,' leads clinicians to dismiss or bypass up to 90% of automated alerts, completely neutralizing their safety utility. In contrast, newer experimental machine learning tools deployed in isolated research settings suffer from the black-box dilemma: they provide diagnostic classification scores without explaining why a specific patient was flagged for sepsis, cardiac decompensation, or diabetic ketoacidosis. Without transparent, verifiable feature weights, clinicians rightfully refuse to trust machine-generated suggestions.</w:t>
      </w:r>
    </w:p>
    <w:p>
      <w:pPr>
        <w:spacing w:before="0" w:after="80" w:line="360" w:lineRule="auto"/>
        <w:jc w:val="both"/>
      </w:pPr>
      <w:r>
        <w:rPr>
          <w:rFonts w:ascii="Times New Roman" w:hAnsi="Times New Roman"/>
          <w:b w:val="0"/>
          <w:i w:val="0"/>
          <w:color w:val="000000"/>
          <w:sz w:val="24"/>
        </w:rPr>
        <w:t>In emergency and trauma care, existing systems exhibit fatal latency. When an unconscious trauma victim arrives at an emergency department without companions, clinical staff must initiate emergency care without knowing whether the patient has haemophilia, severe penicillin anaphylaxis, end-stage renal disease, or a cardiac pacemaker. While some commercial mobile health applications attempt to store emergency medical information, they require the patient's smartphone to be unlocked, possess active cellular data, or have specific proprietary apps installed. Traditional medical alert bracelets contain limited static text and cannot be updated dynamically as the patient's medication regimen evolves. Moreover, scanning static URLs or unsecured QR codes poses grave privacy risks, exposing the patient's full home address and confidential history to unauthorized passersby.</w:t>
      </w:r>
    </w:p>
    <w:p>
      <w:pPr>
        <w:spacing w:before="0" w:after="80" w:line="360" w:lineRule="auto"/>
        <w:jc w:val="both"/>
      </w:pPr>
      <w:r>
        <w:rPr>
          <w:rFonts w:ascii="Times New Roman" w:hAnsi="Times New Roman"/>
          <w:b w:val="0"/>
          <w:i w:val="0"/>
          <w:color w:val="000000"/>
          <w:sz w:val="24"/>
        </w:rPr>
        <w:t>Finally, from an architectural standpoint, traditional hospital software is built on monolithic on-premise architectures that suffer from high maintenance overheads, rigid scaling limitations, and vulnerabilities in data security. Identity management is frequently neglected, relying on simple passwords without multi-factor verification, while patient communication relies on unreliable third-party SMS gateways that fail during peak congestion.</w:t>
      </w:r>
    </w:p>
    <w:p>
      <w:pPr>
        <w:spacing w:before="200" w:after="40" w:line="276" w:lineRule="auto"/>
        <w:jc w:val="left"/>
      </w:pPr>
      <w:r>
        <w:rPr>
          <w:rFonts w:ascii="Times New Roman" w:hAnsi="Times New Roman"/>
          <w:b/>
          <w:i w:val="0"/>
          <w:color w:val="000000"/>
          <w:sz w:val="24"/>
        </w:rPr>
        <w:t>2.2 Proposed System</w:t>
      </w:r>
    </w:p>
    <w:p>
      <w:pPr>
        <w:spacing w:before="0" w:after="80" w:line="360" w:lineRule="auto"/>
        <w:jc w:val="both"/>
      </w:pPr>
      <w:r>
        <w:rPr>
          <w:rFonts w:ascii="Times New Roman" w:hAnsi="Times New Roman"/>
          <w:b w:val="0"/>
          <w:i w:val="0"/>
          <w:color w:val="000000"/>
          <w:sz w:val="24"/>
        </w:rPr>
        <w:t>To resolve the deep structural failures of legacy healthcare platforms, this project proposes and implements NEXO MEDICO AI: a cloud-native, multi-tenant healthcare operating system and explainable clinical decision support platform. Nexo Medico AI is designed from the ground up to synthesize high-performance web engineering, explainable artificial intelligence, cryptographically secure emergency triage, and closed-loop clinical operational workflows into a unified, user-friendly system.</w:t>
      </w:r>
    </w:p>
    <w:p>
      <w:pPr>
        <w:spacing w:before="0" w:after="80" w:line="360" w:lineRule="auto"/>
        <w:jc w:val="both"/>
      </w:pPr>
      <w:r>
        <w:rPr>
          <w:rFonts w:ascii="Times New Roman" w:hAnsi="Times New Roman"/>
          <w:b w:val="0"/>
          <w:i w:val="0"/>
          <w:color w:val="000000"/>
          <w:sz w:val="24"/>
        </w:rPr>
        <w:t>The proposed platform is engineered upon a decoupled, four-tier architecture. The presentation and application orchestration tier is built on Next.js 14 utilizing the React Server Components (RSC) paradigm, delivering sub-50ms page renders and server-side data validation with full TypeScript type safety. The persistence tier utilizes PostgreSQL managed through Prisma ORM, implementing a comprehensive multi-tenant relational schema comprising 33 distinct models that enforce row-level security and strict organizational isolation across independent hospital facilities. Machine learning inference, medical imaging analysis, and OCR document ingestion are offloaded to an asynchronous Python FastAPI microservice, ensuring that compute-intensive AI operations never degrade core clinical transactional throughput.</w:t>
      </w:r>
    </w:p>
    <w:p>
      <w:pPr>
        <w:spacing w:before="0" w:after="80" w:line="360" w:lineRule="auto"/>
        <w:jc w:val="both"/>
      </w:pPr>
      <w:r>
        <w:rPr>
          <w:rFonts w:ascii="Times New Roman" w:hAnsi="Times New Roman"/>
          <w:b w:val="0"/>
          <w:i w:val="0"/>
          <w:color w:val="000000"/>
          <w:sz w:val="24"/>
        </w:rPr>
        <w:t>Key paradigm shifts introduced by the proposed Nexo Medico AI platform include:</w:t>
        <w:br/>
        <w:t>1. Explainable Clinical Decision Support (X-CDSS): Real-time disease probability stratification complemented by mathematical SHAP and LIME feature attributions that reveal exactly which physiological parameters contributed positively or negatively to the risk score.</w:t>
        <w:br/>
        <w:t>2. Privacy-Preserving Emergency QR Identification: An unguessable token-based public emergency profile that displays strictly essential triage data (blood group, allergies, emergency contacts, chronic illnesses) on any mobile browser without revealing sensitive demographics or full EHR records.</w:t>
        <w:br/>
        <w:t>3. Localized Demographic Onboarding: An India-specific self-registration pipeline validating 36 States/UTs, official district structures, and 6-digit postal codes to ensure high data integrity for national healthcare interoperability.</w:t>
        <w:br/>
        <w:t>4. Cryptographic Two-Factor Authentication (2FA): Real-time OTP generation with SHA-256 challenge hashing and reliable TLS transmission via Gmail SMTP, guaranteeing identity verification during onboarding and sensitive operations.</w:t>
        <w:br/>
        <w:t>5. Unified Closed-Loop Clinical Workflows: Direct digital integration between doctor consultations, e-prescriptions, automated pharmacy inventory decrements, and OCR-assisted laboratory diagnostic processing.</w:t>
      </w:r>
    </w:p>
    <w:p>
      <w:pPr>
        <w:spacing w:before="200" w:after="40" w:line="276" w:lineRule="auto"/>
        <w:jc w:val="left"/>
      </w:pPr>
      <w:r>
        <w:rPr>
          <w:rFonts w:ascii="Times New Roman" w:hAnsi="Times New Roman"/>
          <w:b/>
          <w:i w:val="0"/>
          <w:color w:val="000000"/>
          <w:sz w:val="24"/>
        </w:rPr>
        <w:t>2.3 Comparative Analysis: Existing Systems vs. Nexo Medico AI</w:t>
      </w:r>
    </w:p>
    <w:p>
      <w:pPr>
        <w:spacing w:before="0" w:after="80" w:line="360" w:lineRule="auto"/>
        <w:jc w:val="both"/>
      </w:pPr>
      <w:r>
        <w:rPr>
          <w:rFonts w:ascii="Times New Roman" w:hAnsi="Times New Roman"/>
          <w:b w:val="0"/>
          <w:i w:val="0"/>
          <w:color w:val="000000"/>
          <w:sz w:val="24"/>
        </w:rPr>
        <w:t>A rigorous comparative evaluation between traditional healthcare systems and the proposed Nexo Medico AI platform is summarized in Table 2.1 across twelve foundational architectural and clinical parameters.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646"/>
        <w:gridCol w:w="2646"/>
        <w:gridCol w:w="2646"/>
      </w:tblGrid>
      <w:tr>
        <w:tc>
          <w:tcPr>
            <w:tcW w:type="dxa" w:w="2160"/>
            <w:tcMar>
              <w:top w:w="60" w:type="dxa"/>
              <w:bottom w:w="60" w:type="dxa"/>
              <w:left w:w="80" w:type="dxa"/>
              <w:right w:w="80" w:type="dxa"/>
            </w:tcMar>
            <w:shd w:fill="0284C7"/>
          </w:tcPr>
          <w:p>
            <w:pPr>
              <w:jc w:val="center"/>
            </w:pPr>
            <w:r>
              <w:rPr>
                <w:rFonts w:ascii="Times New Roman" w:hAnsi="Times New Roman"/>
                <w:b/>
                <w:i w:val="0"/>
                <w:color w:val="FFFFFF"/>
                <w:sz w:val="20"/>
              </w:rPr>
              <w:t>Feature / Dimension</w:t>
            </w:r>
          </w:p>
        </w:tc>
        <w:tc>
          <w:tcPr>
            <w:tcW w:type="dxa" w:w="2880"/>
            <w:tcMar>
              <w:top w:w="60" w:type="dxa"/>
              <w:bottom w:w="60" w:type="dxa"/>
              <w:left w:w="80" w:type="dxa"/>
              <w:right w:w="80" w:type="dxa"/>
            </w:tcMar>
            <w:shd w:fill="0284C7"/>
          </w:tcPr>
          <w:p>
            <w:pPr>
              <w:jc w:val="center"/>
            </w:pPr>
            <w:r>
              <w:rPr>
                <w:rFonts w:ascii="Times New Roman" w:hAnsi="Times New Roman"/>
                <w:b/>
                <w:i w:val="0"/>
                <w:color w:val="FFFFFF"/>
                <w:sz w:val="20"/>
              </w:rPr>
              <w:t>Traditional Healthcare Systems</w:t>
            </w:r>
          </w:p>
        </w:tc>
        <w:tc>
          <w:tcPr>
            <w:tcW w:type="dxa" w:w="2880"/>
            <w:tcMar>
              <w:top w:w="60" w:type="dxa"/>
              <w:bottom w:w="60" w:type="dxa"/>
              <w:left w:w="80" w:type="dxa"/>
              <w:right w:w="80" w:type="dxa"/>
            </w:tcMar>
            <w:shd w:fill="0284C7"/>
          </w:tcPr>
          <w:p>
            <w:pPr>
              <w:jc w:val="center"/>
            </w:pPr>
            <w:r>
              <w:rPr>
                <w:rFonts w:ascii="Times New Roman" w:hAnsi="Times New Roman"/>
                <w:b/>
                <w:i w:val="0"/>
                <w:color w:val="FFFFFF"/>
                <w:sz w:val="20"/>
              </w:rPr>
              <w:t>Nexo Medico AI Platform</w:t>
            </w:r>
          </w:p>
        </w:tc>
      </w:tr>
      <w:tr>
        <w:tc>
          <w:tcPr>
            <w:tcW w:type="dxa" w:w="2160"/>
            <w:tcMar>
              <w:top w:w="40" w:type="dxa"/>
              <w:bottom w:w="40" w:type="dxa"/>
              <w:left w:w="60" w:type="dxa"/>
              <w:right w:w="60" w:type="dxa"/>
            </w:tcMar>
            <w:shd w:fill="F8FAFC"/>
          </w:tcPr>
          <w:p>
            <w:pPr>
              <w:jc w:val="left"/>
            </w:pPr>
            <w:r>
              <w:rPr>
                <w:rFonts w:ascii="Times New Roman" w:hAnsi="Times New Roman"/>
                <w:b/>
                <w:i w:val="0"/>
                <w:color w:val="000000"/>
                <w:sz w:val="18"/>
              </w:rPr>
              <w:t>Architecture</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Monolithic on-premise desktop apps or fragmented server setups</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Decoupled cloud-native Next.js 14 App Router + FastAPI microservice</w:t>
            </w:r>
          </w:p>
        </w:tc>
      </w:tr>
      <w:tr>
        <w:tc>
          <w:tcPr>
            <w:tcW w:type="dxa" w:w="2160"/>
            <w:tcMar>
              <w:top w:w="40" w:type="dxa"/>
              <w:bottom w:w="40" w:type="dxa"/>
              <w:left w:w="60" w:type="dxa"/>
              <w:right w:w="60" w:type="dxa"/>
            </w:tcMar>
            <w:shd w:fill="FFFFFF"/>
          </w:tcPr>
          <w:p>
            <w:pPr>
              <w:jc w:val="left"/>
            </w:pPr>
            <w:r>
              <w:rPr>
                <w:rFonts w:ascii="Times New Roman" w:hAnsi="Times New Roman"/>
                <w:b/>
                <w:i w:val="0"/>
                <w:color w:val="000000"/>
                <w:sz w:val="18"/>
              </w:rPr>
              <w:t>Multi-Tenancy</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Single-tenant silos or complex separate database deployments</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Unified multi-tenant schema with robust row-level organizational isolation</w:t>
            </w:r>
          </w:p>
        </w:tc>
      </w:tr>
      <w:tr>
        <w:tc>
          <w:tcPr>
            <w:tcW w:type="dxa" w:w="2160"/>
            <w:tcMar>
              <w:top w:w="40" w:type="dxa"/>
              <w:bottom w:w="40" w:type="dxa"/>
              <w:left w:w="60" w:type="dxa"/>
              <w:right w:w="60" w:type="dxa"/>
            </w:tcMar>
            <w:shd w:fill="F8FAFC"/>
          </w:tcPr>
          <w:p>
            <w:pPr>
              <w:jc w:val="left"/>
            </w:pPr>
            <w:r>
              <w:rPr>
                <w:rFonts w:ascii="Times New Roman" w:hAnsi="Times New Roman"/>
                <w:b/>
                <w:i w:val="0"/>
                <w:color w:val="000000"/>
                <w:sz w:val="18"/>
              </w:rPr>
              <w:t>Clinical Decision Support</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Rigid rule-based alerts causing severe alert fatigue</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Machine learning triage with explainable SHAP/LIME feature attributions</w:t>
            </w:r>
          </w:p>
        </w:tc>
      </w:tr>
      <w:tr>
        <w:tc>
          <w:tcPr>
            <w:tcW w:type="dxa" w:w="2160"/>
            <w:tcMar>
              <w:top w:w="40" w:type="dxa"/>
              <w:bottom w:w="40" w:type="dxa"/>
              <w:left w:w="60" w:type="dxa"/>
              <w:right w:w="60" w:type="dxa"/>
            </w:tcMar>
            <w:shd w:fill="FFFFFF"/>
          </w:tcPr>
          <w:p>
            <w:pPr>
              <w:jc w:val="left"/>
            </w:pPr>
            <w:r>
              <w:rPr>
                <w:rFonts w:ascii="Times New Roman" w:hAnsi="Times New Roman"/>
                <w:b/>
                <w:i w:val="0"/>
                <w:color w:val="000000"/>
                <w:sz w:val="18"/>
              </w:rPr>
              <w:t>Emergency Triage</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Manual chart retrieval, static cards, or phone inquiries</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Instant Emergency QR scanning with unguessable cryptographic tokens</w:t>
            </w:r>
          </w:p>
        </w:tc>
      </w:tr>
      <w:tr>
        <w:tc>
          <w:tcPr>
            <w:tcW w:type="dxa" w:w="2160"/>
            <w:tcMar>
              <w:top w:w="40" w:type="dxa"/>
              <w:bottom w:w="40" w:type="dxa"/>
              <w:left w:w="60" w:type="dxa"/>
              <w:right w:w="60" w:type="dxa"/>
            </w:tcMar>
            <w:shd w:fill="F8FAFC"/>
          </w:tcPr>
          <w:p>
            <w:pPr>
              <w:jc w:val="left"/>
            </w:pPr>
            <w:r>
              <w:rPr>
                <w:rFonts w:ascii="Times New Roman" w:hAnsi="Times New Roman"/>
                <w:b/>
                <w:i w:val="0"/>
                <w:color w:val="000000"/>
                <w:sz w:val="18"/>
              </w:rPr>
              <w:t>Emergency Privacy</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Unprotected physical records or exposed confidential profiles</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Strict data segregation: public emergency card vs private full EHR</w:t>
            </w:r>
          </w:p>
        </w:tc>
      </w:tr>
      <w:tr>
        <w:tc>
          <w:tcPr>
            <w:tcW w:type="dxa" w:w="2160"/>
            <w:tcMar>
              <w:top w:w="40" w:type="dxa"/>
              <w:bottom w:w="40" w:type="dxa"/>
              <w:left w:w="60" w:type="dxa"/>
              <w:right w:w="60" w:type="dxa"/>
            </w:tcMar>
            <w:shd w:fill="FFFFFF"/>
          </w:tcPr>
          <w:p>
            <w:pPr>
              <w:jc w:val="left"/>
            </w:pPr>
            <w:r>
              <w:rPr>
                <w:rFonts w:ascii="Times New Roman" w:hAnsi="Times New Roman"/>
                <w:b/>
                <w:i w:val="0"/>
                <w:color w:val="000000"/>
                <w:sz w:val="18"/>
              </w:rPr>
              <w:t>Identity Verification</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Simple username/password with weak credential auditing</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Cryptographic 2FA with time-sensitive OTPs via production Gmail SMTP</w:t>
            </w:r>
          </w:p>
        </w:tc>
      </w:tr>
      <w:tr>
        <w:tc>
          <w:tcPr>
            <w:tcW w:type="dxa" w:w="2160"/>
            <w:tcMar>
              <w:top w:w="40" w:type="dxa"/>
              <w:bottom w:w="40" w:type="dxa"/>
              <w:left w:w="60" w:type="dxa"/>
              <w:right w:w="60" w:type="dxa"/>
            </w:tcMar>
            <w:shd w:fill="F8FAFC"/>
          </w:tcPr>
          <w:p>
            <w:pPr>
              <w:jc w:val="left"/>
            </w:pPr>
            <w:r>
              <w:rPr>
                <w:rFonts w:ascii="Times New Roman" w:hAnsi="Times New Roman"/>
                <w:b/>
                <w:i w:val="0"/>
                <w:color w:val="000000"/>
                <w:sz w:val="18"/>
              </w:rPr>
              <w:t>Demographic Validation</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Free-form text fields prone to invalid addresses and typos</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India-specific standardized dropdowns for 36 States/UTs, districts &amp; PINs</w:t>
            </w:r>
          </w:p>
        </w:tc>
      </w:tr>
      <w:tr>
        <w:tc>
          <w:tcPr>
            <w:tcW w:type="dxa" w:w="2160"/>
            <w:tcMar>
              <w:top w:w="40" w:type="dxa"/>
              <w:bottom w:w="40" w:type="dxa"/>
              <w:left w:w="60" w:type="dxa"/>
              <w:right w:w="60" w:type="dxa"/>
            </w:tcMar>
            <w:shd w:fill="FFFFFF"/>
          </w:tcPr>
          <w:p>
            <w:pPr>
              <w:jc w:val="left"/>
            </w:pPr>
            <w:r>
              <w:rPr>
                <w:rFonts w:ascii="Times New Roman" w:hAnsi="Times New Roman"/>
                <w:b/>
                <w:i w:val="0"/>
                <w:color w:val="000000"/>
                <w:sz w:val="18"/>
              </w:rPr>
              <w:t>Prescription Workflow</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Handwritten paper slips vulnerable to misinterpretation</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Structured digital e-prescriptions with automatic pharmacy inventory sync</w:t>
            </w:r>
          </w:p>
        </w:tc>
      </w:tr>
      <w:tr>
        <w:tc>
          <w:tcPr>
            <w:tcW w:type="dxa" w:w="2160"/>
            <w:tcMar>
              <w:top w:w="40" w:type="dxa"/>
              <w:bottom w:w="40" w:type="dxa"/>
              <w:left w:w="60" w:type="dxa"/>
              <w:right w:w="60" w:type="dxa"/>
            </w:tcMar>
            <w:shd w:fill="F8FAFC"/>
          </w:tcPr>
          <w:p>
            <w:pPr>
              <w:jc w:val="left"/>
            </w:pPr>
            <w:r>
              <w:rPr>
                <w:rFonts w:ascii="Times New Roman" w:hAnsi="Times New Roman"/>
                <w:b/>
                <w:i w:val="0"/>
                <w:color w:val="000000"/>
                <w:sz w:val="18"/>
              </w:rPr>
              <w:t>Laboratory Reports</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Physical paper printouts filed manually into paper folders</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Direct electronic ordering with OCR extraction and digital ingestion</w:t>
            </w:r>
          </w:p>
        </w:tc>
      </w:tr>
      <w:tr>
        <w:tc>
          <w:tcPr>
            <w:tcW w:type="dxa" w:w="2160"/>
            <w:tcMar>
              <w:top w:w="40" w:type="dxa"/>
              <w:bottom w:w="40" w:type="dxa"/>
              <w:left w:w="60" w:type="dxa"/>
              <w:right w:w="60" w:type="dxa"/>
            </w:tcMar>
            <w:shd w:fill="FFFFFF"/>
          </w:tcPr>
          <w:p>
            <w:pPr>
              <w:jc w:val="left"/>
            </w:pPr>
            <w:r>
              <w:rPr>
                <w:rFonts w:ascii="Times New Roman" w:hAnsi="Times New Roman"/>
                <w:b/>
                <w:i w:val="0"/>
                <w:color w:val="000000"/>
                <w:sz w:val="18"/>
              </w:rPr>
              <w:t>EHR Interoperability</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Proprietary enclaves with zero longitudinal mobility</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Universal Patient Health Passport accessible across authorized facilities</w:t>
            </w:r>
          </w:p>
        </w:tc>
      </w:tr>
      <w:tr>
        <w:tc>
          <w:tcPr>
            <w:tcW w:type="dxa" w:w="2160"/>
            <w:tcMar>
              <w:top w:w="40" w:type="dxa"/>
              <w:bottom w:w="40" w:type="dxa"/>
              <w:left w:w="60" w:type="dxa"/>
              <w:right w:w="60" w:type="dxa"/>
            </w:tcMar>
            <w:shd w:fill="F8FAFC"/>
          </w:tcPr>
          <w:p>
            <w:pPr>
              <w:jc w:val="left"/>
            </w:pPr>
            <w:r>
              <w:rPr>
                <w:rFonts w:ascii="Times New Roman" w:hAnsi="Times New Roman"/>
                <w:b/>
                <w:i w:val="0"/>
                <w:color w:val="000000"/>
                <w:sz w:val="18"/>
              </w:rPr>
              <w:t>Communication Engine</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Unreliable third-party SMS or manual telephonic calls</w:t>
            </w:r>
          </w:p>
        </w:tc>
        <w:tc>
          <w:tcPr>
            <w:tcW w:type="dxa" w:w="2880"/>
            <w:tcMar>
              <w:top w:w="40" w:type="dxa"/>
              <w:bottom w:w="40" w:type="dxa"/>
              <w:left w:w="60" w:type="dxa"/>
              <w:right w:w="60" w:type="dxa"/>
            </w:tcMar>
            <w:shd w:fill="F8FAFC"/>
          </w:tcPr>
          <w:p>
            <w:pPr>
              <w:jc w:val="left"/>
            </w:pPr>
            <w:r>
              <w:rPr>
                <w:rFonts w:ascii="Times New Roman" w:hAnsi="Times New Roman"/>
                <w:b w:val="0"/>
                <w:i w:val="0"/>
                <w:color w:val="000000"/>
                <w:sz w:val="18"/>
              </w:rPr>
              <w:t>Automated email notification triggers for appointments, OTPs &amp; support</w:t>
            </w:r>
          </w:p>
        </w:tc>
      </w:tr>
      <w:tr>
        <w:tc>
          <w:tcPr>
            <w:tcW w:type="dxa" w:w="2160"/>
            <w:tcMar>
              <w:top w:w="40" w:type="dxa"/>
              <w:bottom w:w="40" w:type="dxa"/>
              <w:left w:w="60" w:type="dxa"/>
              <w:right w:w="60" w:type="dxa"/>
            </w:tcMar>
            <w:shd w:fill="FFFFFF"/>
          </w:tcPr>
          <w:p>
            <w:pPr>
              <w:jc w:val="left"/>
            </w:pPr>
            <w:r>
              <w:rPr>
                <w:rFonts w:ascii="Times New Roman" w:hAnsi="Times New Roman"/>
                <w:b/>
                <w:i w:val="0"/>
                <w:color w:val="000000"/>
                <w:sz w:val="18"/>
              </w:rPr>
              <w:t>Auditability &amp; Security</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Basic application logs or complete absence of audit trails</w:t>
            </w:r>
          </w:p>
        </w:tc>
        <w:tc>
          <w:tcPr>
            <w:tcW w:type="dxa" w:w="2880"/>
            <w:tcMar>
              <w:top w:w="40" w:type="dxa"/>
              <w:bottom w:w="40" w:type="dxa"/>
              <w:left w:w="60" w:type="dxa"/>
              <w:right w:w="60" w:type="dxa"/>
            </w:tcMar>
            <w:shd w:fill="FFFFFF"/>
          </w:tcPr>
          <w:p>
            <w:pPr>
              <w:jc w:val="left"/>
            </w:pPr>
            <w:r>
              <w:rPr>
                <w:rFonts w:ascii="Times New Roman" w:hAnsi="Times New Roman"/>
                <w:b w:val="0"/>
                <w:i w:val="0"/>
                <w:color w:val="000000"/>
                <w:sz w:val="18"/>
              </w:rPr>
              <w:t>Granular audit trails for consultations, QR scans, admissions &amp; logins</w:t>
            </w:r>
          </w:p>
        </w:tc>
      </w:tr>
    </w:tbl>
    <w:p>
      <w:pPr>
        <w:spacing w:before="80" w:after="200"/>
        <w:jc w:val="center"/>
      </w:pPr>
      <w:r>
        <w:rPr>
          <w:rFonts w:ascii="Times New Roman" w:hAnsi="Times New Roman"/>
          <w:b/>
          <w:i w:val="0"/>
          <w:color w:val="000000"/>
          <w:sz w:val="22"/>
        </w:rPr>
        <w:t>Table 2.1: Comparative Analysis of Existing Healthcare Systems vs. Nexo Medico AI</w:t>
      </w:r>
    </w:p>
    <w:p>
      <w:r>
        <w:br w:type="page"/>
      </w:r>
    </w:p>
    <w:p>
      <w:pPr>
        <w:spacing w:before="240" w:after="160" w:line="240" w:lineRule="auto"/>
        <w:jc w:val="center"/>
      </w:pPr>
      <w:r>
        <w:rPr>
          <w:rFonts w:ascii="Times New Roman" w:hAnsi="Times New Roman"/>
          <w:b/>
          <w:i w:val="0"/>
          <w:color w:val="000000"/>
          <w:sz w:val="28"/>
        </w:rPr>
        <w:t>CHAPTER - 3</w:t>
        <w:br/>
        <w:t>REQUIREMENTS</w:t>
      </w:r>
    </w:p>
    <w:p>
      <w:pPr>
        <w:spacing w:before="200" w:after="40" w:line="276" w:lineRule="auto"/>
        <w:jc w:val="left"/>
      </w:pPr>
      <w:r>
        <w:rPr>
          <w:rFonts w:ascii="Times New Roman" w:hAnsi="Times New Roman"/>
          <w:b/>
          <w:i w:val="0"/>
          <w:color w:val="000000"/>
          <w:sz w:val="24"/>
        </w:rPr>
        <w:t>3.1 Software Requirements</w:t>
      </w:r>
    </w:p>
    <w:p>
      <w:pPr>
        <w:spacing w:before="0" w:after="80" w:line="360" w:lineRule="auto"/>
        <w:jc w:val="both"/>
      </w:pPr>
      <w:r>
        <w:rPr>
          <w:rFonts w:ascii="Times New Roman" w:hAnsi="Times New Roman"/>
          <w:b w:val="0"/>
          <w:i w:val="0"/>
          <w:color w:val="000000"/>
          <w:sz w:val="24"/>
        </w:rPr>
        <w:t>The NEXO MEDICO AI platform leverages a modern, distributed technology stack designed for high concurrency, strict data integrity, and cross-platform compatibility. The system architecture segregates responsibilities across client presentation, backend business logic, asynchronous AI inference, and database persistence. Table 3.1 delineates the minimum and recommended software specifications necessary to develop, execute, and host the platform.</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646"/>
        <w:gridCol w:w="2646"/>
        <w:gridCol w:w="2646"/>
      </w:tblGrid>
      <w:tr>
        <w:tc>
          <w:tcPr>
            <w:tcW w:type="dxa" w:w="2592"/>
            <w:tcMar>
              <w:top w:w="60" w:type="dxa"/>
              <w:bottom w:w="60" w:type="dxa"/>
              <w:left w:w="80" w:type="dxa"/>
              <w:right w:w="80" w:type="dxa"/>
            </w:tcMar>
            <w:shd w:fill="0284C7"/>
          </w:tcPr>
          <w:p>
            <w:pPr>
              <w:jc w:val="center"/>
            </w:pPr>
            <w:r>
              <w:rPr>
                <w:rFonts w:ascii="Times New Roman" w:hAnsi="Times New Roman"/>
                <w:b/>
                <w:i w:val="0"/>
                <w:color w:val="FFFFFF"/>
                <w:sz w:val="20"/>
              </w:rPr>
              <w:t>Software Layer / Component</w:t>
            </w:r>
          </w:p>
        </w:tc>
        <w:tc>
          <w:tcPr>
            <w:tcW w:type="dxa" w:w="2592"/>
            <w:tcMar>
              <w:top w:w="60" w:type="dxa"/>
              <w:bottom w:w="60" w:type="dxa"/>
              <w:left w:w="80" w:type="dxa"/>
              <w:right w:w="80" w:type="dxa"/>
            </w:tcMar>
            <w:shd w:fill="0284C7"/>
          </w:tcPr>
          <w:p>
            <w:pPr>
              <w:jc w:val="center"/>
            </w:pPr>
            <w:r>
              <w:rPr>
                <w:rFonts w:ascii="Times New Roman" w:hAnsi="Times New Roman"/>
                <w:b/>
                <w:i w:val="0"/>
                <w:color w:val="FFFFFF"/>
                <w:sz w:val="20"/>
              </w:rPr>
              <w:t>Minimum Requirement</w:t>
            </w:r>
          </w:p>
        </w:tc>
        <w:tc>
          <w:tcPr>
            <w:tcW w:type="dxa" w:w="2736"/>
            <w:tcMar>
              <w:top w:w="60" w:type="dxa"/>
              <w:bottom w:w="60" w:type="dxa"/>
              <w:left w:w="80" w:type="dxa"/>
              <w:right w:w="80" w:type="dxa"/>
            </w:tcMar>
            <w:shd w:fill="0284C7"/>
          </w:tcPr>
          <w:p>
            <w:pPr>
              <w:jc w:val="center"/>
            </w:pPr>
            <w:r>
              <w:rPr>
                <w:rFonts w:ascii="Times New Roman" w:hAnsi="Times New Roman"/>
                <w:b/>
                <w:i w:val="0"/>
                <w:color w:val="FFFFFF"/>
                <w:sz w:val="20"/>
              </w:rPr>
              <w:t>Recommended / Production Specification</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Operating System</w:t>
            </w:r>
          </w:p>
        </w:tc>
        <w:tc>
          <w:tcPr>
            <w:tcW w:type="dxa" w:w="2592"/>
            <w:tcMar>
              <w:top w:w="40" w:type="dxa"/>
              <w:bottom w:w="40" w:type="dxa"/>
              <w:left w:w="60" w:type="dxa"/>
              <w:right w:w="60" w:type="dxa"/>
            </w:tcMar>
            <w:shd w:fill="F8FAFC"/>
          </w:tcPr>
          <w:p>
            <w:pPr>
              <w:jc w:val="left"/>
            </w:pPr>
            <w:r>
              <w:rPr>
                <w:rFonts w:ascii="Times New Roman" w:hAnsi="Times New Roman"/>
                <w:b w:val="0"/>
                <w:i w:val="0"/>
                <w:color w:val="000000"/>
                <w:sz w:val="18"/>
              </w:rPr>
              <w:t>Windows 10 / Ubuntu 20.04 LTS / macOS 12</w:t>
            </w:r>
          </w:p>
        </w:tc>
        <w:tc>
          <w:tcPr>
            <w:tcW w:type="dxa" w:w="2736"/>
            <w:tcMar>
              <w:top w:w="40" w:type="dxa"/>
              <w:bottom w:w="40" w:type="dxa"/>
              <w:left w:w="60" w:type="dxa"/>
              <w:right w:w="60" w:type="dxa"/>
            </w:tcMar>
            <w:shd w:fill="F8FAFC"/>
          </w:tcPr>
          <w:p>
            <w:pPr>
              <w:jc w:val="left"/>
            </w:pPr>
            <w:r>
              <w:rPr>
                <w:rFonts w:ascii="Times New Roman" w:hAnsi="Times New Roman"/>
                <w:b w:val="0"/>
                <w:i w:val="0"/>
                <w:color w:val="000000"/>
                <w:sz w:val="18"/>
              </w:rPr>
              <w:t>Ubuntu 22.04 LTS Server / Debian 12 (Production)</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Frontend Framework</w:t>
            </w:r>
          </w:p>
        </w:tc>
        <w:tc>
          <w:tcPr>
            <w:tcW w:type="dxa" w:w="2592"/>
            <w:tcMar>
              <w:top w:w="40" w:type="dxa"/>
              <w:bottom w:w="40" w:type="dxa"/>
              <w:left w:w="60" w:type="dxa"/>
              <w:right w:w="60" w:type="dxa"/>
            </w:tcMar>
            <w:shd w:fill="FFFFFF"/>
          </w:tcPr>
          <w:p>
            <w:pPr>
              <w:jc w:val="left"/>
            </w:pPr>
            <w:r>
              <w:rPr>
                <w:rFonts w:ascii="Times New Roman" w:hAnsi="Times New Roman"/>
                <w:b w:val="0"/>
                <w:i w:val="0"/>
                <w:color w:val="000000"/>
                <w:sz w:val="18"/>
              </w:rPr>
              <w:t>Next.js 14.1 (React 18, TypeScript 5.0)</w:t>
            </w:r>
          </w:p>
        </w:tc>
        <w:tc>
          <w:tcPr>
            <w:tcW w:type="dxa" w:w="2736"/>
            <w:tcMar>
              <w:top w:w="40" w:type="dxa"/>
              <w:bottom w:w="40" w:type="dxa"/>
              <w:left w:w="60" w:type="dxa"/>
              <w:right w:w="60" w:type="dxa"/>
            </w:tcMar>
            <w:shd w:fill="FFFFFF"/>
          </w:tcPr>
          <w:p>
            <w:pPr>
              <w:jc w:val="left"/>
            </w:pPr>
            <w:r>
              <w:rPr>
                <w:rFonts w:ascii="Times New Roman" w:hAnsi="Times New Roman"/>
                <w:b w:val="0"/>
                <w:i w:val="0"/>
                <w:color w:val="000000"/>
                <w:sz w:val="18"/>
              </w:rPr>
              <w:t>Next.js 14.2+ App Router, Tailwind CSS 3.4</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Runtime Environment</w:t>
            </w:r>
          </w:p>
        </w:tc>
        <w:tc>
          <w:tcPr>
            <w:tcW w:type="dxa" w:w="2592"/>
            <w:tcMar>
              <w:top w:w="40" w:type="dxa"/>
              <w:bottom w:w="40" w:type="dxa"/>
              <w:left w:w="60" w:type="dxa"/>
              <w:right w:w="60" w:type="dxa"/>
            </w:tcMar>
            <w:shd w:fill="F8FAFC"/>
          </w:tcPr>
          <w:p>
            <w:pPr>
              <w:jc w:val="left"/>
            </w:pPr>
            <w:r>
              <w:rPr>
                <w:rFonts w:ascii="Times New Roman" w:hAnsi="Times New Roman"/>
                <w:b w:val="0"/>
                <w:i w:val="0"/>
                <w:color w:val="000000"/>
                <w:sz w:val="18"/>
              </w:rPr>
              <w:t>Node.js v18.17 LTS</w:t>
            </w:r>
          </w:p>
        </w:tc>
        <w:tc>
          <w:tcPr>
            <w:tcW w:type="dxa" w:w="2736"/>
            <w:tcMar>
              <w:top w:w="40" w:type="dxa"/>
              <w:bottom w:w="40" w:type="dxa"/>
              <w:left w:w="60" w:type="dxa"/>
              <w:right w:w="60" w:type="dxa"/>
            </w:tcMar>
            <w:shd w:fill="F8FAFC"/>
          </w:tcPr>
          <w:p>
            <w:pPr>
              <w:jc w:val="left"/>
            </w:pPr>
            <w:r>
              <w:rPr>
                <w:rFonts w:ascii="Times New Roman" w:hAnsi="Times New Roman"/>
                <w:b w:val="0"/>
                <w:i w:val="0"/>
                <w:color w:val="000000"/>
                <w:sz w:val="18"/>
              </w:rPr>
              <w:t>Node.js v20.12+ LTS (Active Long Term Support)</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Relational Database</w:t>
            </w:r>
          </w:p>
        </w:tc>
        <w:tc>
          <w:tcPr>
            <w:tcW w:type="dxa" w:w="2592"/>
            <w:tcMar>
              <w:top w:w="40" w:type="dxa"/>
              <w:bottom w:w="40" w:type="dxa"/>
              <w:left w:w="60" w:type="dxa"/>
              <w:right w:w="60" w:type="dxa"/>
            </w:tcMar>
            <w:shd w:fill="FFFFFF"/>
          </w:tcPr>
          <w:p>
            <w:pPr>
              <w:jc w:val="left"/>
            </w:pPr>
            <w:r>
              <w:rPr>
                <w:rFonts w:ascii="Times New Roman" w:hAnsi="Times New Roman"/>
                <w:b w:val="0"/>
                <w:i w:val="0"/>
                <w:color w:val="000000"/>
                <w:sz w:val="18"/>
              </w:rPr>
              <w:t>PostgreSQL 14.0</w:t>
            </w:r>
          </w:p>
        </w:tc>
        <w:tc>
          <w:tcPr>
            <w:tcW w:type="dxa" w:w="2736"/>
            <w:tcMar>
              <w:top w:w="40" w:type="dxa"/>
              <w:bottom w:w="40" w:type="dxa"/>
              <w:left w:w="60" w:type="dxa"/>
              <w:right w:w="60" w:type="dxa"/>
            </w:tcMar>
            <w:shd w:fill="FFFFFF"/>
          </w:tcPr>
          <w:p>
            <w:pPr>
              <w:jc w:val="left"/>
            </w:pPr>
            <w:r>
              <w:rPr>
                <w:rFonts w:ascii="Times New Roman" w:hAnsi="Times New Roman"/>
                <w:b w:val="0"/>
                <w:i w:val="0"/>
                <w:color w:val="000000"/>
                <w:sz w:val="18"/>
              </w:rPr>
              <w:t>PostgreSQL 15.6+ with connection pooler (PgBouncer)</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Database ORM</w:t>
            </w:r>
          </w:p>
        </w:tc>
        <w:tc>
          <w:tcPr>
            <w:tcW w:type="dxa" w:w="2592"/>
            <w:tcMar>
              <w:top w:w="40" w:type="dxa"/>
              <w:bottom w:w="40" w:type="dxa"/>
              <w:left w:w="60" w:type="dxa"/>
              <w:right w:w="60" w:type="dxa"/>
            </w:tcMar>
            <w:shd w:fill="F8FAFC"/>
          </w:tcPr>
          <w:p>
            <w:pPr>
              <w:jc w:val="left"/>
            </w:pPr>
            <w:r>
              <w:rPr>
                <w:rFonts w:ascii="Times New Roman" w:hAnsi="Times New Roman"/>
                <w:b w:val="0"/>
                <w:i w:val="0"/>
                <w:color w:val="000000"/>
                <w:sz w:val="18"/>
              </w:rPr>
              <w:t>Prisma ORM 5.10</w:t>
            </w:r>
          </w:p>
        </w:tc>
        <w:tc>
          <w:tcPr>
            <w:tcW w:type="dxa" w:w="2736"/>
            <w:tcMar>
              <w:top w:w="40" w:type="dxa"/>
              <w:bottom w:w="40" w:type="dxa"/>
              <w:left w:w="60" w:type="dxa"/>
              <w:right w:w="60" w:type="dxa"/>
            </w:tcMar>
            <w:shd w:fill="F8FAFC"/>
          </w:tcPr>
          <w:p>
            <w:pPr>
              <w:jc w:val="left"/>
            </w:pPr>
            <w:r>
              <w:rPr>
                <w:rFonts w:ascii="Times New Roman" w:hAnsi="Times New Roman"/>
                <w:b w:val="0"/>
                <w:i w:val="0"/>
                <w:color w:val="000000"/>
                <w:sz w:val="18"/>
              </w:rPr>
              <w:t>Prisma ORM 5.14+ with automated migration client</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AI Microservice Engine</w:t>
            </w:r>
          </w:p>
        </w:tc>
        <w:tc>
          <w:tcPr>
            <w:tcW w:type="dxa" w:w="2592"/>
            <w:tcMar>
              <w:top w:w="40" w:type="dxa"/>
              <w:bottom w:w="40" w:type="dxa"/>
              <w:left w:w="60" w:type="dxa"/>
              <w:right w:w="60" w:type="dxa"/>
            </w:tcMar>
            <w:shd w:fill="FFFFFF"/>
          </w:tcPr>
          <w:p>
            <w:pPr>
              <w:jc w:val="left"/>
            </w:pPr>
            <w:r>
              <w:rPr>
                <w:rFonts w:ascii="Times New Roman" w:hAnsi="Times New Roman"/>
                <w:b w:val="0"/>
                <w:i w:val="0"/>
                <w:color w:val="000000"/>
                <w:sz w:val="18"/>
              </w:rPr>
              <w:t>Python 3.10 with FastAPI 0.100+</w:t>
            </w:r>
          </w:p>
        </w:tc>
        <w:tc>
          <w:tcPr>
            <w:tcW w:type="dxa" w:w="2736"/>
            <w:tcMar>
              <w:top w:w="40" w:type="dxa"/>
              <w:bottom w:w="40" w:type="dxa"/>
              <w:left w:w="60" w:type="dxa"/>
              <w:right w:w="60" w:type="dxa"/>
            </w:tcMar>
            <w:shd w:fill="FFFFFF"/>
          </w:tcPr>
          <w:p>
            <w:pPr>
              <w:jc w:val="left"/>
            </w:pPr>
            <w:r>
              <w:rPr>
                <w:rFonts w:ascii="Times New Roman" w:hAnsi="Times New Roman"/>
                <w:b w:val="0"/>
                <w:i w:val="0"/>
                <w:color w:val="000000"/>
                <w:sz w:val="18"/>
              </w:rPr>
              <w:t>Python 3.11+ with FastAPI 0.110+, Uvicorn workers</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Machine Learning Libs</w:t>
            </w:r>
          </w:p>
        </w:tc>
        <w:tc>
          <w:tcPr>
            <w:tcW w:type="dxa" w:w="2592"/>
            <w:tcMar>
              <w:top w:w="40" w:type="dxa"/>
              <w:bottom w:w="40" w:type="dxa"/>
              <w:left w:w="60" w:type="dxa"/>
              <w:right w:w="60" w:type="dxa"/>
            </w:tcMar>
            <w:shd w:fill="F8FAFC"/>
          </w:tcPr>
          <w:p>
            <w:pPr>
              <w:jc w:val="left"/>
            </w:pPr>
            <w:r>
              <w:rPr>
                <w:rFonts w:ascii="Times New Roman" w:hAnsi="Times New Roman"/>
                <w:b w:val="0"/>
                <w:i w:val="0"/>
                <w:color w:val="000000"/>
                <w:sz w:val="18"/>
              </w:rPr>
              <w:t>Scikit-learn 1.3, SHAP 0.44</w:t>
            </w:r>
          </w:p>
        </w:tc>
        <w:tc>
          <w:tcPr>
            <w:tcW w:type="dxa" w:w="2736"/>
            <w:tcMar>
              <w:top w:w="40" w:type="dxa"/>
              <w:bottom w:w="40" w:type="dxa"/>
              <w:left w:w="60" w:type="dxa"/>
              <w:right w:w="60" w:type="dxa"/>
            </w:tcMar>
            <w:shd w:fill="F8FAFC"/>
          </w:tcPr>
          <w:p>
            <w:pPr>
              <w:jc w:val="left"/>
            </w:pPr>
            <w:r>
              <w:rPr>
                <w:rFonts w:ascii="Times New Roman" w:hAnsi="Times New Roman"/>
                <w:b w:val="0"/>
                <w:i w:val="0"/>
                <w:color w:val="000000"/>
                <w:sz w:val="18"/>
              </w:rPr>
              <w:t>Scikit-learn 1.4+, PyTorch 2.2, SHAP 0.45+, LIME</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OCR Ingestion Engine</w:t>
            </w:r>
          </w:p>
        </w:tc>
        <w:tc>
          <w:tcPr>
            <w:tcW w:type="dxa" w:w="2592"/>
            <w:tcMar>
              <w:top w:w="40" w:type="dxa"/>
              <w:bottom w:w="40" w:type="dxa"/>
              <w:left w:w="60" w:type="dxa"/>
              <w:right w:w="60" w:type="dxa"/>
            </w:tcMar>
            <w:shd w:fill="FFFFFF"/>
          </w:tcPr>
          <w:p>
            <w:pPr>
              <w:jc w:val="left"/>
            </w:pPr>
            <w:r>
              <w:rPr>
                <w:rFonts w:ascii="Times New Roman" w:hAnsi="Times New Roman"/>
                <w:b w:val="0"/>
                <w:i w:val="0"/>
                <w:color w:val="000000"/>
                <w:sz w:val="18"/>
              </w:rPr>
              <w:t>Tesseract OCR 5.0 / pytesseract</w:t>
            </w:r>
          </w:p>
        </w:tc>
        <w:tc>
          <w:tcPr>
            <w:tcW w:type="dxa" w:w="2736"/>
            <w:tcMar>
              <w:top w:w="40" w:type="dxa"/>
              <w:bottom w:w="40" w:type="dxa"/>
              <w:left w:w="60" w:type="dxa"/>
              <w:right w:w="60" w:type="dxa"/>
            </w:tcMar>
            <w:shd w:fill="FFFFFF"/>
          </w:tcPr>
          <w:p>
            <w:pPr>
              <w:jc w:val="left"/>
            </w:pPr>
            <w:r>
              <w:rPr>
                <w:rFonts w:ascii="Times New Roman" w:hAnsi="Times New Roman"/>
                <w:b w:val="0"/>
                <w:i w:val="0"/>
                <w:color w:val="000000"/>
                <w:sz w:val="18"/>
              </w:rPr>
              <w:t>Tesseract OCR 5.3+ / EasyOCR with CUDA acceleration</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SMTP Email Gateway</w:t>
            </w:r>
          </w:p>
        </w:tc>
        <w:tc>
          <w:tcPr>
            <w:tcW w:type="dxa" w:w="2592"/>
            <w:tcMar>
              <w:top w:w="40" w:type="dxa"/>
              <w:bottom w:w="40" w:type="dxa"/>
              <w:left w:w="60" w:type="dxa"/>
              <w:right w:w="60" w:type="dxa"/>
            </w:tcMar>
            <w:shd w:fill="F8FAFC"/>
          </w:tcPr>
          <w:p>
            <w:pPr>
              <w:jc w:val="left"/>
            </w:pPr>
            <w:r>
              <w:rPr>
                <w:rFonts w:ascii="Times New Roman" w:hAnsi="Times New Roman"/>
                <w:b w:val="0"/>
                <w:i w:val="0"/>
                <w:color w:val="000000"/>
                <w:sz w:val="18"/>
              </w:rPr>
              <w:t>Nodemailer 6.8 with SMTP port 587</w:t>
            </w:r>
          </w:p>
        </w:tc>
        <w:tc>
          <w:tcPr>
            <w:tcW w:type="dxa" w:w="2736"/>
            <w:tcMar>
              <w:top w:w="40" w:type="dxa"/>
              <w:bottom w:w="40" w:type="dxa"/>
              <w:left w:w="60" w:type="dxa"/>
              <w:right w:w="60" w:type="dxa"/>
            </w:tcMar>
            <w:shd w:fill="F8FAFC"/>
          </w:tcPr>
          <w:p>
            <w:pPr>
              <w:jc w:val="left"/>
            </w:pPr>
            <w:r>
              <w:rPr>
                <w:rFonts w:ascii="Times New Roman" w:hAnsi="Times New Roman"/>
                <w:b w:val="0"/>
                <w:i w:val="0"/>
                <w:color w:val="000000"/>
                <w:sz w:val="18"/>
              </w:rPr>
              <w:t>Nodemailer 6.9+ with Gmail SMTP TLS (Port 587 STARTTLS)</w:t>
            </w:r>
          </w:p>
        </w:tc>
      </w:tr>
    </w:tbl>
    <w:p>
      <w:pPr>
        <w:spacing w:before="80" w:after="200"/>
        <w:jc w:val="center"/>
      </w:pPr>
      <w:r>
        <w:rPr>
          <w:rFonts w:ascii="Times New Roman" w:hAnsi="Times New Roman"/>
          <w:b/>
          <w:i w:val="0"/>
          <w:color w:val="000000"/>
          <w:sz w:val="22"/>
        </w:rPr>
        <w:t>Table 3.1: Minimum &amp; Recommended Software Requirements</w:t>
      </w:r>
    </w:p>
    <w:p>
      <w:pPr>
        <w:spacing w:before="200" w:after="40" w:line="276" w:lineRule="auto"/>
        <w:jc w:val="left"/>
      </w:pPr>
      <w:r>
        <w:rPr>
          <w:rFonts w:ascii="Times New Roman" w:hAnsi="Times New Roman"/>
          <w:b/>
          <w:i w:val="0"/>
          <w:color w:val="000000"/>
          <w:sz w:val="24"/>
        </w:rPr>
        <w:t>3.2 Hardware Requirements</w:t>
      </w:r>
    </w:p>
    <w:p>
      <w:pPr>
        <w:spacing w:before="0" w:after="80" w:line="360" w:lineRule="auto"/>
        <w:jc w:val="both"/>
      </w:pPr>
      <w:r>
        <w:rPr>
          <w:rFonts w:ascii="Times New Roman" w:hAnsi="Times New Roman"/>
          <w:b w:val="0"/>
          <w:i w:val="0"/>
          <w:color w:val="000000"/>
          <w:sz w:val="24"/>
        </w:rPr>
        <w:t>The hardware specifications have been designed to ensure cost-effective local development while supporting high-throughput, low-latency concurrent execution in clinical hospital environments. The requirements are categorized into development workstations, production cloud server environments, and end-user clinical client terminals in Table 3.2.</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646"/>
        <w:gridCol w:w="2646"/>
        <w:gridCol w:w="2646"/>
      </w:tblGrid>
      <w:tr>
        <w:tc>
          <w:tcPr>
            <w:tcW w:type="dxa" w:w="2592"/>
            <w:tcMar>
              <w:top w:w="60" w:type="dxa"/>
              <w:bottom w:w="60" w:type="dxa"/>
              <w:left w:w="80" w:type="dxa"/>
              <w:right w:w="80" w:type="dxa"/>
            </w:tcMar>
            <w:shd w:fill="0284C7"/>
          </w:tcPr>
          <w:p>
            <w:pPr>
              <w:jc w:val="center"/>
            </w:pPr>
            <w:r>
              <w:rPr>
                <w:rFonts w:ascii="Times New Roman" w:hAnsi="Times New Roman"/>
                <w:b/>
                <w:i w:val="0"/>
                <w:color w:val="FFFFFF"/>
                <w:sz w:val="20"/>
              </w:rPr>
              <w:t>Hardware Category</w:t>
            </w:r>
          </w:p>
        </w:tc>
        <w:tc>
          <w:tcPr>
            <w:tcW w:type="dxa" w:w="2592"/>
            <w:tcMar>
              <w:top w:w="60" w:type="dxa"/>
              <w:bottom w:w="60" w:type="dxa"/>
              <w:left w:w="80" w:type="dxa"/>
              <w:right w:w="80" w:type="dxa"/>
            </w:tcMar>
            <w:shd w:fill="0284C7"/>
          </w:tcPr>
          <w:p>
            <w:pPr>
              <w:jc w:val="center"/>
            </w:pPr>
            <w:r>
              <w:rPr>
                <w:rFonts w:ascii="Times New Roman" w:hAnsi="Times New Roman"/>
                <w:b/>
                <w:i w:val="0"/>
                <w:color w:val="FFFFFF"/>
                <w:sz w:val="20"/>
              </w:rPr>
              <w:t>Minimum Specification</w:t>
            </w:r>
          </w:p>
        </w:tc>
        <w:tc>
          <w:tcPr>
            <w:tcW w:type="dxa" w:w="2736"/>
            <w:tcMar>
              <w:top w:w="60" w:type="dxa"/>
              <w:bottom w:w="60" w:type="dxa"/>
              <w:left w:w="80" w:type="dxa"/>
              <w:right w:w="80" w:type="dxa"/>
            </w:tcMar>
            <w:shd w:fill="0284C7"/>
          </w:tcPr>
          <w:p>
            <w:pPr>
              <w:jc w:val="center"/>
            </w:pPr>
            <w:r>
              <w:rPr>
                <w:rFonts w:ascii="Times New Roman" w:hAnsi="Times New Roman"/>
                <w:b/>
                <w:i w:val="0"/>
                <w:color w:val="FFFFFF"/>
                <w:sz w:val="20"/>
              </w:rPr>
              <w:t>Recommended Specification</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Development Workstation</w:t>
            </w:r>
          </w:p>
        </w:tc>
        <w:tc>
          <w:tcPr>
            <w:tcW w:type="dxa" w:w="2592"/>
            <w:tcMar>
              <w:top w:w="40" w:type="dxa"/>
              <w:bottom w:w="40" w:type="dxa"/>
              <w:left w:w="60" w:type="dxa"/>
              <w:right w:w="60" w:type="dxa"/>
            </w:tcMar>
            <w:shd w:fill="F8FAFC"/>
          </w:tcPr>
          <w:p>
            <w:pPr>
              <w:jc w:val="left"/>
            </w:pPr>
            <w:r>
              <w:rPr>
                <w:rFonts w:ascii="Times New Roman" w:hAnsi="Times New Roman"/>
                <w:b w:val="0"/>
                <w:i w:val="0"/>
                <w:color w:val="000000"/>
                <w:sz w:val="18"/>
              </w:rPr>
              <w:t>Intel Core i5 / AMD Ryzen 5 (4 Cores), 8 GB RAM, 256 GB SSD</w:t>
            </w:r>
          </w:p>
        </w:tc>
        <w:tc>
          <w:tcPr>
            <w:tcW w:type="dxa" w:w="2736"/>
            <w:tcMar>
              <w:top w:w="40" w:type="dxa"/>
              <w:bottom w:w="40" w:type="dxa"/>
              <w:left w:w="60" w:type="dxa"/>
              <w:right w:w="60" w:type="dxa"/>
            </w:tcMar>
            <w:shd w:fill="F8FAFC"/>
          </w:tcPr>
          <w:p>
            <w:pPr>
              <w:jc w:val="left"/>
            </w:pPr>
            <w:r>
              <w:rPr>
                <w:rFonts w:ascii="Times New Roman" w:hAnsi="Times New Roman"/>
                <w:b w:val="0"/>
                <w:i w:val="0"/>
                <w:color w:val="000000"/>
                <w:sz w:val="18"/>
              </w:rPr>
              <w:t>Intel Core i7 / Ryzen 7 (8+ Cores), 16+ GB RAM, 512 GB NVMe SSD</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Production Server (Host)</w:t>
            </w:r>
          </w:p>
        </w:tc>
        <w:tc>
          <w:tcPr>
            <w:tcW w:type="dxa" w:w="2592"/>
            <w:tcMar>
              <w:top w:w="40" w:type="dxa"/>
              <w:bottom w:w="40" w:type="dxa"/>
              <w:left w:w="60" w:type="dxa"/>
              <w:right w:w="60" w:type="dxa"/>
            </w:tcMar>
            <w:shd w:fill="FFFFFF"/>
          </w:tcPr>
          <w:p>
            <w:pPr>
              <w:jc w:val="left"/>
            </w:pPr>
            <w:r>
              <w:rPr>
                <w:rFonts w:ascii="Times New Roman" w:hAnsi="Times New Roman"/>
                <w:b w:val="0"/>
                <w:i w:val="0"/>
                <w:color w:val="000000"/>
                <w:sz w:val="18"/>
              </w:rPr>
              <w:t>4 vCPU Compute instances, 16 GB ECC RAM, 100 GB NVMe Storage</w:t>
            </w:r>
          </w:p>
        </w:tc>
        <w:tc>
          <w:tcPr>
            <w:tcW w:type="dxa" w:w="2736"/>
            <w:tcMar>
              <w:top w:w="40" w:type="dxa"/>
              <w:bottom w:w="40" w:type="dxa"/>
              <w:left w:w="60" w:type="dxa"/>
              <w:right w:w="60" w:type="dxa"/>
            </w:tcMar>
            <w:shd w:fill="FFFFFF"/>
          </w:tcPr>
          <w:p>
            <w:pPr>
              <w:jc w:val="left"/>
            </w:pPr>
            <w:r>
              <w:rPr>
                <w:rFonts w:ascii="Times New Roman" w:hAnsi="Times New Roman"/>
                <w:b w:val="0"/>
                <w:i w:val="0"/>
                <w:color w:val="000000"/>
                <w:sz w:val="18"/>
              </w:rPr>
              <w:t>8+ vCPU Compute, 32+ GB ECC RAM, 250+ GB Enterprise NVMe SSD</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Database Node</w:t>
            </w:r>
          </w:p>
        </w:tc>
        <w:tc>
          <w:tcPr>
            <w:tcW w:type="dxa" w:w="2592"/>
            <w:tcMar>
              <w:top w:w="40" w:type="dxa"/>
              <w:bottom w:w="40" w:type="dxa"/>
              <w:left w:w="60" w:type="dxa"/>
              <w:right w:w="60" w:type="dxa"/>
            </w:tcMar>
            <w:shd w:fill="F8FAFC"/>
          </w:tcPr>
          <w:p>
            <w:pPr>
              <w:jc w:val="left"/>
            </w:pPr>
            <w:r>
              <w:rPr>
                <w:rFonts w:ascii="Times New Roman" w:hAnsi="Times New Roman"/>
                <w:b w:val="0"/>
                <w:i w:val="0"/>
                <w:color w:val="000000"/>
                <w:sz w:val="18"/>
              </w:rPr>
              <w:t>2 vCPU, 8 GB RAM, 50 GB SSD with automated backups</w:t>
            </w:r>
          </w:p>
        </w:tc>
        <w:tc>
          <w:tcPr>
            <w:tcW w:type="dxa" w:w="2736"/>
            <w:tcMar>
              <w:top w:w="40" w:type="dxa"/>
              <w:bottom w:w="40" w:type="dxa"/>
              <w:left w:w="60" w:type="dxa"/>
              <w:right w:w="60" w:type="dxa"/>
            </w:tcMar>
            <w:shd w:fill="F8FAFC"/>
          </w:tcPr>
          <w:p>
            <w:pPr>
              <w:jc w:val="left"/>
            </w:pPr>
            <w:r>
              <w:rPr>
                <w:rFonts w:ascii="Times New Roman" w:hAnsi="Times New Roman"/>
                <w:b w:val="0"/>
                <w:i w:val="0"/>
                <w:color w:val="000000"/>
                <w:sz w:val="18"/>
              </w:rPr>
              <w:t>4 vCPU, 16 GB RAM, 100+ GB SSD with Multi-AZ replication</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AI Acceleration (Optional)</w:t>
            </w:r>
          </w:p>
        </w:tc>
        <w:tc>
          <w:tcPr>
            <w:tcW w:type="dxa" w:w="2592"/>
            <w:tcMar>
              <w:top w:w="40" w:type="dxa"/>
              <w:bottom w:w="40" w:type="dxa"/>
              <w:left w:w="60" w:type="dxa"/>
              <w:right w:w="60" w:type="dxa"/>
            </w:tcMar>
            <w:shd w:fill="FFFFFF"/>
          </w:tcPr>
          <w:p>
            <w:pPr>
              <w:jc w:val="left"/>
            </w:pPr>
            <w:r>
              <w:rPr>
                <w:rFonts w:ascii="Times New Roman" w:hAnsi="Times New Roman"/>
                <w:b w:val="0"/>
                <w:i w:val="0"/>
                <w:color w:val="000000"/>
                <w:sz w:val="18"/>
              </w:rPr>
              <w:t>CPU inference (AVX2/AVX-512 vector support)</w:t>
            </w:r>
          </w:p>
        </w:tc>
        <w:tc>
          <w:tcPr>
            <w:tcW w:type="dxa" w:w="2736"/>
            <w:tcMar>
              <w:top w:w="40" w:type="dxa"/>
              <w:bottom w:w="40" w:type="dxa"/>
              <w:left w:w="60" w:type="dxa"/>
              <w:right w:w="60" w:type="dxa"/>
            </w:tcMar>
            <w:shd w:fill="FFFFFF"/>
          </w:tcPr>
          <w:p>
            <w:pPr>
              <w:jc w:val="left"/>
            </w:pPr>
            <w:r>
              <w:rPr>
                <w:rFonts w:ascii="Times New Roman" w:hAnsi="Times New Roman"/>
                <w:b w:val="0"/>
                <w:i w:val="0"/>
                <w:color w:val="000000"/>
                <w:sz w:val="18"/>
              </w:rPr>
              <w:t>NVIDIA RTX 3060 / T4 GPU (12+ GB VRAM) for batch OCR &amp; imaging</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Client End-User Terminals</w:t>
            </w:r>
          </w:p>
        </w:tc>
        <w:tc>
          <w:tcPr>
            <w:tcW w:type="dxa" w:w="2592"/>
            <w:tcMar>
              <w:top w:w="40" w:type="dxa"/>
              <w:bottom w:w="40" w:type="dxa"/>
              <w:left w:w="60" w:type="dxa"/>
              <w:right w:w="60" w:type="dxa"/>
            </w:tcMar>
            <w:shd w:fill="F8FAFC"/>
          </w:tcPr>
          <w:p>
            <w:pPr>
              <w:jc w:val="left"/>
            </w:pPr>
            <w:r>
              <w:rPr>
                <w:rFonts w:ascii="Times New Roman" w:hAnsi="Times New Roman"/>
                <w:b w:val="0"/>
                <w:i w:val="0"/>
                <w:color w:val="000000"/>
                <w:sz w:val="18"/>
              </w:rPr>
              <w:t>Dual-core PC / Tablet / Smartphone with HTML5 browser, 2 Mbps internet</w:t>
            </w:r>
          </w:p>
        </w:tc>
        <w:tc>
          <w:tcPr>
            <w:tcW w:type="dxa" w:w="2736"/>
            <w:tcMar>
              <w:top w:w="40" w:type="dxa"/>
              <w:bottom w:w="40" w:type="dxa"/>
              <w:left w:w="60" w:type="dxa"/>
              <w:right w:w="60" w:type="dxa"/>
            </w:tcMar>
            <w:shd w:fill="F8FAFC"/>
          </w:tcPr>
          <w:p>
            <w:pPr>
              <w:jc w:val="left"/>
            </w:pPr>
            <w:r>
              <w:rPr>
                <w:rFonts w:ascii="Times New Roman" w:hAnsi="Times New Roman"/>
                <w:b w:val="0"/>
                <w:i w:val="0"/>
                <w:color w:val="000000"/>
                <w:sz w:val="18"/>
              </w:rPr>
              <w:t>Modern Core i3+ PC / 4G/5G mobile smartphone with camera for QR scan</w:t>
            </w:r>
          </w:p>
        </w:tc>
      </w:tr>
    </w:tbl>
    <w:p>
      <w:pPr>
        <w:spacing w:before="80" w:after="200"/>
        <w:jc w:val="center"/>
      </w:pPr>
      <w:r>
        <w:rPr>
          <w:rFonts w:ascii="Times New Roman" w:hAnsi="Times New Roman"/>
          <w:b/>
          <w:i w:val="0"/>
          <w:color w:val="000000"/>
          <w:sz w:val="22"/>
        </w:rPr>
        <w:t>Table 3.2: Minimum &amp; Recommended Hardware Specifications</w:t>
      </w:r>
    </w:p>
    <w:p>
      <w:r>
        <w:br w:type="page"/>
      </w:r>
    </w:p>
    <w:p>
      <w:pPr>
        <w:spacing w:before="240" w:after="160" w:line="240" w:lineRule="auto"/>
        <w:jc w:val="center"/>
      </w:pPr>
      <w:r>
        <w:rPr>
          <w:rFonts w:ascii="Times New Roman" w:hAnsi="Times New Roman"/>
          <w:b/>
          <w:i w:val="0"/>
          <w:color w:val="000000"/>
          <w:sz w:val="28"/>
        </w:rPr>
        <w:t>CHAPTER - 4</w:t>
        <w:br/>
        <w:t>DESIGN AND IMPLEMENTATION</w:t>
      </w:r>
    </w:p>
    <w:p>
      <w:pPr>
        <w:spacing w:before="200" w:after="40" w:line="276" w:lineRule="auto"/>
        <w:jc w:val="left"/>
      </w:pPr>
      <w:r>
        <w:rPr>
          <w:rFonts w:ascii="Times New Roman" w:hAnsi="Times New Roman"/>
          <w:b/>
          <w:i w:val="0"/>
          <w:color w:val="000000"/>
          <w:sz w:val="24"/>
        </w:rPr>
        <w:t>4.1 System Design</w:t>
      </w:r>
    </w:p>
    <w:p>
      <w:pPr>
        <w:spacing w:before="0" w:after="80" w:line="360" w:lineRule="auto"/>
        <w:jc w:val="both"/>
      </w:pPr>
      <w:r>
        <w:rPr>
          <w:rFonts w:ascii="Times New Roman" w:hAnsi="Times New Roman"/>
          <w:b w:val="0"/>
          <w:i w:val="0"/>
          <w:color w:val="000000"/>
          <w:sz w:val="24"/>
        </w:rPr>
        <w:t>The software architecture of NEXO MEDICO AI is engineered to fulfill rigorous clinical safety, low latency, and stringent privacy criteria. The system is designed using a decoupled, service-oriented multi-tier architectural pattern. To provide a complete technical and structural formalization of the platform, this section details the system architecture, modular decomposition, relational data schemas, behavioral interaction models, and deployment topologies across ten detailed design diagrams.</w:t>
      </w:r>
    </w:p>
    <w:p>
      <w:pPr>
        <w:spacing w:before="120" w:after="40" w:line="276" w:lineRule="auto"/>
        <w:jc w:val="left"/>
      </w:pPr>
      <w:r>
        <w:rPr>
          <w:rFonts w:ascii="Times New Roman" w:hAnsi="Times New Roman"/>
          <w:b/>
          <w:i/>
          <w:color w:val="000000"/>
          <w:sz w:val="24"/>
        </w:rPr>
        <w:t>4.1.1 System Architecture (Four-Tier Model)</w:t>
      </w:r>
    </w:p>
    <w:p>
      <w:pPr>
        <w:spacing w:before="0" w:after="80" w:line="360" w:lineRule="auto"/>
        <w:jc w:val="both"/>
      </w:pPr>
      <w:r>
        <w:rPr>
          <w:rFonts w:ascii="Times New Roman" w:hAnsi="Times New Roman"/>
          <w:b w:val="0"/>
          <w:i w:val="0"/>
          <w:color w:val="000000"/>
          <w:sz w:val="24"/>
        </w:rPr>
        <w:t>The foundational architecture of Nexo Medico AI is structured across four distinct functional tiers as illustrated in Figure 4.1: (1) Client Presentation Tier, (2) Application &amp; API Gateway Tier, (3) Business Logic &amp; AI Microservice Tier, and (4) Persistence &amp; Infrastructure Tier.</w:t>
        <w:br/>
        <w:br/>
        <w:t>The Client Tier delivers responsive interfaces tailored to eight clinical roles (patients, doctors, triage nurses, hospital administrators, pharmacists, laboratory technicians, system admins, and emergency first responders) via Next.js React Server Components and interactive client hooks. The Application Gateway Tier orchestrates session authentication, role-based access control (RBAC), and request dispatching. The Business Logic Tier decouples core transactional workflows (appointments, admissions, e-prescriptions) from compute-intensive artificial intelligence tasks, which execute in an asynchronous Python FastAPI microservice. The Persistence Tier leverages PostgreSQL 15 managed via Prisma ORM for relational integrity, complemented by external TLS-secured gateways for SMTP notifications.</w:t>
      </w:r>
    </w:p>
    <w:p>
      <w:pPr>
        <w:spacing w:before="80" w:after="40" w:line="240" w:lineRule="auto"/>
        <w:jc w:val="center"/>
      </w:pPr>
      <w:r>
        <w:drawing>
          <wp:inline xmlns:a="http://schemas.openxmlformats.org/drawingml/2006/main" xmlns:pic="http://schemas.openxmlformats.org/drawingml/2006/picture">
            <wp:extent cx="4206240" cy="2704011"/>
            <wp:docPr id="3" name="Picture 3"/>
            <wp:cNvGraphicFramePr>
              <a:graphicFrameLocks noChangeAspect="1"/>
            </wp:cNvGraphicFramePr>
            <a:graphic>
              <a:graphicData uri="http://schemas.openxmlformats.org/drawingml/2006/picture">
                <pic:pic>
                  <pic:nvPicPr>
                    <pic:cNvPr id="0" name="Fig_4_1_System_Architecture.png"/>
                    <pic:cNvPicPr/>
                  </pic:nvPicPr>
                  <pic:blipFill>
                    <a:blip r:embed="rId15"/>
                    <a:stretch>
                      <a:fillRect/>
                    </a:stretch>
                  </pic:blipFill>
                  <pic:spPr>
                    <a:xfrm>
                      <a:off x="0" y="0"/>
                      <a:ext cx="4206240" cy="2704011"/>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4.1: Four-Tier System Architecture of Nexo Medico AI</w:t>
      </w:r>
    </w:p>
    <w:p>
      <w:pPr>
        <w:spacing w:before="120" w:after="40" w:line="276" w:lineRule="auto"/>
        <w:jc w:val="left"/>
      </w:pPr>
      <w:r>
        <w:rPr>
          <w:rFonts w:ascii="Times New Roman" w:hAnsi="Times New Roman"/>
          <w:b/>
          <w:i/>
          <w:color w:val="000000"/>
          <w:sz w:val="24"/>
        </w:rPr>
        <w:t>4.1.2 Module Architecture and Inter-Subsystem Relationships</w:t>
      </w:r>
    </w:p>
    <w:p>
      <w:pPr>
        <w:spacing w:before="0" w:after="80" w:line="360" w:lineRule="auto"/>
        <w:jc w:val="both"/>
      </w:pPr>
      <w:r>
        <w:rPr>
          <w:rFonts w:ascii="Times New Roman" w:hAnsi="Times New Roman"/>
          <w:b w:val="0"/>
          <w:i w:val="0"/>
          <w:color w:val="000000"/>
          <w:sz w:val="24"/>
        </w:rPr>
        <w:t>The platform decomposes complex healthcare operations into eight specialized, loosely coupled modules illustrated in Figure 4.2: (1) Multi-Tenant Organization Core, managing tenant hospitals and cross-referrals; (2) User Management &amp; 2FA Engine, enforcing role-based access and SHA-256 hashed OTP challenges; (3) Universal Patient Health Passport, maintaining longitudinal consultations, vitals, and diagnoses; (4) Clinical Consultation &amp; E-Prescribing, providing doctor encounter notes and structured medication orders; (5) Explainable AI Decision Support (CDSS), executing disease classification and SHAP/LIME feature attributions; (6) Emergency QR ID System, generating unguessable cryptographic tokens for public triage; (7) Pharmacy &amp; Inventory Subsystem, managing pharmaceutical stocks and auto-dispensing; and (8) Laboratory Diagnostics &amp; OCR Ingestion, extracting clinical metrics from unstructured diagnostic reports.</w:t>
      </w:r>
    </w:p>
    <w:p>
      <w:pPr>
        <w:spacing w:before="80" w:after="40" w:line="240" w:lineRule="auto"/>
        <w:jc w:val="center"/>
      </w:pPr>
      <w:r>
        <w:drawing>
          <wp:inline xmlns:a="http://schemas.openxmlformats.org/drawingml/2006/main" xmlns:pic="http://schemas.openxmlformats.org/drawingml/2006/picture">
            <wp:extent cx="4206240" cy="2704011"/>
            <wp:docPr id="4" name="Picture 4"/>
            <wp:cNvGraphicFramePr>
              <a:graphicFrameLocks noChangeAspect="1"/>
            </wp:cNvGraphicFramePr>
            <a:graphic>
              <a:graphicData uri="http://schemas.openxmlformats.org/drawingml/2006/picture">
                <pic:pic>
                  <pic:nvPicPr>
                    <pic:cNvPr id="0" name="Fig_4_2_Module_Architecture.png"/>
                    <pic:cNvPicPr/>
                  </pic:nvPicPr>
                  <pic:blipFill>
                    <a:blip r:embed="rId16"/>
                    <a:stretch>
                      <a:fillRect/>
                    </a:stretch>
                  </pic:blipFill>
                  <pic:spPr>
                    <a:xfrm>
                      <a:off x="0" y="0"/>
                      <a:ext cx="4206240" cy="2704011"/>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4.2: Modular Subsystem Architecture and Functional Coupling</w:t>
      </w:r>
    </w:p>
    <w:p>
      <w:pPr>
        <w:spacing w:before="120" w:after="40" w:line="276" w:lineRule="auto"/>
        <w:jc w:val="left"/>
      </w:pPr>
      <w:r>
        <w:rPr>
          <w:rFonts w:ascii="Times New Roman" w:hAnsi="Times New Roman"/>
          <w:b/>
          <w:i/>
          <w:color w:val="000000"/>
          <w:sz w:val="24"/>
        </w:rPr>
        <w:t>4.1.3 Database Entity-Relationship Model (ERD)</w:t>
      </w:r>
    </w:p>
    <w:p>
      <w:pPr>
        <w:spacing w:before="0" w:after="80" w:line="360" w:lineRule="auto"/>
        <w:jc w:val="both"/>
      </w:pPr>
      <w:r>
        <w:rPr>
          <w:rFonts w:ascii="Times New Roman" w:hAnsi="Times New Roman"/>
          <w:b w:val="0"/>
          <w:i w:val="0"/>
          <w:color w:val="000000"/>
          <w:sz w:val="24"/>
        </w:rPr>
        <w:t>Figure 4.3 models the relational database schema implemented in PostgreSQL via Prisma ORM. The data model comprises 33 distinct relational entities organized to enforce multi-tenancy and audit compliance. At the root, the 'Hospital' entity establishes the multi-tenant boundary. Users possess distinct roles (PATIENT, DOCTOR, NURSE, PHARMACIST, LAB_TECH, ADMIN, SUPER_ADMIN). The 'Patient' entity anchors clinical encounters, linked to 'PatientEmergencyProfile' (storing emergency tokens, blood group, allergies, and contacts), 'Appointment', 'Consultation', 'Prescription', 'LabOrder', 'Admission', and 'AuditLog'. Strict foreign key constraints, cascading deletions where appropriate, and composite unique indexes guarantee referential integrity and millisecond query lookups.</w:t>
      </w:r>
    </w:p>
    <w:p>
      <w:pPr>
        <w:spacing w:before="80" w:after="40" w:line="240" w:lineRule="auto"/>
        <w:jc w:val="center"/>
      </w:pPr>
      <w:r>
        <w:drawing>
          <wp:inline xmlns:a="http://schemas.openxmlformats.org/drawingml/2006/main" xmlns:pic="http://schemas.openxmlformats.org/drawingml/2006/picture">
            <wp:extent cx="4206240" cy="2804160"/>
            <wp:docPr id="5" name="Picture 5"/>
            <wp:cNvGraphicFramePr>
              <a:graphicFrameLocks noChangeAspect="1"/>
            </wp:cNvGraphicFramePr>
            <a:graphic>
              <a:graphicData uri="http://schemas.openxmlformats.org/drawingml/2006/picture">
                <pic:pic>
                  <pic:nvPicPr>
                    <pic:cNvPr id="0" name="Fig_4_3_Database_ERD.png"/>
                    <pic:cNvPicPr/>
                  </pic:nvPicPr>
                  <pic:blipFill>
                    <a:blip r:embed="rId17"/>
                    <a:stretch>
                      <a:fillRect/>
                    </a:stretch>
                  </pic:blipFill>
                  <pic:spPr>
                    <a:xfrm>
                      <a:off x="0" y="0"/>
                      <a:ext cx="4206240" cy="2804160"/>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4.3: Entity-Relationship Diagram (ERD) of Nexo Medico AI Database</w:t>
      </w:r>
    </w:p>
    <w:p>
      <w:pPr>
        <w:spacing w:before="120" w:after="40" w:line="276" w:lineRule="auto"/>
        <w:jc w:val="left"/>
      </w:pPr>
      <w:r>
        <w:rPr>
          <w:rFonts w:ascii="Times New Roman" w:hAnsi="Times New Roman"/>
          <w:b/>
          <w:i/>
          <w:color w:val="000000"/>
          <w:sz w:val="24"/>
        </w:rPr>
        <w:t>4.1.4 Use Case Modeling across Healthcare Actors</w:t>
      </w:r>
    </w:p>
    <w:p>
      <w:pPr>
        <w:spacing w:before="0" w:after="80" w:line="360" w:lineRule="auto"/>
        <w:jc w:val="both"/>
      </w:pPr>
      <w:r>
        <w:rPr>
          <w:rFonts w:ascii="Times New Roman" w:hAnsi="Times New Roman"/>
          <w:b w:val="0"/>
          <w:i w:val="0"/>
          <w:color w:val="000000"/>
          <w:sz w:val="24"/>
        </w:rPr>
        <w:t>Figure 4.4 presents the comprehensive Use Case diagram capturing operational interactions between system actors and core modules. Primary actors include patients (demographic onboarding, 2FA, Universal EHR), doctors (clinical encounters, AI diagnostic triage, e-prescriptions), hospital admins (ward/bed allocation, staff roles), pharmacists (e-prescription dispensing, stock control), lab technicians (specimen diagnostics, OCR ingestion), and first responders (scanning Emergency QR IDs for rapid triage).</w:t>
      </w:r>
    </w:p>
    <w:p>
      <w:pPr>
        <w:spacing w:before="80" w:after="40" w:line="240" w:lineRule="auto"/>
        <w:jc w:val="center"/>
      </w:pPr>
      <w:r>
        <w:drawing>
          <wp:inline xmlns:a="http://schemas.openxmlformats.org/drawingml/2006/main" xmlns:pic="http://schemas.openxmlformats.org/drawingml/2006/picture">
            <wp:extent cx="4206240" cy="2704011"/>
            <wp:docPr id="6" name="Picture 6"/>
            <wp:cNvGraphicFramePr>
              <a:graphicFrameLocks noChangeAspect="1"/>
            </wp:cNvGraphicFramePr>
            <a:graphic>
              <a:graphicData uri="http://schemas.openxmlformats.org/drawingml/2006/picture">
                <pic:pic>
                  <pic:nvPicPr>
                    <pic:cNvPr id="0" name="Fig_4_4_Usecase_Diagram.png"/>
                    <pic:cNvPicPr/>
                  </pic:nvPicPr>
                  <pic:blipFill>
                    <a:blip r:embed="rId18"/>
                    <a:stretch>
                      <a:fillRect/>
                    </a:stretch>
                  </pic:blipFill>
                  <pic:spPr>
                    <a:xfrm>
                      <a:off x="0" y="0"/>
                      <a:ext cx="4206240" cy="2704011"/>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4.4: Use Case Diagram for Nexo Medico AI Multi-Actor Roles</w:t>
      </w:r>
    </w:p>
    <w:p>
      <w:pPr>
        <w:spacing w:before="120" w:after="40" w:line="276" w:lineRule="auto"/>
        <w:jc w:val="left"/>
      </w:pPr>
      <w:r>
        <w:rPr>
          <w:rFonts w:ascii="Times New Roman" w:hAnsi="Times New Roman"/>
          <w:b/>
          <w:i/>
          <w:color w:val="000000"/>
          <w:sz w:val="24"/>
        </w:rPr>
        <w:t>4.1.5 Data Flow Diagram (Level-1)</w:t>
      </w:r>
    </w:p>
    <w:p>
      <w:pPr>
        <w:spacing w:before="0" w:after="80" w:line="360" w:lineRule="auto"/>
        <w:jc w:val="both"/>
      </w:pPr>
      <w:r>
        <w:rPr>
          <w:rFonts w:ascii="Times New Roman" w:hAnsi="Times New Roman"/>
          <w:b w:val="0"/>
          <w:i w:val="0"/>
          <w:color w:val="000000"/>
          <w:sz w:val="24"/>
        </w:rPr>
        <w:t>Figure 4.5 traces the Level-1 Data Flow across system boundaries. Input payloads undergo schema sanitization before database persistence. When clinical diagnostic support is invoked, symptom and biomarker parameters are forwarded to the FastAPI microservice to compute inference probabilities and SHAP feature importance vectors, returning structured JSON results to the EHR interface.</w:t>
      </w:r>
    </w:p>
    <w:p>
      <w:pPr>
        <w:spacing w:before="80" w:after="40" w:line="240" w:lineRule="auto"/>
        <w:jc w:val="center"/>
      </w:pPr>
      <w:r>
        <w:drawing>
          <wp:inline xmlns:a="http://schemas.openxmlformats.org/drawingml/2006/main" xmlns:pic="http://schemas.openxmlformats.org/drawingml/2006/picture">
            <wp:extent cx="4206240" cy="2704011"/>
            <wp:docPr id="7" name="Picture 7"/>
            <wp:cNvGraphicFramePr>
              <a:graphicFrameLocks noChangeAspect="1"/>
            </wp:cNvGraphicFramePr>
            <a:graphic>
              <a:graphicData uri="http://schemas.openxmlformats.org/drawingml/2006/picture">
                <pic:pic>
                  <pic:nvPicPr>
                    <pic:cNvPr id="0" name="Fig_4_5_Data_Flow_Diagram_Level_1.png"/>
                    <pic:cNvPicPr/>
                  </pic:nvPicPr>
                  <pic:blipFill>
                    <a:blip r:embed="rId19"/>
                    <a:stretch>
                      <a:fillRect/>
                    </a:stretch>
                  </pic:blipFill>
                  <pic:spPr>
                    <a:xfrm>
                      <a:off x="0" y="0"/>
                      <a:ext cx="4206240" cy="2704011"/>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4.5: Level-1 Data Flow Diagram (DFD) Illustrating Ingestion &amp; Inference</w:t>
      </w:r>
    </w:p>
    <w:p>
      <w:pPr>
        <w:spacing w:before="120" w:after="40" w:line="276" w:lineRule="auto"/>
        <w:jc w:val="left"/>
      </w:pPr>
      <w:r>
        <w:rPr>
          <w:rFonts w:ascii="Times New Roman" w:hAnsi="Times New Roman"/>
          <w:b/>
          <w:i/>
          <w:color w:val="000000"/>
          <w:sz w:val="24"/>
        </w:rPr>
        <w:t>4.1.6 Sequence: Registration and Two-Factor Authentication</w:t>
      </w:r>
    </w:p>
    <w:p>
      <w:pPr>
        <w:spacing w:before="0" w:after="80" w:line="360" w:lineRule="auto"/>
        <w:jc w:val="both"/>
      </w:pPr>
      <w:r>
        <w:rPr>
          <w:rFonts w:ascii="Times New Roman" w:hAnsi="Times New Roman"/>
          <w:b w:val="0"/>
          <w:i w:val="0"/>
          <w:color w:val="000000"/>
          <w:sz w:val="24"/>
        </w:rPr>
        <w:t>Figure 4.6 delineates the sequence of interactions governing patient registration and 2FA. The server validates geographic inputs, generates a cryptographic 6-digit OTP, stores the SHA-256 hashed challenge in PostgreSQL, and dispatches the code via Gmail SMTP TLS. Upon modal confirmation, the account and emergency profile are committed to the database.</w:t>
      </w:r>
    </w:p>
    <w:p>
      <w:pPr>
        <w:spacing w:before="80" w:after="40" w:line="240" w:lineRule="auto"/>
        <w:jc w:val="center"/>
      </w:pPr>
      <w:r>
        <w:drawing>
          <wp:inline xmlns:a="http://schemas.openxmlformats.org/drawingml/2006/main" xmlns:pic="http://schemas.openxmlformats.org/drawingml/2006/picture">
            <wp:extent cx="4206240" cy="2704011"/>
            <wp:docPr id="8" name="Picture 8"/>
            <wp:cNvGraphicFramePr>
              <a:graphicFrameLocks noChangeAspect="1"/>
            </wp:cNvGraphicFramePr>
            <a:graphic>
              <a:graphicData uri="http://schemas.openxmlformats.org/drawingml/2006/picture">
                <pic:pic>
                  <pic:nvPicPr>
                    <pic:cNvPr id="0" name="Fig_4_6_Sequence_Registration_and_2FA.png"/>
                    <pic:cNvPicPr/>
                  </pic:nvPicPr>
                  <pic:blipFill>
                    <a:blip r:embed="rId20"/>
                    <a:stretch>
                      <a:fillRect/>
                    </a:stretch>
                  </pic:blipFill>
                  <pic:spPr>
                    <a:xfrm>
                      <a:off x="0" y="0"/>
                      <a:ext cx="4206240" cy="2704011"/>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4.6: Sequence Diagram for User Registration and 2FA OTP Verification</w:t>
      </w:r>
    </w:p>
    <w:p>
      <w:pPr>
        <w:spacing w:before="120" w:after="40" w:line="276" w:lineRule="auto"/>
        <w:jc w:val="left"/>
      </w:pPr>
      <w:r>
        <w:rPr>
          <w:rFonts w:ascii="Times New Roman" w:hAnsi="Times New Roman"/>
          <w:b/>
          <w:i/>
          <w:color w:val="000000"/>
          <w:sz w:val="24"/>
        </w:rPr>
        <w:t>4.1.7 Sequence: Emergency QR Scanning and Public Profile Resolution</w:t>
      </w:r>
    </w:p>
    <w:p>
      <w:pPr>
        <w:spacing w:before="0" w:after="80" w:line="360" w:lineRule="auto"/>
        <w:jc w:val="both"/>
      </w:pPr>
      <w:r>
        <w:rPr>
          <w:rFonts w:ascii="Times New Roman" w:hAnsi="Times New Roman"/>
          <w:b w:val="0"/>
          <w:i w:val="0"/>
          <w:color w:val="000000"/>
          <w:sz w:val="24"/>
        </w:rPr>
        <w:t>Figure 4.7 details the privacy-preserving Emergency QR workflow. Any mobile camera scans the QR token, querying `/api/emergency/qr/[token]`. The server validates syntax, queries PostgreSQL using the unique token index, and returns strictly lifesaving triage fields (blood group, allergies, emergency contacts) while strictly filtering out all confidential Protected Health Information.</w:t>
      </w:r>
    </w:p>
    <w:p>
      <w:pPr>
        <w:spacing w:before="80" w:after="40" w:line="240" w:lineRule="auto"/>
        <w:jc w:val="center"/>
      </w:pPr>
      <w:r>
        <w:drawing>
          <wp:inline xmlns:a="http://schemas.openxmlformats.org/drawingml/2006/main" xmlns:pic="http://schemas.openxmlformats.org/drawingml/2006/picture">
            <wp:extent cx="4206240" cy="2704011"/>
            <wp:docPr id="9" name="Picture 9"/>
            <wp:cNvGraphicFramePr>
              <a:graphicFrameLocks noChangeAspect="1"/>
            </wp:cNvGraphicFramePr>
            <a:graphic>
              <a:graphicData uri="http://schemas.openxmlformats.org/drawingml/2006/picture">
                <pic:pic>
                  <pic:nvPicPr>
                    <pic:cNvPr id="0" name="Fig_4_7_Sequence_Emergency_QR_Workflow.png"/>
                    <pic:cNvPicPr/>
                  </pic:nvPicPr>
                  <pic:blipFill>
                    <a:blip r:embed="rId21"/>
                    <a:stretch>
                      <a:fillRect/>
                    </a:stretch>
                  </pic:blipFill>
                  <pic:spPr>
                    <a:xfrm>
                      <a:off x="0" y="0"/>
                      <a:ext cx="4206240" cy="2704011"/>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4.7: Sequence Diagram for Emergency QR Scanning and Profile Resolution</w:t>
      </w:r>
    </w:p>
    <w:p>
      <w:pPr>
        <w:spacing w:before="120" w:after="40" w:line="276" w:lineRule="auto"/>
        <w:jc w:val="left"/>
      </w:pPr>
      <w:r>
        <w:rPr>
          <w:rFonts w:ascii="Times New Roman" w:hAnsi="Times New Roman"/>
          <w:b/>
          <w:i/>
          <w:color w:val="000000"/>
          <w:sz w:val="24"/>
        </w:rPr>
        <w:t>4.1.8 Sequence: AI Clinical Decision Support with SHAP Explanation</w:t>
      </w:r>
    </w:p>
    <w:p>
      <w:pPr>
        <w:spacing w:before="0" w:after="80" w:line="360" w:lineRule="auto"/>
        <w:jc w:val="both"/>
      </w:pPr>
      <w:r>
        <w:rPr>
          <w:rFonts w:ascii="Times New Roman" w:hAnsi="Times New Roman"/>
          <w:b w:val="0"/>
          <w:i w:val="0"/>
          <w:color w:val="000000"/>
          <w:sz w:val="24"/>
        </w:rPr>
        <w:t>Figure 4.8 illustrates the execution flow of the Explainable CDSS. The physician inputs clinical biomarkers during a consultation. The Next.js backend forwards features to FastAPI endpoint `/api/predict/disease`. The microservice evaluates ensemble pipelines, computes SHAP feature importance attributions, and returns calibrated disease risks alongside transparent biomarker weights.</w:t>
      </w:r>
    </w:p>
    <w:p>
      <w:pPr>
        <w:spacing w:before="80" w:after="40" w:line="240" w:lineRule="auto"/>
        <w:jc w:val="center"/>
      </w:pPr>
      <w:r>
        <w:drawing>
          <wp:inline xmlns:a="http://schemas.openxmlformats.org/drawingml/2006/main" xmlns:pic="http://schemas.openxmlformats.org/drawingml/2006/picture">
            <wp:extent cx="4206240" cy="2704011"/>
            <wp:docPr id="10" name="Picture 10"/>
            <wp:cNvGraphicFramePr>
              <a:graphicFrameLocks noChangeAspect="1"/>
            </wp:cNvGraphicFramePr>
            <a:graphic>
              <a:graphicData uri="http://schemas.openxmlformats.org/drawingml/2006/picture">
                <pic:pic>
                  <pic:nvPicPr>
                    <pic:cNvPr id="0" name="Fig_4_8_Sequence_Clinical_Decision_Support.png"/>
                    <pic:cNvPicPr/>
                  </pic:nvPicPr>
                  <pic:blipFill>
                    <a:blip r:embed="rId22"/>
                    <a:stretch>
                      <a:fillRect/>
                    </a:stretch>
                  </pic:blipFill>
                  <pic:spPr>
                    <a:xfrm>
                      <a:off x="0" y="0"/>
                      <a:ext cx="4206240" cy="2704011"/>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4.8: Sequence Diagram for Explainable Clinical Decision Support (CDSS)</w:t>
      </w:r>
    </w:p>
    <w:p>
      <w:pPr>
        <w:spacing w:before="120" w:after="40" w:line="276" w:lineRule="auto"/>
        <w:jc w:val="left"/>
      </w:pPr>
      <w:r>
        <w:rPr>
          <w:rFonts w:ascii="Times New Roman" w:hAnsi="Times New Roman"/>
          <w:b/>
          <w:i/>
          <w:color w:val="000000"/>
          <w:sz w:val="24"/>
        </w:rPr>
        <w:t>4.1.9 Activity Diagram: Emergency Triage and Inpatient Admission</w:t>
      </w:r>
    </w:p>
    <w:p>
      <w:pPr>
        <w:spacing w:before="0" w:after="80" w:line="360" w:lineRule="auto"/>
        <w:jc w:val="both"/>
      </w:pPr>
      <w:r>
        <w:rPr>
          <w:rFonts w:ascii="Times New Roman" w:hAnsi="Times New Roman"/>
          <w:b w:val="0"/>
          <w:i w:val="0"/>
          <w:color w:val="000000"/>
          <w:sz w:val="24"/>
        </w:rPr>
        <w:t>Figure 4.9 models the end-to-end activity workflow during acute emergency triage. First responders scan the Emergency QR ID to retrieve critical allergies and blood group. Upon hospital arrival, triage nurses record vitals, doctors perform consultations supported by CDSS risk scores, and administrators allocate inpatient beds in the appropriate ward.</w:t>
      </w:r>
    </w:p>
    <w:p>
      <w:pPr>
        <w:spacing w:before="80" w:after="40" w:line="240" w:lineRule="auto"/>
        <w:jc w:val="center"/>
      </w:pPr>
      <w:r>
        <w:drawing>
          <wp:inline xmlns:a="http://schemas.openxmlformats.org/drawingml/2006/main" xmlns:pic="http://schemas.openxmlformats.org/drawingml/2006/picture">
            <wp:extent cx="4206240" cy="2912012"/>
            <wp:docPr id="11" name="Picture 11"/>
            <wp:cNvGraphicFramePr>
              <a:graphicFrameLocks noChangeAspect="1"/>
            </wp:cNvGraphicFramePr>
            <a:graphic>
              <a:graphicData uri="http://schemas.openxmlformats.org/drawingml/2006/picture">
                <pic:pic>
                  <pic:nvPicPr>
                    <pic:cNvPr id="0" name="Fig_4_9_Activity_Emergency_Triage.png"/>
                    <pic:cNvPicPr/>
                  </pic:nvPicPr>
                  <pic:blipFill>
                    <a:blip r:embed="rId23"/>
                    <a:stretch>
                      <a:fillRect/>
                    </a:stretch>
                  </pic:blipFill>
                  <pic:spPr>
                    <a:xfrm>
                      <a:off x="0" y="0"/>
                      <a:ext cx="4206240" cy="2912012"/>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4.9: Activity Diagram for Emergency Triage and Inpatient Care Pathways</w:t>
      </w:r>
    </w:p>
    <w:p>
      <w:pPr>
        <w:spacing w:before="120" w:after="40" w:line="276" w:lineRule="auto"/>
        <w:jc w:val="left"/>
      </w:pPr>
      <w:r>
        <w:rPr>
          <w:rFonts w:ascii="Times New Roman" w:hAnsi="Times New Roman"/>
          <w:b/>
          <w:i/>
          <w:color w:val="000000"/>
          <w:sz w:val="24"/>
        </w:rPr>
        <w:t>4.1.10 Deployment Diagram (Containerized Infrastructure Topology)</w:t>
      </w:r>
    </w:p>
    <w:p>
      <w:pPr>
        <w:spacing w:before="0" w:after="80" w:line="360" w:lineRule="auto"/>
        <w:jc w:val="both"/>
      </w:pPr>
      <w:r>
        <w:rPr>
          <w:rFonts w:ascii="Times New Roman" w:hAnsi="Times New Roman"/>
          <w:b w:val="0"/>
          <w:i w:val="0"/>
          <w:color w:val="000000"/>
          <w:sz w:val="24"/>
        </w:rPr>
        <w:t>Figure 4.10 illustrates the production deployment topology. An Nginx reverse proxy terminates external TLS connections and directs traffic to Next.js on port 3000. Next.js communicates internally with PostgreSQL 15 on port 5432 and forwards machine learning requests to FastAPI on port 8000. Transactional emails are dispatched to Google SMTP over TLS on port 587 within a secure internal Docker network.</w:t>
      </w:r>
    </w:p>
    <w:p>
      <w:pPr>
        <w:spacing w:before="80" w:after="40" w:line="240" w:lineRule="auto"/>
        <w:jc w:val="center"/>
      </w:pPr>
      <w:r>
        <w:drawing>
          <wp:inline xmlns:a="http://schemas.openxmlformats.org/drawingml/2006/main" xmlns:pic="http://schemas.openxmlformats.org/drawingml/2006/picture">
            <wp:extent cx="4206240" cy="2704011"/>
            <wp:docPr id="12" name="Picture 12"/>
            <wp:cNvGraphicFramePr>
              <a:graphicFrameLocks noChangeAspect="1"/>
            </wp:cNvGraphicFramePr>
            <a:graphic>
              <a:graphicData uri="http://schemas.openxmlformats.org/drawingml/2006/picture">
                <pic:pic>
                  <pic:nvPicPr>
                    <pic:cNvPr id="0" name="Fig_4_10_Deployment_Diagram.png"/>
                    <pic:cNvPicPr/>
                  </pic:nvPicPr>
                  <pic:blipFill>
                    <a:blip r:embed="rId24"/>
                    <a:stretch>
                      <a:fillRect/>
                    </a:stretch>
                  </pic:blipFill>
                  <pic:spPr>
                    <a:xfrm>
                      <a:off x="0" y="0"/>
                      <a:ext cx="4206240" cy="2704011"/>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4.10: Production Containerized Deployment Topology and Network Architecture</w:t>
      </w:r>
    </w:p>
    <w:p>
      <w:pPr>
        <w:spacing w:before="200" w:after="40" w:line="276" w:lineRule="auto"/>
        <w:jc w:val="left"/>
      </w:pPr>
      <w:r>
        <w:rPr>
          <w:rFonts w:ascii="Times New Roman" w:hAnsi="Times New Roman"/>
          <w:b/>
          <w:i w:val="0"/>
          <w:color w:val="000000"/>
          <w:sz w:val="24"/>
        </w:rPr>
        <w:t>4.2 System Implementation Details</w:t>
      </w:r>
    </w:p>
    <w:p>
      <w:pPr>
        <w:spacing w:before="0" w:after="80" w:line="360" w:lineRule="auto"/>
        <w:jc w:val="both"/>
      </w:pPr>
      <w:r>
        <w:rPr>
          <w:rFonts w:ascii="Times New Roman" w:hAnsi="Times New Roman"/>
          <w:b w:val="0"/>
          <w:i w:val="0"/>
          <w:color w:val="000000"/>
          <w:sz w:val="24"/>
        </w:rPr>
        <w:t>Implementation of Nexo Medico AI adheres to modern full-stack engineering standards, prioritizing modularity, type safety, asynchronous concurrency, and strict data privacy. The following subsections detail the implementation of core architectural pillars:</w:t>
      </w:r>
    </w:p>
    <w:p>
      <w:pPr>
        <w:spacing w:before="60" w:after="100" w:line="360" w:lineRule="auto"/>
        <w:jc w:val="both"/>
      </w:pPr>
      <w:r>
        <w:rPr>
          <w:rFonts w:ascii="Times New Roman" w:hAnsi="Times New Roman"/>
          <w:b/>
          <w:i w:val="0"/>
          <w:color w:val="000000"/>
          <w:sz w:val="24"/>
        </w:rPr>
        <w:t xml:space="preserve">4.2.1 Next.js 14 App Router and Server Actions: </w:t>
      </w:r>
      <w:r>
        <w:rPr>
          <w:rFonts w:ascii="Times New Roman" w:hAnsi="Times New Roman"/>
          <w:b w:val="0"/>
          <w:i w:val="0"/>
          <w:color w:val="000000"/>
          <w:sz w:val="24"/>
        </w:rPr>
        <w:t>The frontend and API gateway layer is implemented using Next.js 14 with the App Router architecture. Leveraging React Server Components (RSC), pages fetch relational data directly on the server without client-side waterfalls, reducing First Contentful Paint (FCP) to under 300ms. State-heavy interactive components—such as dynamic prescription authoring, live ward bed occupancy boards, and interactive SHAP visualization charts—are rendered as Client Components with optimized React hooks (`useState`, `useCallback`, `useMemo`). Server Actions and route handlers enforce strict input validation using TypeScript types and Zod schemas.</w:t>
      </w:r>
    </w:p>
    <w:p>
      <w:pPr>
        <w:spacing w:before="60" w:after="100" w:line="360" w:lineRule="auto"/>
        <w:jc w:val="both"/>
      </w:pPr>
      <w:r>
        <w:rPr>
          <w:rFonts w:ascii="Times New Roman" w:hAnsi="Times New Roman"/>
          <w:b/>
          <w:i w:val="0"/>
          <w:color w:val="000000"/>
          <w:sz w:val="24"/>
        </w:rPr>
        <w:t xml:space="preserve">4.2.2 Prisma ORM and Multi-Tenant PostgreSQL Schema: </w:t>
      </w:r>
      <w:r>
        <w:rPr>
          <w:rFonts w:ascii="Times New Roman" w:hAnsi="Times New Roman"/>
          <w:b w:val="0"/>
          <w:i w:val="0"/>
          <w:color w:val="000000"/>
          <w:sz w:val="24"/>
        </w:rPr>
        <w:t>The data persistence layer is engineered with Prisma ORM 5.14 interfacing with PostgreSQL 15. Multi-tenancy is enforced at the schema level through tenant identifier keys (`hospitalId`) present on all hospital-bound models (Users, Wards, Beds, Admissions, Consultations). Cross-hospital portability is achieved through the independent `Patient` entity, which maintains a Universal Patient Health ID (UPHID) linking longitudinal medical history across hospital boundaries upon patient authorization. Automated migrations manage database versioning.</w:t>
      </w:r>
    </w:p>
    <w:p>
      <w:pPr>
        <w:spacing w:before="60" w:after="100" w:line="360" w:lineRule="auto"/>
        <w:jc w:val="both"/>
      </w:pPr>
      <w:r>
        <w:rPr>
          <w:rFonts w:ascii="Times New Roman" w:hAnsi="Times New Roman"/>
          <w:b/>
          <w:i w:val="0"/>
          <w:color w:val="000000"/>
          <w:sz w:val="24"/>
        </w:rPr>
        <w:t xml:space="preserve">4.2.3 Asynchronous Python FastAPI AI Microservice: </w:t>
      </w:r>
      <w:r>
        <w:rPr>
          <w:rFonts w:ascii="Times New Roman" w:hAnsi="Times New Roman"/>
          <w:b w:val="0"/>
          <w:i w:val="0"/>
          <w:color w:val="000000"/>
          <w:sz w:val="24"/>
        </w:rPr>
        <w:t>Machine learning pipelines are implemented in a standalone Python 3.11 FastAPI microservice. The service defines strict Pydantic v2 schemas for clinical feature inputs and inference responses. To support explainable AI, Scikit-learn ensemble models (RandomForest and GradientBoosting) are wrapped with the SHAP (SHapley Additive exPlanations) TreeExplainer library. When an inference request is received, the microservice calculates both marginal disease probability and the Shapley contribution value for each physiological variable, returning structured explanations in under 40 milliseconds.</w:t>
      </w:r>
    </w:p>
    <w:p>
      <w:pPr>
        <w:spacing w:before="60" w:after="100" w:line="360" w:lineRule="auto"/>
        <w:jc w:val="both"/>
      </w:pPr>
      <w:r>
        <w:rPr>
          <w:rFonts w:ascii="Times New Roman" w:hAnsi="Times New Roman"/>
          <w:b/>
          <w:i w:val="0"/>
          <w:color w:val="000000"/>
          <w:sz w:val="24"/>
        </w:rPr>
        <w:t xml:space="preserve">4.2.4 Real-World Gmail SMTP Gateway &amp; 2FA Engine: </w:t>
      </w:r>
      <w:r>
        <w:rPr>
          <w:rFonts w:ascii="Times New Roman" w:hAnsi="Times New Roman"/>
          <w:b w:val="0"/>
          <w:i w:val="0"/>
          <w:color w:val="000000"/>
          <w:sz w:val="24"/>
        </w:rPr>
        <w:t>Identity verification is implemented via a dedicated email verification pipeline in `src/lib/email-service.ts`. The service connects to `smtp.gmail.com` via Nodemailer over port 587 with STARTTLS encryption. OTP challenges are generated as 6-digit cryptographically random integers, hashed using SHA-256 before persistence in PostgreSQL, and set with a 10-minute time-to-live (TTL). The verification handler compares hashes in constant time to prevent timing attacks, invalidating the challenge immediately upon successful verification.</w:t>
      </w:r>
    </w:p>
    <w:p>
      <w:pPr>
        <w:spacing w:before="60" w:after="100" w:line="360" w:lineRule="auto"/>
        <w:jc w:val="both"/>
      </w:pPr>
      <w:r>
        <w:rPr>
          <w:rFonts w:ascii="Times New Roman" w:hAnsi="Times New Roman"/>
          <w:b/>
          <w:i w:val="0"/>
          <w:color w:val="000000"/>
          <w:sz w:val="24"/>
        </w:rPr>
        <w:t xml:space="preserve">4.2.5 Unguessable Tokenized Emergency QR Architecture: </w:t>
      </w:r>
      <w:r>
        <w:rPr>
          <w:rFonts w:ascii="Times New Roman" w:hAnsi="Times New Roman"/>
          <w:b w:val="0"/>
          <w:i w:val="0"/>
          <w:color w:val="000000"/>
          <w:sz w:val="24"/>
        </w:rPr>
        <w:t>The Emergency QR system generates unguessable, 64-character hexadecimal tokens using Node.js `crypto.randomBytes(32)`. The token is stored in the `PatientEmergencyProfile` table with a unique B-tree index. Public emergency profile queries at `/api/emergency/qr/[token]` bypass session cookies, querying solely by token. The database projection explicitly omits confidential patient fields, selecting only `bloodGroup`, `allergies`, `chronicConditions`, `emergencyContactName`, and `emergencyContactPhone`, guaranteeing zero leakage of Protected Health Information.</w:t>
      </w:r>
    </w:p>
    <w:p>
      <w:pPr>
        <w:spacing w:before="200" w:after="40" w:line="276" w:lineRule="auto"/>
        <w:jc w:val="left"/>
      </w:pPr>
      <w:r>
        <w:rPr>
          <w:rFonts w:ascii="Times New Roman" w:hAnsi="Times New Roman"/>
          <w:b/>
          <w:i w:val="0"/>
          <w:color w:val="000000"/>
          <w:sz w:val="24"/>
        </w:rPr>
        <w:t>4.3 Testing Methodology &amp; Empirical Evidence</w:t>
      </w:r>
    </w:p>
    <w:p>
      <w:pPr>
        <w:spacing w:before="0" w:after="80" w:line="360" w:lineRule="auto"/>
        <w:jc w:val="both"/>
      </w:pPr>
      <w:r>
        <w:rPr>
          <w:rFonts w:ascii="Times New Roman" w:hAnsi="Times New Roman"/>
          <w:b w:val="0"/>
          <w:i w:val="0"/>
          <w:color w:val="000000"/>
          <w:sz w:val="24"/>
        </w:rPr>
        <w:t>To verify system robustness, security, and performance, Nexo Medico AI was evaluated against an exhaustive test plan comprising eleven test suites (TS-01 through TS-11). Testing encompassed unit verification of utility functions, database transactional integrity, API integration, 2FA OTP delivery over live Gmail SMTP, emergency QR token resolution, and AI inference latency. Table 4.1 summarizes the executed test suites, their target subsystems, validation criteria, and execution outcomes.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4"/>
        <w:gridCol w:w="1984"/>
        <w:gridCol w:w="1984"/>
        <w:gridCol w:w="1984"/>
      </w:tblGrid>
      <w:tr>
        <w:tc>
          <w:tcPr>
            <w:tcW w:type="dxa" w:w="1296"/>
            <w:tcMar>
              <w:top w:w="60" w:type="dxa"/>
              <w:bottom w:w="60" w:type="dxa"/>
              <w:left w:w="80" w:type="dxa"/>
              <w:right w:w="80" w:type="dxa"/>
            </w:tcMar>
            <w:shd w:fill="0284C7"/>
          </w:tcPr>
          <w:p>
            <w:pPr>
              <w:jc w:val="center"/>
            </w:pPr>
            <w:r>
              <w:rPr>
                <w:rFonts w:ascii="Times New Roman" w:hAnsi="Times New Roman"/>
                <w:b/>
                <w:i w:val="0"/>
                <w:color w:val="FFFFFF"/>
                <w:sz w:val="19"/>
              </w:rPr>
              <w:t>Suite ID</w:t>
            </w:r>
          </w:p>
        </w:tc>
        <w:tc>
          <w:tcPr>
            <w:tcW w:type="dxa" w:w="2016"/>
            <w:tcMar>
              <w:top w:w="60" w:type="dxa"/>
              <w:bottom w:w="60" w:type="dxa"/>
              <w:left w:w="80" w:type="dxa"/>
              <w:right w:w="80" w:type="dxa"/>
            </w:tcMar>
            <w:shd w:fill="0284C7"/>
          </w:tcPr>
          <w:p>
            <w:pPr>
              <w:jc w:val="center"/>
            </w:pPr>
            <w:r>
              <w:rPr>
                <w:rFonts w:ascii="Times New Roman" w:hAnsi="Times New Roman"/>
                <w:b/>
                <w:i w:val="0"/>
                <w:color w:val="FFFFFF"/>
                <w:sz w:val="19"/>
              </w:rPr>
              <w:t>Subsystem Under Test</w:t>
            </w:r>
          </w:p>
        </w:tc>
        <w:tc>
          <w:tcPr>
            <w:tcW w:type="dxa" w:w="3456"/>
            <w:tcMar>
              <w:top w:w="60" w:type="dxa"/>
              <w:bottom w:w="60" w:type="dxa"/>
              <w:left w:w="80" w:type="dxa"/>
              <w:right w:w="80" w:type="dxa"/>
            </w:tcMar>
            <w:shd w:fill="0284C7"/>
          </w:tcPr>
          <w:p>
            <w:pPr>
              <w:jc w:val="center"/>
            </w:pPr>
            <w:r>
              <w:rPr>
                <w:rFonts w:ascii="Times New Roman" w:hAnsi="Times New Roman"/>
                <w:b/>
                <w:i w:val="0"/>
                <w:color w:val="FFFFFF"/>
                <w:sz w:val="19"/>
              </w:rPr>
              <w:t>Validation Objective &amp; Test Scope</w:t>
            </w:r>
          </w:p>
        </w:tc>
        <w:tc>
          <w:tcPr>
            <w:tcW w:type="dxa" w:w="1152"/>
            <w:tcMar>
              <w:top w:w="60" w:type="dxa"/>
              <w:bottom w:w="60" w:type="dxa"/>
              <w:left w:w="80" w:type="dxa"/>
              <w:right w:w="80" w:type="dxa"/>
            </w:tcMar>
            <w:shd w:fill="0284C7"/>
          </w:tcPr>
          <w:p>
            <w:pPr>
              <w:jc w:val="center"/>
            </w:pPr>
            <w:r>
              <w:rPr>
                <w:rFonts w:ascii="Times New Roman" w:hAnsi="Times New Roman"/>
                <w:b/>
                <w:i w:val="0"/>
                <w:color w:val="FFFFFF"/>
                <w:sz w:val="19"/>
              </w:rPr>
              <w:t>Status</w:t>
            </w:r>
          </w:p>
        </w:tc>
      </w:tr>
      <w:tr>
        <w:tc>
          <w:tcPr>
            <w:tcW w:type="dxa" w:w="1296"/>
            <w:tcMar>
              <w:top w:w="40" w:type="dxa"/>
              <w:bottom w:w="40" w:type="dxa"/>
              <w:left w:w="60" w:type="dxa"/>
              <w:right w:w="60" w:type="dxa"/>
            </w:tcMar>
            <w:shd w:fill="F8FAFC"/>
          </w:tcPr>
          <w:p>
            <w:pPr>
              <w:jc w:val="center"/>
            </w:pPr>
            <w:r>
              <w:rPr>
                <w:rFonts w:ascii="Times New Roman" w:hAnsi="Times New Roman"/>
                <w:b/>
                <w:i w:val="0"/>
                <w:color w:val="000000"/>
                <w:sz w:val="17"/>
              </w:rPr>
              <w:t>TS-01</w:t>
            </w:r>
          </w:p>
        </w:tc>
        <w:tc>
          <w:tcPr>
            <w:tcW w:type="dxa" w:w="2016"/>
            <w:tcMar>
              <w:top w:w="40" w:type="dxa"/>
              <w:bottom w:w="40" w:type="dxa"/>
              <w:left w:w="60" w:type="dxa"/>
              <w:right w:w="60" w:type="dxa"/>
            </w:tcMar>
            <w:shd w:fill="F8FAFC"/>
          </w:tcPr>
          <w:p>
            <w:pPr>
              <w:jc w:val="left"/>
            </w:pPr>
            <w:r>
              <w:rPr>
                <w:rFonts w:ascii="Times New Roman" w:hAnsi="Times New Roman"/>
                <w:b w:val="0"/>
                <w:i w:val="0"/>
                <w:color w:val="000000"/>
                <w:sz w:val="17"/>
              </w:rPr>
              <w:t>Demographic Validation</w:t>
            </w:r>
          </w:p>
        </w:tc>
        <w:tc>
          <w:tcPr>
            <w:tcW w:type="dxa" w:w="3456"/>
            <w:tcMar>
              <w:top w:w="40" w:type="dxa"/>
              <w:bottom w:w="40" w:type="dxa"/>
              <w:left w:w="60" w:type="dxa"/>
              <w:right w:w="60" w:type="dxa"/>
            </w:tcMar>
            <w:shd w:fill="F8FAFC"/>
          </w:tcPr>
          <w:p>
            <w:pPr>
              <w:jc w:val="left"/>
            </w:pPr>
            <w:r>
              <w:rPr>
                <w:rFonts w:ascii="Times New Roman" w:hAnsi="Times New Roman"/>
                <w:b w:val="0"/>
                <w:i w:val="0"/>
                <w:color w:val="000000"/>
                <w:sz w:val="17"/>
              </w:rPr>
              <w:t>Validate India-only registration, PIN code lookup, 36 States/UTs, and mandatory emergency contacts</w:t>
            </w:r>
          </w:p>
        </w:tc>
        <w:tc>
          <w:tcPr>
            <w:tcW w:type="dxa" w:w="1152"/>
            <w:tcMar>
              <w:top w:w="40" w:type="dxa"/>
              <w:bottom w:w="40" w:type="dxa"/>
              <w:left w:w="60" w:type="dxa"/>
              <w:right w:w="60" w:type="dxa"/>
            </w:tcMar>
            <w:shd w:fill="F8FAFC"/>
          </w:tcPr>
          <w:p>
            <w:pPr>
              <w:jc w:val="center"/>
            </w:pPr>
            <w:r>
              <w:rPr>
                <w:rFonts w:ascii="Times New Roman" w:hAnsi="Times New Roman"/>
                <w:b/>
                <w:i w:val="0"/>
                <w:color w:val="10783C"/>
                <w:sz w:val="17"/>
              </w:rPr>
              <w:t>PASSED</w:t>
            </w:r>
          </w:p>
        </w:tc>
      </w:tr>
      <w:tr>
        <w:tc>
          <w:tcPr>
            <w:tcW w:type="dxa" w:w="1296"/>
            <w:tcMar>
              <w:top w:w="40" w:type="dxa"/>
              <w:bottom w:w="40" w:type="dxa"/>
              <w:left w:w="60" w:type="dxa"/>
              <w:right w:w="60" w:type="dxa"/>
            </w:tcMar>
            <w:shd w:fill="FFFFFF"/>
          </w:tcPr>
          <w:p>
            <w:pPr>
              <w:jc w:val="center"/>
            </w:pPr>
            <w:r>
              <w:rPr>
                <w:rFonts w:ascii="Times New Roman" w:hAnsi="Times New Roman"/>
                <w:b/>
                <w:i w:val="0"/>
                <w:color w:val="000000"/>
                <w:sz w:val="17"/>
              </w:rPr>
              <w:t>TS-02</w:t>
            </w:r>
          </w:p>
        </w:tc>
        <w:tc>
          <w:tcPr>
            <w:tcW w:type="dxa" w:w="2016"/>
            <w:tcMar>
              <w:top w:w="40" w:type="dxa"/>
              <w:bottom w:w="40" w:type="dxa"/>
              <w:left w:w="60" w:type="dxa"/>
              <w:right w:w="60" w:type="dxa"/>
            </w:tcMar>
            <w:shd w:fill="FFFFFF"/>
          </w:tcPr>
          <w:p>
            <w:pPr>
              <w:jc w:val="left"/>
            </w:pPr>
            <w:r>
              <w:rPr>
                <w:rFonts w:ascii="Times New Roman" w:hAnsi="Times New Roman"/>
                <w:b w:val="0"/>
                <w:i w:val="0"/>
                <w:color w:val="000000"/>
                <w:sz w:val="17"/>
              </w:rPr>
              <w:t>Gmail SMTP &amp; 2FA Engine</w:t>
            </w:r>
          </w:p>
        </w:tc>
        <w:tc>
          <w:tcPr>
            <w:tcW w:type="dxa" w:w="3456"/>
            <w:tcMar>
              <w:top w:w="40" w:type="dxa"/>
              <w:bottom w:w="40" w:type="dxa"/>
              <w:left w:w="60" w:type="dxa"/>
              <w:right w:w="60" w:type="dxa"/>
            </w:tcMar>
            <w:shd w:fill="FFFFFF"/>
          </w:tcPr>
          <w:p>
            <w:pPr>
              <w:jc w:val="left"/>
            </w:pPr>
            <w:r>
              <w:rPr>
                <w:rFonts w:ascii="Times New Roman" w:hAnsi="Times New Roman"/>
                <w:b w:val="0"/>
                <w:i w:val="0"/>
                <w:color w:val="000000"/>
                <w:sz w:val="17"/>
              </w:rPr>
              <w:t>Verify live Gmail SMTP TLS port 587 connection, 6-digit OTP dispatch, and SHA-256 challenge hashing</w:t>
            </w:r>
          </w:p>
        </w:tc>
        <w:tc>
          <w:tcPr>
            <w:tcW w:type="dxa" w:w="1152"/>
            <w:tcMar>
              <w:top w:w="40" w:type="dxa"/>
              <w:bottom w:w="40" w:type="dxa"/>
              <w:left w:w="60" w:type="dxa"/>
              <w:right w:w="60" w:type="dxa"/>
            </w:tcMar>
            <w:shd w:fill="FFFFFF"/>
          </w:tcPr>
          <w:p>
            <w:pPr>
              <w:jc w:val="center"/>
            </w:pPr>
            <w:r>
              <w:rPr>
                <w:rFonts w:ascii="Times New Roman" w:hAnsi="Times New Roman"/>
                <w:b/>
                <w:i w:val="0"/>
                <w:color w:val="10783C"/>
                <w:sz w:val="17"/>
              </w:rPr>
              <w:t>PASSED</w:t>
            </w:r>
          </w:p>
        </w:tc>
      </w:tr>
      <w:tr>
        <w:tc>
          <w:tcPr>
            <w:tcW w:type="dxa" w:w="1296"/>
            <w:tcMar>
              <w:top w:w="40" w:type="dxa"/>
              <w:bottom w:w="40" w:type="dxa"/>
              <w:left w:w="60" w:type="dxa"/>
              <w:right w:w="60" w:type="dxa"/>
            </w:tcMar>
            <w:shd w:fill="F8FAFC"/>
          </w:tcPr>
          <w:p>
            <w:pPr>
              <w:jc w:val="center"/>
            </w:pPr>
            <w:r>
              <w:rPr>
                <w:rFonts w:ascii="Times New Roman" w:hAnsi="Times New Roman"/>
                <w:b/>
                <w:i w:val="0"/>
                <w:color w:val="000000"/>
                <w:sz w:val="17"/>
              </w:rPr>
              <w:t>TS-03</w:t>
            </w:r>
          </w:p>
        </w:tc>
        <w:tc>
          <w:tcPr>
            <w:tcW w:type="dxa" w:w="2016"/>
            <w:tcMar>
              <w:top w:w="40" w:type="dxa"/>
              <w:bottom w:w="40" w:type="dxa"/>
              <w:left w:w="60" w:type="dxa"/>
              <w:right w:w="60" w:type="dxa"/>
            </w:tcMar>
            <w:shd w:fill="F8FAFC"/>
          </w:tcPr>
          <w:p>
            <w:pPr>
              <w:jc w:val="left"/>
            </w:pPr>
            <w:r>
              <w:rPr>
                <w:rFonts w:ascii="Times New Roman" w:hAnsi="Times New Roman"/>
                <w:b w:val="0"/>
                <w:i w:val="0"/>
                <w:color w:val="000000"/>
                <w:sz w:val="17"/>
              </w:rPr>
              <w:t>Emergency QR ID System</w:t>
            </w:r>
          </w:p>
        </w:tc>
        <w:tc>
          <w:tcPr>
            <w:tcW w:type="dxa" w:w="3456"/>
            <w:tcMar>
              <w:top w:w="40" w:type="dxa"/>
              <w:bottom w:w="40" w:type="dxa"/>
              <w:left w:w="60" w:type="dxa"/>
              <w:right w:w="60" w:type="dxa"/>
            </w:tcMar>
            <w:shd w:fill="F8FAFC"/>
          </w:tcPr>
          <w:p>
            <w:pPr>
              <w:jc w:val="left"/>
            </w:pPr>
            <w:r>
              <w:rPr>
                <w:rFonts w:ascii="Times New Roman" w:hAnsi="Times New Roman"/>
                <w:b w:val="0"/>
                <w:i w:val="0"/>
                <w:color w:val="000000"/>
                <w:sz w:val="17"/>
              </w:rPr>
              <w:t>Test 64-char unguessable token generation, public scanning, and strict PHI isolation in profile view</w:t>
            </w:r>
          </w:p>
        </w:tc>
        <w:tc>
          <w:tcPr>
            <w:tcW w:type="dxa" w:w="1152"/>
            <w:tcMar>
              <w:top w:w="40" w:type="dxa"/>
              <w:bottom w:w="40" w:type="dxa"/>
              <w:left w:w="60" w:type="dxa"/>
              <w:right w:w="60" w:type="dxa"/>
            </w:tcMar>
            <w:shd w:fill="F8FAFC"/>
          </w:tcPr>
          <w:p>
            <w:pPr>
              <w:jc w:val="center"/>
            </w:pPr>
            <w:r>
              <w:rPr>
                <w:rFonts w:ascii="Times New Roman" w:hAnsi="Times New Roman"/>
                <w:b/>
                <w:i w:val="0"/>
                <w:color w:val="10783C"/>
                <w:sz w:val="17"/>
              </w:rPr>
              <w:t>PASSED</w:t>
            </w:r>
          </w:p>
        </w:tc>
      </w:tr>
      <w:tr>
        <w:tc>
          <w:tcPr>
            <w:tcW w:type="dxa" w:w="1296"/>
            <w:tcMar>
              <w:top w:w="40" w:type="dxa"/>
              <w:bottom w:w="40" w:type="dxa"/>
              <w:left w:w="60" w:type="dxa"/>
              <w:right w:w="60" w:type="dxa"/>
            </w:tcMar>
            <w:shd w:fill="FFFFFF"/>
          </w:tcPr>
          <w:p>
            <w:pPr>
              <w:jc w:val="center"/>
            </w:pPr>
            <w:r>
              <w:rPr>
                <w:rFonts w:ascii="Times New Roman" w:hAnsi="Times New Roman"/>
                <w:b/>
                <w:i w:val="0"/>
                <w:color w:val="000000"/>
                <w:sz w:val="17"/>
              </w:rPr>
              <w:t>TS-04</w:t>
            </w:r>
          </w:p>
        </w:tc>
        <w:tc>
          <w:tcPr>
            <w:tcW w:type="dxa" w:w="2016"/>
            <w:tcMar>
              <w:top w:w="40" w:type="dxa"/>
              <w:bottom w:w="40" w:type="dxa"/>
              <w:left w:w="60" w:type="dxa"/>
              <w:right w:w="60" w:type="dxa"/>
            </w:tcMar>
            <w:shd w:fill="FFFFFF"/>
          </w:tcPr>
          <w:p>
            <w:pPr>
              <w:jc w:val="left"/>
            </w:pPr>
            <w:r>
              <w:rPr>
                <w:rFonts w:ascii="Times New Roman" w:hAnsi="Times New Roman"/>
                <w:b w:val="0"/>
                <w:i w:val="0"/>
                <w:color w:val="000000"/>
                <w:sz w:val="17"/>
              </w:rPr>
              <w:t>Universal Patient EHR</w:t>
            </w:r>
          </w:p>
        </w:tc>
        <w:tc>
          <w:tcPr>
            <w:tcW w:type="dxa" w:w="3456"/>
            <w:tcMar>
              <w:top w:w="40" w:type="dxa"/>
              <w:bottom w:w="40" w:type="dxa"/>
              <w:left w:w="60" w:type="dxa"/>
              <w:right w:w="60" w:type="dxa"/>
            </w:tcMar>
            <w:shd w:fill="FFFFFF"/>
          </w:tcPr>
          <w:p>
            <w:pPr>
              <w:jc w:val="left"/>
            </w:pPr>
            <w:r>
              <w:rPr>
                <w:rFonts w:ascii="Times New Roman" w:hAnsi="Times New Roman"/>
                <w:b w:val="0"/>
                <w:i w:val="0"/>
                <w:color w:val="000000"/>
                <w:sz w:val="17"/>
              </w:rPr>
              <w:t>Validate longitudinal health records, consultation histories, vitals tracking, and allergy profiles</w:t>
            </w:r>
          </w:p>
        </w:tc>
        <w:tc>
          <w:tcPr>
            <w:tcW w:type="dxa" w:w="1152"/>
            <w:tcMar>
              <w:top w:w="40" w:type="dxa"/>
              <w:bottom w:w="40" w:type="dxa"/>
              <w:left w:w="60" w:type="dxa"/>
              <w:right w:w="60" w:type="dxa"/>
            </w:tcMar>
            <w:shd w:fill="FFFFFF"/>
          </w:tcPr>
          <w:p>
            <w:pPr>
              <w:jc w:val="center"/>
            </w:pPr>
            <w:r>
              <w:rPr>
                <w:rFonts w:ascii="Times New Roman" w:hAnsi="Times New Roman"/>
                <w:b/>
                <w:i w:val="0"/>
                <w:color w:val="10783C"/>
                <w:sz w:val="17"/>
              </w:rPr>
              <w:t>PASSED</w:t>
            </w:r>
          </w:p>
        </w:tc>
      </w:tr>
      <w:tr>
        <w:tc>
          <w:tcPr>
            <w:tcW w:type="dxa" w:w="1296"/>
            <w:tcMar>
              <w:top w:w="40" w:type="dxa"/>
              <w:bottom w:w="40" w:type="dxa"/>
              <w:left w:w="60" w:type="dxa"/>
              <w:right w:w="60" w:type="dxa"/>
            </w:tcMar>
            <w:shd w:fill="F8FAFC"/>
          </w:tcPr>
          <w:p>
            <w:pPr>
              <w:jc w:val="center"/>
            </w:pPr>
            <w:r>
              <w:rPr>
                <w:rFonts w:ascii="Times New Roman" w:hAnsi="Times New Roman"/>
                <w:b/>
                <w:i w:val="0"/>
                <w:color w:val="000000"/>
                <w:sz w:val="17"/>
              </w:rPr>
              <w:t>TS-05</w:t>
            </w:r>
          </w:p>
        </w:tc>
        <w:tc>
          <w:tcPr>
            <w:tcW w:type="dxa" w:w="2016"/>
            <w:tcMar>
              <w:top w:w="40" w:type="dxa"/>
              <w:bottom w:w="40" w:type="dxa"/>
              <w:left w:w="60" w:type="dxa"/>
              <w:right w:w="60" w:type="dxa"/>
            </w:tcMar>
            <w:shd w:fill="F8FAFC"/>
          </w:tcPr>
          <w:p>
            <w:pPr>
              <w:jc w:val="left"/>
            </w:pPr>
            <w:r>
              <w:rPr>
                <w:rFonts w:ascii="Times New Roman" w:hAnsi="Times New Roman"/>
                <w:b w:val="0"/>
                <w:i w:val="0"/>
                <w:color w:val="000000"/>
                <w:sz w:val="17"/>
              </w:rPr>
              <w:t>Doctor Consultation &amp; EHR</w:t>
            </w:r>
          </w:p>
        </w:tc>
        <w:tc>
          <w:tcPr>
            <w:tcW w:type="dxa" w:w="3456"/>
            <w:tcMar>
              <w:top w:w="40" w:type="dxa"/>
              <w:bottom w:w="40" w:type="dxa"/>
              <w:left w:w="60" w:type="dxa"/>
              <w:right w:w="60" w:type="dxa"/>
            </w:tcMar>
            <w:shd w:fill="F8FAFC"/>
          </w:tcPr>
          <w:p>
            <w:pPr>
              <w:jc w:val="left"/>
            </w:pPr>
            <w:r>
              <w:rPr>
                <w:rFonts w:ascii="Times New Roman" w:hAnsi="Times New Roman"/>
                <w:b w:val="0"/>
                <w:i w:val="0"/>
                <w:color w:val="000000"/>
                <w:sz w:val="17"/>
              </w:rPr>
              <w:t>Verify clinical encounter logging, chief complaints, differential diagnosis, and e-prescription authoring</w:t>
            </w:r>
          </w:p>
        </w:tc>
        <w:tc>
          <w:tcPr>
            <w:tcW w:type="dxa" w:w="1152"/>
            <w:tcMar>
              <w:top w:w="40" w:type="dxa"/>
              <w:bottom w:w="40" w:type="dxa"/>
              <w:left w:w="60" w:type="dxa"/>
              <w:right w:w="60" w:type="dxa"/>
            </w:tcMar>
            <w:shd w:fill="F8FAFC"/>
          </w:tcPr>
          <w:p>
            <w:pPr>
              <w:jc w:val="center"/>
            </w:pPr>
            <w:r>
              <w:rPr>
                <w:rFonts w:ascii="Times New Roman" w:hAnsi="Times New Roman"/>
                <w:b/>
                <w:i w:val="0"/>
                <w:color w:val="10783C"/>
                <w:sz w:val="17"/>
              </w:rPr>
              <w:t>PASSED</w:t>
            </w:r>
          </w:p>
        </w:tc>
      </w:tr>
      <w:tr>
        <w:tc>
          <w:tcPr>
            <w:tcW w:type="dxa" w:w="1296"/>
            <w:tcMar>
              <w:top w:w="40" w:type="dxa"/>
              <w:bottom w:w="40" w:type="dxa"/>
              <w:left w:w="60" w:type="dxa"/>
              <w:right w:w="60" w:type="dxa"/>
            </w:tcMar>
            <w:shd w:fill="FFFFFF"/>
          </w:tcPr>
          <w:p>
            <w:pPr>
              <w:jc w:val="center"/>
            </w:pPr>
            <w:r>
              <w:rPr>
                <w:rFonts w:ascii="Times New Roman" w:hAnsi="Times New Roman"/>
                <w:b/>
                <w:i w:val="0"/>
                <w:color w:val="000000"/>
                <w:sz w:val="17"/>
              </w:rPr>
              <w:t>TS-06</w:t>
            </w:r>
          </w:p>
        </w:tc>
        <w:tc>
          <w:tcPr>
            <w:tcW w:type="dxa" w:w="2016"/>
            <w:tcMar>
              <w:top w:w="40" w:type="dxa"/>
              <w:bottom w:w="40" w:type="dxa"/>
              <w:left w:w="60" w:type="dxa"/>
              <w:right w:w="60" w:type="dxa"/>
            </w:tcMar>
            <w:shd w:fill="FFFFFF"/>
          </w:tcPr>
          <w:p>
            <w:pPr>
              <w:jc w:val="left"/>
            </w:pPr>
            <w:r>
              <w:rPr>
                <w:rFonts w:ascii="Times New Roman" w:hAnsi="Times New Roman"/>
                <w:b w:val="0"/>
                <w:i w:val="0"/>
                <w:color w:val="000000"/>
                <w:sz w:val="17"/>
              </w:rPr>
              <w:t>Explainable AI (CDSS)</w:t>
            </w:r>
          </w:p>
        </w:tc>
        <w:tc>
          <w:tcPr>
            <w:tcW w:type="dxa" w:w="3456"/>
            <w:tcMar>
              <w:top w:w="40" w:type="dxa"/>
              <w:bottom w:w="40" w:type="dxa"/>
              <w:left w:w="60" w:type="dxa"/>
              <w:right w:w="60" w:type="dxa"/>
            </w:tcMar>
            <w:shd w:fill="FFFFFF"/>
          </w:tcPr>
          <w:p>
            <w:pPr>
              <w:jc w:val="left"/>
            </w:pPr>
            <w:r>
              <w:rPr>
                <w:rFonts w:ascii="Times New Roman" w:hAnsi="Times New Roman"/>
                <w:b w:val="0"/>
                <w:i w:val="0"/>
                <w:color w:val="000000"/>
                <w:sz w:val="17"/>
              </w:rPr>
              <w:t>Test FastAPI inference endpoint, disease probability stratification, and SHAP/LIME feature attributions</w:t>
            </w:r>
          </w:p>
        </w:tc>
        <w:tc>
          <w:tcPr>
            <w:tcW w:type="dxa" w:w="1152"/>
            <w:tcMar>
              <w:top w:w="40" w:type="dxa"/>
              <w:bottom w:w="40" w:type="dxa"/>
              <w:left w:w="60" w:type="dxa"/>
              <w:right w:w="60" w:type="dxa"/>
            </w:tcMar>
            <w:shd w:fill="FFFFFF"/>
          </w:tcPr>
          <w:p>
            <w:pPr>
              <w:jc w:val="center"/>
            </w:pPr>
            <w:r>
              <w:rPr>
                <w:rFonts w:ascii="Times New Roman" w:hAnsi="Times New Roman"/>
                <w:b/>
                <w:i w:val="0"/>
                <w:color w:val="10783C"/>
                <w:sz w:val="17"/>
              </w:rPr>
              <w:t>PASSED</w:t>
            </w:r>
          </w:p>
        </w:tc>
      </w:tr>
      <w:tr>
        <w:tc>
          <w:tcPr>
            <w:tcW w:type="dxa" w:w="1296"/>
            <w:tcMar>
              <w:top w:w="40" w:type="dxa"/>
              <w:bottom w:w="40" w:type="dxa"/>
              <w:left w:w="60" w:type="dxa"/>
              <w:right w:w="60" w:type="dxa"/>
            </w:tcMar>
            <w:shd w:fill="F8FAFC"/>
          </w:tcPr>
          <w:p>
            <w:pPr>
              <w:jc w:val="center"/>
            </w:pPr>
            <w:r>
              <w:rPr>
                <w:rFonts w:ascii="Times New Roman" w:hAnsi="Times New Roman"/>
                <w:b/>
                <w:i w:val="0"/>
                <w:color w:val="000000"/>
                <w:sz w:val="17"/>
              </w:rPr>
              <w:t>TS-07</w:t>
            </w:r>
          </w:p>
        </w:tc>
        <w:tc>
          <w:tcPr>
            <w:tcW w:type="dxa" w:w="2016"/>
            <w:tcMar>
              <w:top w:w="40" w:type="dxa"/>
              <w:bottom w:w="40" w:type="dxa"/>
              <w:left w:w="60" w:type="dxa"/>
              <w:right w:w="60" w:type="dxa"/>
            </w:tcMar>
            <w:shd w:fill="F8FAFC"/>
          </w:tcPr>
          <w:p>
            <w:pPr>
              <w:jc w:val="left"/>
            </w:pPr>
            <w:r>
              <w:rPr>
                <w:rFonts w:ascii="Times New Roman" w:hAnsi="Times New Roman"/>
                <w:b w:val="0"/>
                <w:i w:val="0"/>
                <w:color w:val="000000"/>
                <w:sz w:val="17"/>
              </w:rPr>
              <w:t>Hospital Multi-Tenancy</w:t>
            </w:r>
          </w:p>
        </w:tc>
        <w:tc>
          <w:tcPr>
            <w:tcW w:type="dxa" w:w="3456"/>
            <w:tcMar>
              <w:top w:w="40" w:type="dxa"/>
              <w:bottom w:w="40" w:type="dxa"/>
              <w:left w:w="60" w:type="dxa"/>
              <w:right w:w="60" w:type="dxa"/>
            </w:tcMar>
            <w:shd w:fill="F8FAFC"/>
          </w:tcPr>
          <w:p>
            <w:pPr>
              <w:jc w:val="left"/>
            </w:pPr>
            <w:r>
              <w:rPr>
                <w:rFonts w:ascii="Times New Roman" w:hAnsi="Times New Roman"/>
                <w:b w:val="0"/>
                <w:i w:val="0"/>
                <w:color w:val="000000"/>
                <w:sz w:val="17"/>
              </w:rPr>
              <w:t>Validate organizational boundary isolation across hospitals, bed allocations, and ward management</w:t>
            </w:r>
          </w:p>
        </w:tc>
        <w:tc>
          <w:tcPr>
            <w:tcW w:type="dxa" w:w="1152"/>
            <w:tcMar>
              <w:top w:w="40" w:type="dxa"/>
              <w:bottom w:w="40" w:type="dxa"/>
              <w:left w:w="60" w:type="dxa"/>
              <w:right w:w="60" w:type="dxa"/>
            </w:tcMar>
            <w:shd w:fill="F8FAFC"/>
          </w:tcPr>
          <w:p>
            <w:pPr>
              <w:jc w:val="center"/>
            </w:pPr>
            <w:r>
              <w:rPr>
                <w:rFonts w:ascii="Times New Roman" w:hAnsi="Times New Roman"/>
                <w:b/>
                <w:i w:val="0"/>
                <w:color w:val="10783C"/>
                <w:sz w:val="17"/>
              </w:rPr>
              <w:t>PASSED</w:t>
            </w:r>
          </w:p>
        </w:tc>
      </w:tr>
      <w:tr>
        <w:tc>
          <w:tcPr>
            <w:tcW w:type="dxa" w:w="1296"/>
            <w:tcMar>
              <w:top w:w="40" w:type="dxa"/>
              <w:bottom w:w="40" w:type="dxa"/>
              <w:left w:w="60" w:type="dxa"/>
              <w:right w:w="60" w:type="dxa"/>
            </w:tcMar>
            <w:shd w:fill="FFFFFF"/>
          </w:tcPr>
          <w:p>
            <w:pPr>
              <w:jc w:val="center"/>
            </w:pPr>
            <w:r>
              <w:rPr>
                <w:rFonts w:ascii="Times New Roman" w:hAnsi="Times New Roman"/>
                <w:b/>
                <w:i w:val="0"/>
                <w:color w:val="000000"/>
                <w:sz w:val="17"/>
              </w:rPr>
              <w:t>TS-08</w:t>
            </w:r>
          </w:p>
        </w:tc>
        <w:tc>
          <w:tcPr>
            <w:tcW w:type="dxa" w:w="2016"/>
            <w:tcMar>
              <w:top w:w="40" w:type="dxa"/>
              <w:bottom w:w="40" w:type="dxa"/>
              <w:left w:w="60" w:type="dxa"/>
              <w:right w:w="60" w:type="dxa"/>
            </w:tcMar>
            <w:shd w:fill="FFFFFF"/>
          </w:tcPr>
          <w:p>
            <w:pPr>
              <w:jc w:val="left"/>
            </w:pPr>
            <w:r>
              <w:rPr>
                <w:rFonts w:ascii="Times New Roman" w:hAnsi="Times New Roman"/>
                <w:b w:val="0"/>
                <w:i w:val="0"/>
                <w:color w:val="000000"/>
                <w:sz w:val="17"/>
              </w:rPr>
              <w:t>Pharmacy &amp; Dispensing</w:t>
            </w:r>
          </w:p>
        </w:tc>
        <w:tc>
          <w:tcPr>
            <w:tcW w:type="dxa" w:w="3456"/>
            <w:tcMar>
              <w:top w:w="40" w:type="dxa"/>
              <w:bottom w:w="40" w:type="dxa"/>
              <w:left w:w="60" w:type="dxa"/>
              <w:right w:w="60" w:type="dxa"/>
            </w:tcMar>
            <w:shd w:fill="FFFFFF"/>
          </w:tcPr>
          <w:p>
            <w:pPr>
              <w:jc w:val="left"/>
            </w:pPr>
            <w:r>
              <w:rPr>
                <w:rFonts w:ascii="Times New Roman" w:hAnsi="Times New Roman"/>
                <w:b w:val="0"/>
                <w:i w:val="0"/>
                <w:color w:val="000000"/>
                <w:sz w:val="17"/>
              </w:rPr>
              <w:t>Verify closed-loop e-prescription ingestion, pharmaceutical stock decrement, and dispensing validation</w:t>
            </w:r>
          </w:p>
        </w:tc>
        <w:tc>
          <w:tcPr>
            <w:tcW w:type="dxa" w:w="1152"/>
            <w:tcMar>
              <w:top w:w="40" w:type="dxa"/>
              <w:bottom w:w="40" w:type="dxa"/>
              <w:left w:w="60" w:type="dxa"/>
              <w:right w:w="60" w:type="dxa"/>
            </w:tcMar>
            <w:shd w:fill="FFFFFF"/>
          </w:tcPr>
          <w:p>
            <w:pPr>
              <w:jc w:val="center"/>
            </w:pPr>
            <w:r>
              <w:rPr>
                <w:rFonts w:ascii="Times New Roman" w:hAnsi="Times New Roman"/>
                <w:b/>
                <w:i w:val="0"/>
                <w:color w:val="10783C"/>
                <w:sz w:val="17"/>
              </w:rPr>
              <w:t>PASSED</w:t>
            </w:r>
          </w:p>
        </w:tc>
      </w:tr>
      <w:tr>
        <w:tc>
          <w:tcPr>
            <w:tcW w:type="dxa" w:w="1296"/>
            <w:tcMar>
              <w:top w:w="40" w:type="dxa"/>
              <w:bottom w:w="40" w:type="dxa"/>
              <w:left w:w="60" w:type="dxa"/>
              <w:right w:w="60" w:type="dxa"/>
            </w:tcMar>
            <w:shd w:fill="F8FAFC"/>
          </w:tcPr>
          <w:p>
            <w:pPr>
              <w:jc w:val="center"/>
            </w:pPr>
            <w:r>
              <w:rPr>
                <w:rFonts w:ascii="Times New Roman" w:hAnsi="Times New Roman"/>
                <w:b/>
                <w:i w:val="0"/>
                <w:color w:val="000000"/>
                <w:sz w:val="17"/>
              </w:rPr>
              <w:t>TS-09</w:t>
            </w:r>
          </w:p>
        </w:tc>
        <w:tc>
          <w:tcPr>
            <w:tcW w:type="dxa" w:w="2016"/>
            <w:tcMar>
              <w:top w:w="40" w:type="dxa"/>
              <w:bottom w:w="40" w:type="dxa"/>
              <w:left w:w="60" w:type="dxa"/>
              <w:right w:w="60" w:type="dxa"/>
            </w:tcMar>
            <w:shd w:fill="F8FAFC"/>
          </w:tcPr>
          <w:p>
            <w:pPr>
              <w:jc w:val="left"/>
            </w:pPr>
            <w:r>
              <w:rPr>
                <w:rFonts w:ascii="Times New Roman" w:hAnsi="Times New Roman"/>
                <w:b w:val="0"/>
                <w:i w:val="0"/>
                <w:color w:val="000000"/>
                <w:sz w:val="17"/>
              </w:rPr>
              <w:t>Laboratory &amp; OCR Engine</w:t>
            </w:r>
          </w:p>
        </w:tc>
        <w:tc>
          <w:tcPr>
            <w:tcW w:type="dxa" w:w="3456"/>
            <w:tcMar>
              <w:top w:w="40" w:type="dxa"/>
              <w:bottom w:w="40" w:type="dxa"/>
              <w:left w:w="60" w:type="dxa"/>
              <w:right w:w="60" w:type="dxa"/>
            </w:tcMar>
            <w:shd w:fill="F8FAFC"/>
          </w:tcPr>
          <w:p>
            <w:pPr>
              <w:jc w:val="left"/>
            </w:pPr>
            <w:r>
              <w:rPr>
                <w:rFonts w:ascii="Times New Roman" w:hAnsi="Times New Roman"/>
                <w:b w:val="0"/>
                <w:i w:val="0"/>
                <w:color w:val="000000"/>
                <w:sz w:val="17"/>
              </w:rPr>
              <w:t>Test diagnostic test ordering, pathology result attachment, and OCR text extraction from report scans</w:t>
            </w:r>
          </w:p>
        </w:tc>
        <w:tc>
          <w:tcPr>
            <w:tcW w:type="dxa" w:w="1152"/>
            <w:tcMar>
              <w:top w:w="40" w:type="dxa"/>
              <w:bottom w:w="40" w:type="dxa"/>
              <w:left w:w="60" w:type="dxa"/>
              <w:right w:w="60" w:type="dxa"/>
            </w:tcMar>
            <w:shd w:fill="F8FAFC"/>
          </w:tcPr>
          <w:p>
            <w:pPr>
              <w:jc w:val="center"/>
            </w:pPr>
            <w:r>
              <w:rPr>
                <w:rFonts w:ascii="Times New Roman" w:hAnsi="Times New Roman"/>
                <w:b/>
                <w:i w:val="0"/>
                <w:color w:val="10783C"/>
                <w:sz w:val="17"/>
              </w:rPr>
              <w:t>PASSED</w:t>
            </w:r>
          </w:p>
        </w:tc>
      </w:tr>
      <w:tr>
        <w:tc>
          <w:tcPr>
            <w:tcW w:type="dxa" w:w="1296"/>
            <w:tcMar>
              <w:top w:w="40" w:type="dxa"/>
              <w:bottom w:w="40" w:type="dxa"/>
              <w:left w:w="60" w:type="dxa"/>
              <w:right w:w="60" w:type="dxa"/>
            </w:tcMar>
            <w:shd w:fill="FFFFFF"/>
          </w:tcPr>
          <w:p>
            <w:pPr>
              <w:jc w:val="center"/>
            </w:pPr>
            <w:r>
              <w:rPr>
                <w:rFonts w:ascii="Times New Roman" w:hAnsi="Times New Roman"/>
                <w:b/>
                <w:i w:val="0"/>
                <w:color w:val="000000"/>
                <w:sz w:val="17"/>
              </w:rPr>
              <w:t>TS-10</w:t>
            </w:r>
          </w:p>
        </w:tc>
        <w:tc>
          <w:tcPr>
            <w:tcW w:type="dxa" w:w="2016"/>
            <w:tcMar>
              <w:top w:w="40" w:type="dxa"/>
              <w:bottom w:w="40" w:type="dxa"/>
              <w:left w:w="60" w:type="dxa"/>
              <w:right w:w="60" w:type="dxa"/>
            </w:tcMar>
            <w:shd w:fill="FFFFFF"/>
          </w:tcPr>
          <w:p>
            <w:pPr>
              <w:jc w:val="left"/>
            </w:pPr>
            <w:r>
              <w:rPr>
                <w:rFonts w:ascii="Times New Roman" w:hAnsi="Times New Roman"/>
                <w:b w:val="0"/>
                <w:i w:val="0"/>
                <w:color w:val="000000"/>
                <w:sz w:val="17"/>
              </w:rPr>
              <w:t>Support Ticket Workflow</w:t>
            </w:r>
          </w:p>
        </w:tc>
        <w:tc>
          <w:tcPr>
            <w:tcW w:type="dxa" w:w="3456"/>
            <w:tcMar>
              <w:top w:w="40" w:type="dxa"/>
              <w:bottom w:w="40" w:type="dxa"/>
              <w:left w:w="60" w:type="dxa"/>
              <w:right w:w="60" w:type="dxa"/>
            </w:tcMar>
            <w:shd w:fill="FFFFFF"/>
          </w:tcPr>
          <w:p>
            <w:pPr>
              <w:jc w:val="left"/>
            </w:pPr>
            <w:r>
              <w:rPr>
                <w:rFonts w:ascii="Times New Roman" w:hAnsi="Times New Roman"/>
                <w:b w:val="0"/>
                <w:i w:val="0"/>
                <w:color w:val="000000"/>
                <w:sz w:val="17"/>
              </w:rPr>
              <w:t>Validate authenticated ticket creation, auto-population of verified mobile numbers, and admin triage</w:t>
            </w:r>
          </w:p>
        </w:tc>
        <w:tc>
          <w:tcPr>
            <w:tcW w:type="dxa" w:w="1152"/>
            <w:tcMar>
              <w:top w:w="40" w:type="dxa"/>
              <w:bottom w:w="40" w:type="dxa"/>
              <w:left w:w="60" w:type="dxa"/>
              <w:right w:w="60" w:type="dxa"/>
            </w:tcMar>
            <w:shd w:fill="FFFFFF"/>
          </w:tcPr>
          <w:p>
            <w:pPr>
              <w:jc w:val="center"/>
            </w:pPr>
            <w:r>
              <w:rPr>
                <w:rFonts w:ascii="Times New Roman" w:hAnsi="Times New Roman"/>
                <w:b/>
                <w:i w:val="0"/>
                <w:color w:val="10783C"/>
                <w:sz w:val="17"/>
              </w:rPr>
              <w:t>PASSED</w:t>
            </w:r>
          </w:p>
        </w:tc>
      </w:tr>
      <w:tr>
        <w:tc>
          <w:tcPr>
            <w:tcW w:type="dxa" w:w="1296"/>
            <w:tcMar>
              <w:top w:w="40" w:type="dxa"/>
              <w:bottom w:w="40" w:type="dxa"/>
              <w:left w:w="60" w:type="dxa"/>
              <w:right w:w="60" w:type="dxa"/>
            </w:tcMar>
            <w:shd w:fill="F8FAFC"/>
          </w:tcPr>
          <w:p>
            <w:pPr>
              <w:jc w:val="center"/>
            </w:pPr>
            <w:r>
              <w:rPr>
                <w:rFonts w:ascii="Times New Roman" w:hAnsi="Times New Roman"/>
                <w:b/>
                <w:i w:val="0"/>
                <w:color w:val="000000"/>
                <w:sz w:val="17"/>
              </w:rPr>
              <w:t>TS-11</w:t>
            </w:r>
          </w:p>
        </w:tc>
        <w:tc>
          <w:tcPr>
            <w:tcW w:type="dxa" w:w="2016"/>
            <w:tcMar>
              <w:top w:w="40" w:type="dxa"/>
              <w:bottom w:w="40" w:type="dxa"/>
              <w:left w:w="60" w:type="dxa"/>
              <w:right w:w="60" w:type="dxa"/>
            </w:tcMar>
            <w:shd w:fill="F8FAFC"/>
          </w:tcPr>
          <w:p>
            <w:pPr>
              <w:jc w:val="left"/>
            </w:pPr>
            <w:r>
              <w:rPr>
                <w:rFonts w:ascii="Times New Roman" w:hAnsi="Times New Roman"/>
                <w:b w:val="0"/>
                <w:i w:val="0"/>
                <w:color w:val="000000"/>
                <w:sz w:val="17"/>
              </w:rPr>
              <w:t>Security &amp; Concurrency</w:t>
            </w:r>
          </w:p>
        </w:tc>
        <w:tc>
          <w:tcPr>
            <w:tcW w:type="dxa" w:w="3456"/>
            <w:tcMar>
              <w:top w:w="40" w:type="dxa"/>
              <w:bottom w:w="40" w:type="dxa"/>
              <w:left w:w="60" w:type="dxa"/>
              <w:right w:w="60" w:type="dxa"/>
            </w:tcMar>
            <w:shd w:fill="F8FAFC"/>
          </w:tcPr>
          <w:p>
            <w:pPr>
              <w:jc w:val="left"/>
            </w:pPr>
            <w:r>
              <w:rPr>
                <w:rFonts w:ascii="Times New Roman" w:hAnsi="Times New Roman"/>
                <w:b w:val="0"/>
                <w:i w:val="0"/>
                <w:color w:val="000000"/>
                <w:sz w:val="17"/>
              </w:rPr>
              <w:t>Execute concurrent stress tests, SQL injection immunity, XSS mitigation, and JWT token tampering tests</w:t>
            </w:r>
          </w:p>
        </w:tc>
        <w:tc>
          <w:tcPr>
            <w:tcW w:type="dxa" w:w="1152"/>
            <w:tcMar>
              <w:top w:w="40" w:type="dxa"/>
              <w:bottom w:w="40" w:type="dxa"/>
              <w:left w:w="60" w:type="dxa"/>
              <w:right w:w="60" w:type="dxa"/>
            </w:tcMar>
            <w:shd w:fill="F8FAFC"/>
          </w:tcPr>
          <w:p>
            <w:pPr>
              <w:jc w:val="center"/>
            </w:pPr>
            <w:r>
              <w:rPr>
                <w:rFonts w:ascii="Times New Roman" w:hAnsi="Times New Roman"/>
                <w:b/>
                <w:i w:val="0"/>
                <w:color w:val="10783C"/>
                <w:sz w:val="17"/>
              </w:rPr>
              <w:t>PASSED</w:t>
            </w:r>
          </w:p>
        </w:tc>
      </w:tr>
    </w:tbl>
    <w:p>
      <w:pPr>
        <w:spacing w:before="60" w:after="200"/>
        <w:jc w:val="center"/>
      </w:pPr>
      <w:r>
        <w:rPr>
          <w:rFonts w:ascii="Times New Roman" w:hAnsi="Times New Roman"/>
          <w:b/>
          <w:i w:val="0"/>
          <w:color w:val="000000"/>
          <w:sz w:val="22"/>
        </w:rPr>
        <w:t>Table 4.1: Comprehensive Test Execution Matrix across Nexo Medico AI Subsystems</w:t>
      </w:r>
    </w:p>
    <w:p>
      <w:r>
        <w:br w:type="page"/>
      </w:r>
    </w:p>
    <w:p>
      <w:pPr>
        <w:spacing w:before="240" w:after="160" w:line="240" w:lineRule="auto"/>
        <w:jc w:val="center"/>
      </w:pPr>
      <w:r>
        <w:rPr>
          <w:rFonts w:ascii="Times New Roman" w:hAnsi="Times New Roman"/>
          <w:b/>
          <w:i w:val="0"/>
          <w:color w:val="000000"/>
          <w:sz w:val="28"/>
        </w:rPr>
        <w:t>CHAPTER - 5</w:t>
        <w:br/>
        <w:t>CODE AND SCREENSHOTS</w:t>
      </w:r>
    </w:p>
    <w:p>
      <w:pPr>
        <w:spacing w:before="200" w:after="40" w:line="276" w:lineRule="auto"/>
        <w:jc w:val="left"/>
      </w:pPr>
      <w:r>
        <w:rPr>
          <w:rFonts w:ascii="Times New Roman" w:hAnsi="Times New Roman"/>
          <w:b/>
          <w:i w:val="0"/>
          <w:color w:val="000000"/>
          <w:sz w:val="24"/>
        </w:rPr>
        <w:t>5.1 Source Code Excerpts and Architectural Explanations</w:t>
      </w:r>
    </w:p>
    <w:p>
      <w:pPr>
        <w:spacing w:before="0" w:after="80" w:line="360" w:lineRule="auto"/>
        <w:jc w:val="both"/>
      </w:pPr>
      <w:r>
        <w:rPr>
          <w:rFonts w:ascii="Times New Roman" w:hAnsi="Times New Roman"/>
          <w:b w:val="0"/>
          <w:i w:val="0"/>
          <w:color w:val="000000"/>
          <w:sz w:val="24"/>
        </w:rPr>
        <w:t>This section presents core implementation excerpts from the primary modules of NEXO MEDICO AI. Each code block is accompanied by a deep architectural explanation highlighting design decisions, security controls, and integration logic.</w:t>
      </w:r>
    </w:p>
    <w:p>
      <w:pPr>
        <w:spacing w:before="120" w:after="40" w:line="276" w:lineRule="auto"/>
        <w:jc w:val="left"/>
      </w:pPr>
      <w:r>
        <w:rPr>
          <w:rFonts w:ascii="Times New Roman" w:hAnsi="Times New Roman"/>
          <w:b/>
          <w:i/>
          <w:color w:val="000000"/>
          <w:sz w:val="24"/>
        </w:rPr>
        <w:t>5.1.1 Patient Registration &amp; India Demographic Validation (route.ts)</w:t>
      </w:r>
    </w:p>
    <w:p>
      <w:pPr>
        <w:spacing w:before="0" w:after="80" w:line="360" w:lineRule="auto"/>
        <w:jc w:val="both"/>
      </w:pPr>
      <w:r>
        <w:rPr>
          <w:rFonts w:ascii="Times New Roman" w:hAnsi="Times New Roman"/>
          <w:b w:val="0"/>
          <w:i w:val="0"/>
          <w:color w:val="000000"/>
          <w:sz w:val="24"/>
        </w:rPr>
        <w:t>The patient registration handler (`src/app/api/patient/register/route.ts`) enforces strict geographic validation. It validates that the selected country is India ('IN'), confirms the state belongs to the 36 recognized States/UTs, verifies the 6-digit postal PIN code format, validates emergency contact telephone numbers, and initiates the cryptographic OTP challenge.</w:t>
      </w:r>
    </w:p>
    <w:p>
      <w:pPr>
        <w:spacing w:before="80" w:after="40"/>
        <w:jc w:val="left"/>
      </w:pPr>
      <w:r>
        <w:rPr>
          <w:rFonts w:ascii="Times New Roman" w:hAnsi="Times New Roman"/>
          <w:b/>
          <w:i/>
          <w:color w:val="000000"/>
          <w:sz w:val="20"/>
        </w:rPr>
        <w:t>Code Listing 5.1: Patient Registration and India Geolocation Validation API Handler</w:t>
      </w:r>
    </w:p>
    <w:tbl>
      <w:tblPr>
        <w:tblW w:type="auto" w:w="0"/>
        <w:jc w:val="center"/>
        <w:tblLook w:firstColumn="1" w:firstRow="1" w:lastColumn="0" w:lastRow="0" w:noHBand="0" w:noVBand="1" w:val="04A0"/>
      </w:tblPr>
      <w:tblGrid>
        <w:gridCol w:w="7938"/>
      </w:tblGrid>
      <w:tr>
        <w:tc>
          <w:tcPr>
            <w:tcW w:type="dxa" w:w="7776"/>
            <w:shd w:fill="F8FAFC"/>
            <w:tcMar>
              <w:top w:w="50" w:type="dxa"/>
              <w:bottom w:w="50" w:type="dxa"/>
              <w:left w:w="80" w:type="dxa"/>
              <w:right w:w="80" w:type="dxa"/>
            </w:tcMar>
            <w:tcBorders>
              <w:top w:val="single" w:sz="4" w:space="0" w:color="CBD5E1"/>
              <w:left w:val="single" w:sz="18" w:space="0" w:color="0284C7"/>
              <w:bottom w:val="single" w:sz="4" w:space="0" w:color="CBD5E1"/>
              <w:right w:val="single" w:sz="4" w:space="0" w:color="CBD5E1"/>
            </w:tcBorders>
          </w:tcPr>
          <w:p>
            <w:pPr>
              <w:spacing w:before="20" w:after="20" w:line="240" w:lineRule="auto"/>
            </w:pPr>
            <w:r>
              <w:rPr>
                <w:rFonts w:ascii="Consolas" w:hAnsi="Consolas"/>
                <w:b w:val="0"/>
                <w:i w:val="0"/>
                <w:color w:val="0F172A"/>
                <w:sz w:val="17"/>
              </w:rPr>
              <w:t>// src/app/api/patient/register/route.ts (Excerpt)</w:t>
              <w:br/>
              <w:t>import { NextRequest, NextResponse } from "next/server";</w:t>
              <w:br/>
              <w:t>import { prisma } from "@/lib/prisma";</w:t>
              <w:br/>
              <w:t>import { generateSecureOtp, sendRegistrationOtpEmail } from "@/lib/email-service";</w:t>
              <w:br/>
              <w:t>import { isValidIndianPinCode, isValidIndianState } from "@/lib/india-locations";</w:t>
              <w:br/>
              <w:br/>
              <w:t>export async function POST(req: NextRequest) {</w:t>
              <w:br/>
              <w:t xml:space="preserve">  try {</w:t>
              <w:br/>
              <w:t xml:space="preserve">    const body = await req.json();</w:t>
              <w:br/>
              <w:t xml:space="preserve">    const { name, email, password, phone, dob, gender, bloodGroup,</w:t>
              <w:br/>
              <w:t xml:space="preserve">            state, district, city, pinCode, address,</w:t>
              <w:br/>
              <w:t xml:space="preserve">            emergencyName, emergencyPhone, emergencyRelation } = body;</w:t>
              <w:br/>
              <w:br/>
              <w:t xml:space="preserve">    // Validate geographic parameters strictly for India</w:t>
              <w:br/>
              <w:t xml:space="preserve">    if (!isValidIndianState(state)) {</w:t>
              <w:br/>
              <w:t xml:space="preserve">      return NextResponse.json({ error: "Invalid State/UT selected" }, { status: 400 });</w:t>
              <w:br/>
              <w:t xml:space="preserve">    }</w:t>
              <w:br/>
              <w:t xml:space="preserve">    if (!isValidIndianPinCode(pinCode)) {</w:t>
              <w:br/>
              <w:t xml:space="preserve">      return NextResponse.json({ error: "Invalid 6-digit Indian PIN code" }, { status: 400 });</w:t>
              <w:br/>
              <w:t xml:space="preserve">    }</w:t>
              <w:br/>
              <w:t xml:space="preserve">    if (!emergencyName || !emergencyPhone) {</w:t>
              <w:br/>
              <w:t xml:space="preserve">      return NextResponse.json({ error: "Emergency contact details are mandatory" }, { status: 400 });</w:t>
              <w:br/>
              <w:t xml:space="preserve">    }</w:t>
              <w:br/>
              <w:br/>
              <w:t xml:space="preserve">    // Check existing account</w:t>
              <w:br/>
              <w:t xml:space="preserve">    const existing = await prisma.user.findUnique({ where: { email } });</w:t>
              <w:br/>
              <w:t xml:space="preserve">    if (existing) {</w:t>
              <w:br/>
              <w:t xml:space="preserve">      return NextResponse.json({ error: "An account with this email already exists" }, { status: 409 });</w:t>
              <w:br/>
              <w:t xml:space="preserve">    }</w:t>
              <w:br/>
              <w:br/>
              <w:t xml:space="preserve">    // Dispatch real cryptographic 6-digit OTP via Gmail SMTP TLS</w:t>
              <w:br/>
              <w:t xml:space="preserve">    const { otp, challengeId } = await generateSecureOtp(email, "REGISTRATION");</w:t>
              <w:br/>
              <w:t xml:space="preserve">    await sendRegistrationOtpEmail(email, name, otp);</w:t>
              <w:br/>
              <w:br/>
              <w:t xml:space="preserve">    return NextResponse.json({</w:t>
              <w:br/>
              <w:t xml:space="preserve">      success: true,</w:t>
              <w:br/>
              <w:t xml:space="preserve">      message: "Registration OTP dispatched successfully via Gmail SMTP",</w:t>
              <w:br/>
              <w:t xml:space="preserve">      challengeId,</w:t>
              <w:br/>
              <w:t xml:space="preserve">      email</w:t>
              <w:br/>
              <w:t xml:space="preserve">    });</w:t>
              <w:br/>
              <w:t xml:space="preserve">  } catch (err: any) {</w:t>
              <w:br/>
              <w:t xml:space="preserve">    return NextResponse.json({ error: err.message || "Registration failed" }, { status: 500 });</w:t>
              <w:br/>
              <w:t xml:space="preserve">  }</w:t>
              <w:br/>
              <w:t>}</w:t>
            </w:r>
          </w:p>
        </w:tc>
      </w:tr>
    </w:tbl>
    <w:p>
      <w:pPr>
        <w:spacing w:before="120" w:after="40" w:line="276" w:lineRule="auto"/>
        <w:jc w:val="left"/>
      </w:pPr>
      <w:r>
        <w:rPr>
          <w:rFonts w:ascii="Times New Roman" w:hAnsi="Times New Roman"/>
          <w:b/>
          <w:i/>
          <w:color w:val="000000"/>
          <w:sz w:val="24"/>
        </w:rPr>
        <w:t>5.1.2 Production Gmail SMTP Dispatch &amp; Challenge Verification (email-service.ts)</w:t>
      </w:r>
    </w:p>
    <w:p>
      <w:pPr>
        <w:spacing w:before="0" w:after="80" w:line="360" w:lineRule="auto"/>
        <w:jc w:val="both"/>
      </w:pPr>
      <w:r>
        <w:rPr>
          <w:rFonts w:ascii="Times New Roman" w:hAnsi="Times New Roman"/>
          <w:b w:val="0"/>
          <w:i w:val="0"/>
          <w:color w:val="000000"/>
          <w:sz w:val="24"/>
        </w:rPr>
        <w:t>The email service (`src/lib/email-service.ts`) manages production TLS communication with Google SMTP on port 587. It generates cryptographically strong random numbers, computes SHA-256 hashes to prevent plaintext OTP exposure in PostgreSQL, and sets a 10-minute expiry window.</w:t>
      </w:r>
    </w:p>
    <w:p>
      <w:pPr>
        <w:spacing w:before="80" w:after="40"/>
        <w:jc w:val="left"/>
      </w:pPr>
      <w:r>
        <w:rPr>
          <w:rFonts w:ascii="Times New Roman" w:hAnsi="Times New Roman"/>
          <w:b/>
          <w:i/>
          <w:color w:val="000000"/>
          <w:sz w:val="20"/>
        </w:rPr>
        <w:t>Code Listing 5.2: Production Gmail SMTP Transporter and SHA-256 Hashed OTP Engine</w:t>
      </w:r>
    </w:p>
    <w:tbl>
      <w:tblPr>
        <w:tblW w:type="auto" w:w="0"/>
        <w:jc w:val="center"/>
        <w:tblLook w:firstColumn="1" w:firstRow="1" w:lastColumn="0" w:lastRow="0" w:noHBand="0" w:noVBand="1" w:val="04A0"/>
      </w:tblPr>
      <w:tblGrid>
        <w:gridCol w:w="7938"/>
      </w:tblGrid>
      <w:tr>
        <w:tc>
          <w:tcPr>
            <w:tcW w:type="dxa" w:w="7776"/>
            <w:shd w:fill="F8FAFC"/>
            <w:tcMar>
              <w:top w:w="50" w:type="dxa"/>
              <w:bottom w:w="50" w:type="dxa"/>
              <w:left w:w="80" w:type="dxa"/>
              <w:right w:w="80" w:type="dxa"/>
            </w:tcMar>
            <w:tcBorders>
              <w:top w:val="single" w:sz="4" w:space="0" w:color="CBD5E1"/>
              <w:left w:val="single" w:sz="18" w:space="0" w:color="0284C7"/>
              <w:bottom w:val="single" w:sz="4" w:space="0" w:color="CBD5E1"/>
              <w:right w:val="single" w:sz="4" w:space="0" w:color="CBD5E1"/>
            </w:tcBorders>
          </w:tcPr>
          <w:p>
            <w:pPr>
              <w:spacing w:before="20" w:after="20" w:line="240" w:lineRule="auto"/>
            </w:pPr>
            <w:r>
              <w:rPr>
                <w:rFonts w:ascii="Consolas" w:hAnsi="Consolas"/>
                <w:b w:val="0"/>
                <w:i w:val="0"/>
                <w:color w:val="0F172A"/>
                <w:sz w:val="17"/>
              </w:rPr>
              <w:t>// src/lib/email-service.ts (Excerpt)</w:t>
              <w:br/>
              <w:t>import nodemailer from "nodemailer";</w:t>
              <w:br/>
              <w:t>import crypto from "crypto";</w:t>
              <w:br/>
              <w:t>import { prisma } from "@/lib/prisma";</w:t>
              <w:br/>
              <w:br/>
              <w:t>const transporter = nodemailer.createTransport({</w:t>
              <w:br/>
              <w:t xml:space="preserve">  host: process.env.SMTP_HOST || "smtp.gmail.com",</w:t>
              <w:br/>
              <w:t xml:space="preserve">  port: parseInt(process.env.SMTP_PORT || "587"),</w:t>
              <w:br/>
              <w:t xml:space="preserve">  secure: false, // true for 465, false for 587 with STARTTLS</w:t>
              <w:br/>
              <w:t xml:space="preserve">  auth: {</w:t>
              <w:br/>
              <w:t xml:space="preserve">    user: process.env.SMTP_USER,</w:t>
              <w:br/>
              <w:t xml:space="preserve">    pass: process.env.SMTP_APP_PASSWORD,</w:t>
              <w:br/>
              <w:t xml:space="preserve">  },</w:t>
              <w:br/>
              <w:t xml:space="preserve">  tls: { rejectUnauthorized: true }</w:t>
              <w:br/>
              <w:t>});</w:t>
              <w:br/>
              <w:br/>
              <w:t>export async function generateSecureOtp(email: string, purpose: string) {</w:t>
              <w:br/>
              <w:t xml:space="preserve">  const otp = crypto.randomInt(100000, 999999).toString();</w:t>
              <w:br/>
              <w:t xml:space="preserve">  const hashedOtp = crypto.createHash("sha256").update(otp).digest("hex");</w:t>
              <w:br/>
              <w:t xml:space="preserve">  const expiresAt = new Date(Date.now() + 10 * 60 * 1000); // 10 minutes</w:t>
              <w:br/>
              <w:br/>
              <w:t xml:space="preserve">  const challenge = await prisma.otpChallenge.create({</w:t>
              <w:br/>
              <w:t xml:space="preserve">    data: { email, hashedOtp, purpose, expiresAt, verified: false }</w:t>
              <w:br/>
              <w:t xml:space="preserve">  });</w:t>
              <w:br/>
              <w:t xml:space="preserve">  return { otp, challengeId: challenge.id };</w:t>
              <w:br/>
              <w:t>}</w:t>
              <w:br/>
              <w:br/>
              <w:t>export async function sendRegistrationOtpEmail(to: string, name: string, otp: string) {</w:t>
              <w:br/>
              <w:t xml:space="preserve">  const mailOptions = {</w:t>
              <w:br/>
              <w:t xml:space="preserve">    from: `"${process.env.EMAIL_FROM_NAME || 'Nexo Medico AI'}" &lt;${process.env.EMAIL_FROM || process.env.SMTP_USER}&gt;`,</w:t>
              <w:br/>
              <w:t xml:space="preserve">    to: to.trim().toLowerCase(),</w:t>
              <w:br/>
              <w:t xml:space="preserve">    subject: "Your Nexo Medico AI Identity Verification Code",</w:t>
              <w:br/>
              <w:t xml:space="preserve">    html: `</w:t>
              <w:br/>
              <w:t xml:space="preserve">      &lt;div style="font-family: Arial, sans-serif; padding: 20px; color: #1e293b;"&gt;</w:t>
              <w:br/>
              <w:t xml:space="preserve">        &lt;h2&gt;Nexo Medico AI — Patient Identity Verification&lt;/h2&gt;</w:t>
              <w:br/>
              <w:t xml:space="preserve">        &lt;p&gt;Dear ${name},&lt;/p&gt;</w:t>
              <w:br/>
              <w:t xml:space="preserve">        &lt;p&gt;Your 6-digit verification code for secure healthcare onboarding is:&lt;/p&gt;</w:t>
              <w:br/>
              <w:t xml:space="preserve">        &lt;div style="font-size: 28px; font-weight: bold; letter-spacing: 6px; color: #0284c7; padding: 12px 0;"&gt;</w:t>
              <w:br/>
              <w:t xml:space="preserve">          ${otp}</w:t>
              <w:br/>
              <w:t xml:space="preserve">        &lt;/div&gt;</w:t>
              <w:br/>
              <w:t xml:space="preserve">        &lt;p&gt;This code will expire in 10 minutes. If you did not request this, please disregard this email.&lt;/p&gt;</w:t>
              <w:br/>
              <w:t xml:space="preserve">      &lt;/div&gt;`</w:t>
              <w:br/>
              <w:t xml:space="preserve">  };</w:t>
              <w:br/>
              <w:t xml:space="preserve">  return await transporter.sendMail(mailOptions);</w:t>
              <w:br/>
              <w:t>}</w:t>
            </w:r>
          </w:p>
        </w:tc>
      </w:tr>
    </w:tbl>
    <w:p>
      <w:pPr>
        <w:spacing w:before="120" w:after="40" w:line="276" w:lineRule="auto"/>
        <w:jc w:val="left"/>
      </w:pPr>
      <w:r>
        <w:rPr>
          <w:rFonts w:ascii="Times New Roman" w:hAnsi="Times New Roman"/>
          <w:b/>
          <w:i/>
          <w:color w:val="000000"/>
          <w:sz w:val="24"/>
        </w:rPr>
        <w:t>5.1.3 Unguessable Emergency QR Token Generation &amp; Resolution (route.ts)</w:t>
      </w:r>
    </w:p>
    <w:p>
      <w:pPr>
        <w:spacing w:before="0" w:after="80" w:line="360" w:lineRule="auto"/>
        <w:jc w:val="both"/>
      </w:pPr>
      <w:r>
        <w:rPr>
          <w:rFonts w:ascii="Times New Roman" w:hAnsi="Times New Roman"/>
          <w:b w:val="0"/>
          <w:i w:val="0"/>
          <w:color w:val="000000"/>
          <w:sz w:val="24"/>
        </w:rPr>
        <w:t>The Emergency QR resolution endpoint (`src/app/api/emergency/qr/[token]/route.ts`) resolves public emergency profiles. It queries the database solely by the 64-character unguessable token and strictly filters out all confidential EHR records, returning only life-saving triage parameters.</w:t>
      </w:r>
    </w:p>
    <w:p>
      <w:pPr>
        <w:spacing w:before="80" w:after="40"/>
        <w:jc w:val="left"/>
      </w:pPr>
      <w:r>
        <w:rPr>
          <w:rFonts w:ascii="Times New Roman" w:hAnsi="Times New Roman"/>
          <w:b/>
          <w:i/>
          <w:color w:val="000000"/>
          <w:sz w:val="20"/>
        </w:rPr>
        <w:t>Code Listing 5.3: Emergency QR Public Resolution Handler with Field-Level Data Segregation</w:t>
      </w:r>
    </w:p>
    <w:tbl>
      <w:tblPr>
        <w:tblW w:type="auto" w:w="0"/>
        <w:jc w:val="center"/>
        <w:tblLook w:firstColumn="1" w:firstRow="1" w:lastColumn="0" w:lastRow="0" w:noHBand="0" w:noVBand="1" w:val="04A0"/>
      </w:tblPr>
      <w:tblGrid>
        <w:gridCol w:w="7938"/>
      </w:tblGrid>
      <w:tr>
        <w:tc>
          <w:tcPr>
            <w:tcW w:type="dxa" w:w="7776"/>
            <w:shd w:fill="F8FAFC"/>
            <w:tcMar>
              <w:top w:w="50" w:type="dxa"/>
              <w:bottom w:w="50" w:type="dxa"/>
              <w:left w:w="80" w:type="dxa"/>
              <w:right w:w="80" w:type="dxa"/>
            </w:tcMar>
            <w:tcBorders>
              <w:top w:val="single" w:sz="4" w:space="0" w:color="CBD5E1"/>
              <w:left w:val="single" w:sz="18" w:space="0" w:color="0284C7"/>
              <w:bottom w:val="single" w:sz="4" w:space="0" w:color="CBD5E1"/>
              <w:right w:val="single" w:sz="4" w:space="0" w:color="CBD5E1"/>
            </w:tcBorders>
          </w:tcPr>
          <w:p>
            <w:pPr>
              <w:spacing w:before="20" w:after="20" w:line="240" w:lineRule="auto"/>
            </w:pPr>
            <w:r>
              <w:rPr>
                <w:rFonts w:ascii="Consolas" w:hAnsi="Consolas"/>
                <w:b w:val="0"/>
                <w:i w:val="0"/>
                <w:color w:val="0F172A"/>
                <w:sz w:val="17"/>
              </w:rPr>
              <w:t>// src/app/api/emergency/qr/[token]/route.ts (Excerpt)</w:t>
              <w:br/>
              <w:t>import { NextRequest, NextResponse } from "next/server";</w:t>
              <w:br/>
              <w:t>import { prisma } from "@/lib/prisma";</w:t>
              <w:br/>
              <w:br/>
              <w:t>export async function GET(req: NextRequest, { params }: { params: { token: string } }) {</w:t>
              <w:br/>
              <w:t xml:space="preserve">  try {</w:t>
              <w:br/>
              <w:t xml:space="preserve">    const { token } = params;</w:t>
              <w:br/>
              <w:t xml:space="preserve">    if (!token || token.length &lt; 32) {</w:t>
              <w:br/>
              <w:t xml:space="preserve">      return NextResponse.json({ error: "Invalid emergency identification token" }, { status: 400 });</w:t>
              <w:br/>
              <w:t xml:space="preserve">    }</w:t>
              <w:br/>
              <w:br/>
              <w:t xml:space="preserve">    // Resolve emergency profile via unique token index with strict field projection</w:t>
              <w:br/>
              <w:t xml:space="preserve">    const profile = await prisma.patientEmergencyProfile.findUnique({</w:t>
              <w:br/>
              <w:t xml:space="preserve">      where: { emergencyToken: token },</w:t>
              <w:br/>
              <w:t xml:space="preserve">      select: {</w:t>
              <w:br/>
              <w:t xml:space="preserve">        id: true,</w:t>
              <w:br/>
              <w:t xml:space="preserve">        bloodGroup: true,</w:t>
              <w:br/>
              <w:t xml:space="preserve">        allergies: true,</w:t>
              <w:br/>
              <w:t xml:space="preserve">        chronicConditions: true,</w:t>
              <w:br/>
              <w:t xml:space="preserve">        emergencyContactName: true,</w:t>
              <w:br/>
              <w:t xml:space="preserve">        emergencyContactPhone: true,</w:t>
              <w:br/>
              <w:t xml:space="preserve">        emergencyRelation: true,</w:t>
              <w:br/>
              <w:t xml:space="preserve">        updatedAt: true,</w:t>
              <w:br/>
              <w:t xml:space="preserve">        patient: {</w:t>
              <w:br/>
              <w:t xml:space="preserve">          select: {</w:t>
              <w:br/>
              <w:t xml:space="preserve">            uphid: true, // Universal Patient Health ID</w:t>
              <w:br/>
              <w:t xml:space="preserve">            gender: true,</w:t>
              <w:br/>
              <w:t xml:space="preserve">            dob: true,</w:t>
              <w:br/>
              <w:t xml:space="preserve">            user: { select: { name: true } }</w:t>
              <w:br/>
              <w:t xml:space="preserve">          }</w:t>
              <w:br/>
              <w:t xml:space="preserve">        }</w:t>
              <w:br/>
              <w:t xml:space="preserve">      }</w:t>
              <w:br/>
              <w:t xml:space="preserve">    });</w:t>
              <w:br/>
              <w:br/>
              <w:t xml:space="preserve">    if (!profile) {</w:t>
              <w:br/>
              <w:t xml:space="preserve">      return NextResponse.json({ error: "Emergency profile not found or revoked" }, { status: 404 });</w:t>
              <w:br/>
              <w:t xml:space="preserve">    }</w:t>
              <w:br/>
              <w:br/>
              <w:t xml:space="preserve">    const age = new Date().getFullYear() - new Date(profile.patient.dob).getFullYear();</w:t>
              <w:br/>
              <w:br/>
              <w:t xml:space="preserve">    return NextResponse.json({</w:t>
              <w:br/>
              <w:t xml:space="preserve">      success: true,</w:t>
              <w:br/>
              <w:t xml:space="preserve">      emergencyData: {</w:t>
              <w:br/>
              <w:t xml:space="preserve">        uphid: profile.patient.uphid,</w:t>
              <w:br/>
              <w:t xml:space="preserve">        patientName: profile.patient.user.name,</w:t>
              <w:br/>
              <w:t xml:space="preserve">        age,</w:t>
              <w:br/>
              <w:t xml:space="preserve">        gender: profile.patient.gender,</w:t>
              <w:br/>
              <w:t xml:space="preserve">        bloodGroup: profile.bloodGroup,</w:t>
              <w:br/>
              <w:t xml:space="preserve">        allergies: profile.allergies,</w:t>
              <w:br/>
              <w:t xml:space="preserve">        chronicConditions: profile.chronicConditions,</w:t>
              <w:br/>
              <w:t xml:space="preserve">        emergencyContact: {</w:t>
              <w:br/>
              <w:t xml:space="preserve">          name: profile.emergencyContactName,</w:t>
              <w:br/>
              <w:t xml:space="preserve">          phone: profile.emergencyContactPhone,</w:t>
              <w:br/>
              <w:t xml:space="preserve">          relation: profile.emergencyRelation</w:t>
              <w:br/>
              <w:t xml:space="preserve">        },</w:t>
              <w:br/>
              <w:t xml:space="preserve">        verifiedAt: profile.updatedAt</w:t>
              <w:br/>
              <w:t xml:space="preserve">      }</w:t>
              <w:br/>
              <w:t xml:space="preserve">    });</w:t>
              <w:br/>
              <w:t xml:space="preserve">  } catch (err: any) {</w:t>
              <w:br/>
              <w:t xml:space="preserve">    return NextResponse.json({ error: "Internal resolution failure" }, { status: 500 });</w:t>
              <w:br/>
              <w:t xml:space="preserve">  }</w:t>
              <w:br/>
              <w:t>}</w:t>
            </w:r>
          </w:p>
        </w:tc>
      </w:tr>
    </w:tbl>
    <w:p>
      <w:pPr>
        <w:spacing w:before="120" w:after="40" w:line="276" w:lineRule="auto"/>
        <w:jc w:val="left"/>
      </w:pPr>
      <w:r>
        <w:rPr>
          <w:rFonts w:ascii="Times New Roman" w:hAnsi="Times New Roman"/>
          <w:b/>
          <w:i/>
          <w:color w:val="000000"/>
          <w:sz w:val="24"/>
        </w:rPr>
        <w:t>5.1.4 FastAPI Explainable Clinical Decision Support Microservice (main.py)</w:t>
      </w:r>
    </w:p>
    <w:p>
      <w:pPr>
        <w:spacing w:before="0" w:after="80" w:line="360" w:lineRule="auto"/>
        <w:jc w:val="both"/>
      </w:pPr>
      <w:r>
        <w:rPr>
          <w:rFonts w:ascii="Times New Roman" w:hAnsi="Times New Roman"/>
          <w:b w:val="0"/>
          <w:i w:val="0"/>
          <w:color w:val="000000"/>
          <w:sz w:val="24"/>
        </w:rPr>
        <w:t>The Python AI microservice (`ai_service/main.py`) exposes high-performance asynchronous REST endpoints. It executes machine learning risk predictions and computes SHAP feature attributions in real time.</w:t>
      </w:r>
    </w:p>
    <w:p>
      <w:pPr>
        <w:spacing w:before="80" w:after="40"/>
        <w:jc w:val="left"/>
      </w:pPr>
      <w:r>
        <w:rPr>
          <w:rFonts w:ascii="Times New Roman" w:hAnsi="Times New Roman"/>
          <w:b/>
          <w:i/>
          <w:color w:val="000000"/>
          <w:sz w:val="20"/>
        </w:rPr>
        <w:t>Code Listing 5.4: FastAPI Clinical Decision Support Endpoint with Real-Time SHAP Attributions</w:t>
      </w:r>
    </w:p>
    <w:tbl>
      <w:tblPr>
        <w:tblW w:type="auto" w:w="0"/>
        <w:jc w:val="center"/>
        <w:tblLook w:firstColumn="1" w:firstRow="1" w:lastColumn="0" w:lastRow="0" w:noHBand="0" w:noVBand="1" w:val="04A0"/>
      </w:tblPr>
      <w:tblGrid>
        <w:gridCol w:w="7938"/>
      </w:tblGrid>
      <w:tr>
        <w:tc>
          <w:tcPr>
            <w:tcW w:type="dxa" w:w="7776"/>
            <w:shd w:fill="F8FAFC"/>
            <w:tcMar>
              <w:top w:w="50" w:type="dxa"/>
              <w:bottom w:w="50" w:type="dxa"/>
              <w:left w:w="80" w:type="dxa"/>
              <w:right w:w="80" w:type="dxa"/>
            </w:tcMar>
            <w:tcBorders>
              <w:top w:val="single" w:sz="4" w:space="0" w:color="CBD5E1"/>
              <w:left w:val="single" w:sz="18" w:space="0" w:color="0284C7"/>
              <w:bottom w:val="single" w:sz="4" w:space="0" w:color="CBD5E1"/>
              <w:right w:val="single" w:sz="4" w:space="0" w:color="CBD5E1"/>
            </w:tcBorders>
          </w:tcPr>
          <w:p>
            <w:pPr>
              <w:spacing w:before="20" w:after="20" w:line="240" w:lineRule="auto"/>
            </w:pPr>
            <w:r>
              <w:rPr>
                <w:rFonts w:ascii="Consolas" w:hAnsi="Consolas"/>
                <w:b w:val="0"/>
                <w:i w:val="0"/>
                <w:color w:val="0F172A"/>
                <w:sz w:val="17"/>
              </w:rPr>
              <w:t># ai_service/main.py (Excerpt)</w:t>
              <w:br/>
              <w:t>from fastapi import FastAPI, HTTPException</w:t>
              <w:br/>
              <w:t>from pydantic import BaseModel</w:t>
              <w:br/>
              <w:t>from typing import List</w:t>
              <w:br/>
              <w:t>import numpy as np</w:t>
              <w:br/>
              <w:t>import shap</w:t>
              <w:br/>
              <w:br/>
              <w:t>app = FastAPI(title="Nexo Medico AI — Clinical Decision Support Engine")</w:t>
              <w:br/>
              <w:br/>
              <w:t>class ClinicalFeaturePayload(BaseModel):</w:t>
              <w:br/>
              <w:t xml:space="preserve">    patient_id: str</w:t>
              <w:br/>
              <w:t xml:space="preserve">    age: int</w:t>
              <w:br/>
              <w:t xml:space="preserve">    systolic_bp: float</w:t>
              <w:br/>
              <w:t xml:space="preserve">    diastolic_bp: float</w:t>
              <w:br/>
              <w:t xml:space="preserve">    fasting_glucose: float</w:t>
              <w:br/>
              <w:t xml:space="preserve">    hba1c: float</w:t>
              <w:br/>
              <w:t xml:space="preserve">    cholesterol: float</w:t>
              <w:br/>
              <w:t xml:space="preserve">    bmi: float</w:t>
              <w:br/>
              <w:t xml:space="preserve">    symptoms: List[str]</w:t>
              <w:br/>
              <w:br/>
              <w:t>@app.post("/api/predict/disease")</w:t>
              <w:br/>
              <w:t>async def predict_disease_risk(payload: ClinicalFeaturePayload):</w:t>
              <w:br/>
              <w:t xml:space="preserve">    try:</w:t>
              <w:br/>
              <w:t xml:space="preserve">        features = np.array([[</w:t>
              <w:br/>
              <w:t xml:space="preserve">            payload.age, payload.systolic_bp, payload.diastolic_bp,</w:t>
              <w:br/>
              <w:t xml:space="preserve">            payload.fasting_glucose, payload.hba1c, payload.cholesterol, payload.bmi</w:t>
              <w:br/>
              <w:t xml:space="preserve">        ]])</w:t>
              <w:br/>
              <w:t xml:space="preserve">        </w:t>
              <w:br/>
              <w:t xml:space="preserve">        model = models.get("diabetes_cvd_ensemble")</w:t>
              <w:br/>
              <w:t xml:space="preserve">        explainer = explainers.get("diabetes_cvd_ensemble")</w:t>
              <w:br/>
              <w:t xml:space="preserve">        </w:t>
              <w:br/>
              <w:t xml:space="preserve">        probabilities = model.predict_proba(features)[0]</w:t>
              <w:br/>
              <w:t xml:space="preserve">        risk_score = float(probabilities[1])</w:t>
              <w:br/>
              <w:t xml:space="preserve">        </w:t>
              <w:br/>
              <w:t xml:space="preserve">        # Compute SHAP feature attributions for local explainability</w:t>
              <w:br/>
              <w:t xml:space="preserve">        shap_values = explainer.shap_values(features)</w:t>
              <w:br/>
              <w:t xml:space="preserve">        feature_names = ["Age", "Systolic BP", "Diastolic BP", "Fasting Glucose", "HbA1c", "Cholesterol", "BMI"]</w:t>
              <w:br/>
              <w:t xml:space="preserve">        </w:t>
              <w:br/>
              <w:t xml:space="preserve">        contributions = []</w:t>
              <w:br/>
              <w:t xml:space="preserve">        for name, val, sv in zip(feature_names, features[0], shap_values[1][0] if isinstance(shap_values, list) else shap_values[0]):</w:t>
              <w:br/>
              <w:t xml:space="preserve">            contributions.append({</w:t>
              <w:br/>
              <w:t xml:space="preserve">                "feature": name,</w:t>
              <w:br/>
              <w:t xml:space="preserve">                "value": float(val),</w:t>
              <w:br/>
              <w:t xml:space="preserve">                "shap_attribution": float(sv),</w:t>
              <w:br/>
              <w:t xml:space="preserve">                "direction": "RISK_INCREASING" if sv &gt; 0 else "RISK_DECREASING"</w:t>
              <w:br/>
              <w:t xml:space="preserve">            })</w:t>
              <w:br/>
              <w:t xml:space="preserve">            </w:t>
              <w:br/>
              <w:t xml:space="preserve">        contributions.sort(key=lambda x: abs(x["shap_attribution"]), reverse=True)</w:t>
              <w:br/>
              <w:br/>
              <w:t xml:space="preserve">        return {</w:t>
              <w:br/>
              <w:t xml:space="preserve">            "status": "success",</w:t>
              <w:br/>
              <w:t xml:space="preserve">            "risk_score": round(risk_score, 4),</w:t>
              <w:br/>
              <w:t xml:space="preserve">            "risk_category": "HIGH" if risk_score &gt; 0.7 else ("MODERATE" if risk_score &gt; 0.35 else "LOW"),</w:t>
              <w:br/>
              <w:t xml:space="preserve">            "primary_factors": contributions[:4],</w:t>
              <w:br/>
              <w:t xml:space="preserve">            "full_attributions": contributions</w:t>
              <w:br/>
              <w:t xml:space="preserve">        }</w:t>
              <w:br/>
              <w:t xml:space="preserve">    except Exception as e:</w:t>
              <w:br/>
              <w:t xml:space="preserve">        raise HTTPException(status_code=500, detail=str(e))</w:t>
            </w:r>
          </w:p>
        </w:tc>
      </w:tr>
    </w:tbl>
    <w:p>
      <w:pPr>
        <w:spacing w:before="120" w:after="40" w:line="276" w:lineRule="auto"/>
        <w:jc w:val="left"/>
      </w:pPr>
      <w:r>
        <w:rPr>
          <w:rFonts w:ascii="Times New Roman" w:hAnsi="Times New Roman"/>
          <w:b/>
          <w:i/>
          <w:color w:val="000000"/>
          <w:sz w:val="24"/>
        </w:rPr>
        <w:t>5.1.5 Multi-Tenant Relational Database Schema (schema.prisma)</w:t>
      </w:r>
    </w:p>
    <w:p>
      <w:pPr>
        <w:spacing w:before="0" w:after="80" w:line="360" w:lineRule="auto"/>
        <w:jc w:val="both"/>
      </w:pPr>
      <w:r>
        <w:rPr>
          <w:rFonts w:ascii="Times New Roman" w:hAnsi="Times New Roman"/>
          <w:b w:val="0"/>
          <w:i w:val="0"/>
          <w:color w:val="000000"/>
          <w:sz w:val="24"/>
        </w:rPr>
        <w:t>The relational schema (`prisma/schema.prisma`) implements 33 models anchoring multi-tenancy, clinical encounters, and emergency profiles with strict referential constraints.</w:t>
      </w:r>
    </w:p>
    <w:p>
      <w:pPr>
        <w:spacing w:before="80" w:after="40"/>
        <w:jc w:val="left"/>
      </w:pPr>
      <w:r>
        <w:rPr>
          <w:rFonts w:ascii="Times New Roman" w:hAnsi="Times New Roman"/>
          <w:b/>
          <w:i/>
          <w:color w:val="000000"/>
          <w:sz w:val="20"/>
        </w:rPr>
        <w:t>Code Listing 5.5: Prisma Multi-Tenant Relational Schema Defining Emergency Profiles and 2FA</w:t>
      </w:r>
    </w:p>
    <w:tbl>
      <w:tblPr>
        <w:tblW w:type="auto" w:w="0"/>
        <w:jc w:val="center"/>
        <w:tblLook w:firstColumn="1" w:firstRow="1" w:lastColumn="0" w:lastRow="0" w:noHBand="0" w:noVBand="1" w:val="04A0"/>
      </w:tblPr>
      <w:tblGrid>
        <w:gridCol w:w="7938"/>
      </w:tblGrid>
      <w:tr>
        <w:tc>
          <w:tcPr>
            <w:tcW w:type="dxa" w:w="7776"/>
            <w:shd w:fill="F8FAFC"/>
            <w:tcMar>
              <w:top w:w="50" w:type="dxa"/>
              <w:bottom w:w="50" w:type="dxa"/>
              <w:left w:w="80" w:type="dxa"/>
              <w:right w:w="80" w:type="dxa"/>
            </w:tcMar>
            <w:tcBorders>
              <w:top w:val="single" w:sz="4" w:space="0" w:color="CBD5E1"/>
              <w:left w:val="single" w:sz="18" w:space="0" w:color="0284C7"/>
              <w:bottom w:val="single" w:sz="4" w:space="0" w:color="CBD5E1"/>
              <w:right w:val="single" w:sz="4" w:space="0" w:color="CBD5E1"/>
            </w:tcBorders>
          </w:tcPr>
          <w:p>
            <w:pPr>
              <w:spacing w:before="20" w:after="20" w:line="240" w:lineRule="auto"/>
            </w:pPr>
            <w:r>
              <w:rPr>
                <w:rFonts w:ascii="Consolas" w:hAnsi="Consolas"/>
                <w:b w:val="0"/>
                <w:i w:val="0"/>
                <w:color w:val="0F172A"/>
                <w:sz w:val="17"/>
              </w:rPr>
              <w:t>// prisma/schema.prisma (Excerpt)</w:t>
              <w:br/>
              <w:t>datasource db {</w:t>
              <w:br/>
              <w:t xml:space="preserve">  provider = "postgresql"</w:t>
              <w:br/>
              <w:t xml:space="preserve">  url      = env("DATABASE_URL")</w:t>
              <w:br/>
              <w:t>}</w:t>
              <w:br/>
              <w:br/>
              <w:t>model Hospital {</w:t>
              <w:br/>
              <w:t xml:space="preserve">  id          String   @id @default(cuid())</w:t>
              <w:br/>
              <w:t xml:space="preserve">  name        String</w:t>
              <w:br/>
              <w:t xml:space="preserve">  code        String   @unique</w:t>
              <w:br/>
              <w:t xml:space="preserve">  city        String</w:t>
              <w:br/>
              <w:t xml:space="preserve">  state       String</w:t>
              <w:br/>
              <w:t xml:space="preserve">  users       User[]</w:t>
              <w:br/>
              <w:t xml:space="preserve">  wards       Ward[]</w:t>
              <w:br/>
              <w:t xml:space="preserve">  createdAt   DateTime @default(now())</w:t>
              <w:br/>
              <w:t>}</w:t>
              <w:br/>
              <w:br/>
              <w:t>model User {</w:t>
              <w:br/>
              <w:t xml:space="preserve">  id           String    @id @default(cuid())</w:t>
              <w:br/>
              <w:t xml:space="preserve">  hospitalId   String?</w:t>
              <w:br/>
              <w:t xml:space="preserve">  hospital     Hospital? @relation(fields: [hospitalId], references: [id])</w:t>
              <w:br/>
              <w:t xml:space="preserve">  name         String</w:t>
              <w:br/>
              <w:t xml:space="preserve">  email        String    @unique</w:t>
              <w:br/>
              <w:t xml:space="preserve">  passwordHash String</w:t>
              <w:br/>
              <w:t xml:space="preserve">  role         UserRole  @default(PATIENT)</w:t>
              <w:br/>
              <w:t xml:space="preserve">  patient      Patient?</w:t>
              <w:br/>
              <w:t xml:space="preserve">  doctor       Doctor?</w:t>
              <w:br/>
              <w:t xml:space="preserve">  createdAt    DateTime  @default(now())</w:t>
              <w:br/>
              <w:t>}</w:t>
              <w:br/>
              <w:br/>
              <w:t>model Patient {</w:t>
              <w:br/>
              <w:t xml:space="preserve">  id               String                  @id @default(cuid())</w:t>
              <w:br/>
              <w:t xml:space="preserve">  userId           String                  @unique</w:t>
              <w:br/>
              <w:t xml:space="preserve">  user             User                    @relation(fields: [userId], references: [id], onDelete: Cascade)</w:t>
              <w:br/>
              <w:t xml:space="preserve">  uphid            String                  @unique // Universal Patient Health ID</w:t>
              <w:br/>
              <w:t xml:space="preserve">  dob              DateTime</w:t>
              <w:br/>
              <w:t xml:space="preserve">  gender           String</w:t>
              <w:br/>
              <w:t xml:space="preserve">  bloodGroup       String</w:t>
              <w:br/>
              <w:t xml:space="preserve">  emergencyProfile PatientEmergencyProfile?</w:t>
              <w:br/>
              <w:t xml:space="preserve">  consultations    Consultation[]</w:t>
              <w:br/>
              <w:t xml:space="preserve">  prescriptions    Prescription[]</w:t>
              <w:br/>
              <w:t>}</w:t>
              <w:br/>
              <w:br/>
              <w:t>model PatientEmergencyProfile {</w:t>
              <w:br/>
              <w:t xml:space="preserve">  id                   String   @id @default(cuid())</w:t>
              <w:br/>
              <w:t xml:space="preserve">  patientId            String   @unique</w:t>
              <w:br/>
              <w:t xml:space="preserve">  patient              Patient  @relation(fields: [patientId], references: [id], onDelete: Cascade)</w:t>
              <w:br/>
              <w:t xml:space="preserve">  emergencyToken       String   @unique // 64-char unguessable cryptographic token</w:t>
              <w:br/>
              <w:t xml:space="preserve">  bloodGroup           String</w:t>
              <w:br/>
              <w:t xml:space="preserve">  allergies            String[]</w:t>
              <w:br/>
              <w:t xml:space="preserve">  chronicConditions    String[]</w:t>
              <w:br/>
              <w:t xml:space="preserve">  emergencyContactName String</w:t>
              <w:br/>
              <w:t xml:space="preserve">  emergencyContactPhone String</w:t>
              <w:br/>
              <w:t xml:space="preserve">  updatedAt            DateTime @updatedAt</w:t>
              <w:br/>
              <w:t>}</w:t>
            </w:r>
          </w:p>
        </w:tc>
      </w:tr>
    </w:tbl>
    <w:p>
      <w:pPr>
        <w:spacing w:before="200" w:after="40" w:line="276" w:lineRule="auto"/>
        <w:jc w:val="left"/>
      </w:pPr>
      <w:r>
        <w:rPr>
          <w:rFonts w:ascii="Times New Roman" w:hAnsi="Times New Roman"/>
          <w:b/>
          <w:i w:val="0"/>
          <w:color w:val="000000"/>
          <w:sz w:val="24"/>
        </w:rPr>
        <w:t>5.2 Application Screenshots and Visual Walkthrough</w:t>
      </w:r>
    </w:p>
    <w:p>
      <w:pPr>
        <w:spacing w:before="0" w:after="80" w:line="360" w:lineRule="auto"/>
        <w:jc w:val="both"/>
      </w:pPr>
      <w:r>
        <w:rPr>
          <w:rFonts w:ascii="Times New Roman" w:hAnsi="Times New Roman"/>
          <w:b w:val="0"/>
          <w:i w:val="0"/>
          <w:color w:val="000000"/>
          <w:sz w:val="24"/>
        </w:rPr>
        <w:t>This section presents authentic visual captures of the running NEXO MEDICO AI platform. The ten figures below demonstrate the end-to-end user workflows, from patient registration and cryptographic email OTP dispatch to clinical decision support, multi-tenant ward management, pharmacy dispensing, and laboratory diagnostics.</w:t>
      </w:r>
    </w:p>
    <w:p>
      <w:pPr>
        <w:spacing w:before="80" w:after="40" w:line="240" w:lineRule="auto"/>
        <w:jc w:val="center"/>
      </w:pPr>
      <w:r>
        <w:drawing>
          <wp:inline xmlns:a="http://schemas.openxmlformats.org/drawingml/2006/main" xmlns:pic="http://schemas.openxmlformats.org/drawingml/2006/picture">
            <wp:extent cx="4206240" cy="2361902"/>
            <wp:docPr id="13" name="Picture 13"/>
            <wp:cNvGraphicFramePr>
              <a:graphicFrameLocks noChangeAspect="1"/>
            </wp:cNvGraphicFramePr>
            <a:graphic>
              <a:graphicData uri="http://schemas.openxmlformats.org/drawingml/2006/picture">
                <pic:pic>
                  <pic:nvPicPr>
                    <pic:cNvPr id="0" name="Fig_5_1_Patient_Registration_OTP_Modal.png"/>
                    <pic:cNvPicPr/>
                  </pic:nvPicPr>
                  <pic:blipFill>
                    <a:blip r:embed="rId25"/>
                    <a:stretch>
                      <a:fillRect/>
                    </a:stretch>
                  </pic:blipFill>
                  <pic:spPr>
                    <a:xfrm>
                      <a:off x="0" y="0"/>
                      <a:ext cx="4206240" cy="2361902"/>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5.1: Patient Identity Verification OTP Modal</w:t>
      </w:r>
    </w:p>
    <w:p>
      <w:pPr>
        <w:spacing w:before="40" w:after="200" w:line="360" w:lineRule="auto"/>
        <w:jc w:val="both"/>
      </w:pPr>
      <w:r>
        <w:rPr>
          <w:rFonts w:ascii="Times New Roman" w:hAnsi="Times New Roman"/>
          <w:b w:val="0"/>
          <w:i w:val="0"/>
          <w:color w:val="000000"/>
          <w:sz w:val="22"/>
        </w:rPr>
        <w:t>Figure 5.1 illustrates the interactive two-factor authentication modal triggered during patient self-registration. The dialog indicates that a secure 6-digit registration code was dispatched via Gmail SMTP TLS to the candidate's verified email. A live 10-minute countdown timer enforces challenge validity, and input fields restrict entry strictly to numeric digits.</w:t>
      </w:r>
    </w:p>
    <w:p>
      <w:pPr>
        <w:spacing w:before="80" w:after="40" w:line="240" w:lineRule="auto"/>
        <w:jc w:val="center"/>
      </w:pPr>
      <w:r>
        <w:drawing>
          <wp:inline xmlns:a="http://schemas.openxmlformats.org/drawingml/2006/main" xmlns:pic="http://schemas.openxmlformats.org/drawingml/2006/picture">
            <wp:extent cx="1431428" cy="3200400"/>
            <wp:docPr id="14" name="Picture 14"/>
            <wp:cNvGraphicFramePr>
              <a:graphicFrameLocks noChangeAspect="1"/>
            </wp:cNvGraphicFramePr>
            <a:graphic>
              <a:graphicData uri="http://schemas.openxmlformats.org/drawingml/2006/picture">
                <pic:pic>
                  <pic:nvPicPr>
                    <pic:cNvPr id="0" name="Fig_5_2_Gmail_SMTP_OTP_Dispatch.png"/>
                    <pic:cNvPicPr/>
                  </pic:nvPicPr>
                  <pic:blipFill>
                    <a:blip r:embed="rId26"/>
                    <a:stretch>
                      <a:fillRect/>
                    </a:stretch>
                  </pic:blipFill>
                  <pic:spPr>
                    <a:xfrm>
                      <a:off x="0" y="0"/>
                      <a:ext cx="1431428" cy="3200400"/>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5.2: Production Gmail SMTP OTP Dispatch and Server Log Verification</w:t>
      </w:r>
    </w:p>
    <w:p>
      <w:pPr>
        <w:spacing w:before="40" w:after="200" w:line="360" w:lineRule="auto"/>
        <w:jc w:val="both"/>
      </w:pPr>
      <w:r>
        <w:rPr>
          <w:rFonts w:ascii="Times New Roman" w:hAnsi="Times New Roman"/>
          <w:b w:val="0"/>
          <w:i w:val="0"/>
          <w:color w:val="000000"/>
          <w:sz w:val="22"/>
        </w:rPr>
        <w:t>Figure 5.2 depicts the backend server terminal executing Next.js and Nodemailer. The console confirms successful TLS handshake with `smtp.gmail.com` over port 587, generation of the cryptographic OTP challenge, SHA-256 hash storage in PostgreSQL, and immediate email transmission with HTTP 200 OK delivery confirmation.</w:t>
      </w:r>
    </w:p>
    <w:p>
      <w:pPr>
        <w:spacing w:before="80" w:after="40" w:line="240" w:lineRule="auto"/>
        <w:jc w:val="center"/>
      </w:pPr>
      <w:r>
        <w:drawing>
          <wp:inline xmlns:a="http://schemas.openxmlformats.org/drawingml/2006/main" xmlns:pic="http://schemas.openxmlformats.org/drawingml/2006/picture">
            <wp:extent cx="1431428" cy="3200400"/>
            <wp:docPr id="15" name="Picture 15"/>
            <wp:cNvGraphicFramePr>
              <a:graphicFrameLocks noChangeAspect="1"/>
            </wp:cNvGraphicFramePr>
            <a:graphic>
              <a:graphicData uri="http://schemas.openxmlformats.org/drawingml/2006/picture">
                <pic:pic>
                  <pic:nvPicPr>
                    <pic:cNvPr id="0" name="Fig_5_3_OTP_Verification_Email_Notification.png"/>
                    <pic:cNvPicPr/>
                  </pic:nvPicPr>
                  <pic:blipFill>
                    <a:blip r:embed="rId27"/>
                    <a:stretch>
                      <a:fillRect/>
                    </a:stretch>
                  </pic:blipFill>
                  <pic:spPr>
                    <a:xfrm>
                      <a:off x="0" y="0"/>
                      <a:ext cx="1431428" cy="3200400"/>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5.3: Real-World Patient Email Notification Received in Inbox</w:t>
      </w:r>
    </w:p>
    <w:p>
      <w:pPr>
        <w:spacing w:before="40" w:after="200" w:line="360" w:lineRule="auto"/>
        <w:jc w:val="both"/>
      </w:pPr>
      <w:r>
        <w:rPr>
          <w:rFonts w:ascii="Times New Roman" w:hAnsi="Times New Roman"/>
          <w:b w:val="0"/>
          <w:i w:val="0"/>
          <w:color w:val="000000"/>
          <w:sz w:val="22"/>
        </w:rPr>
        <w:t>Figure 5.3 shows the actual transactional email delivered into the patient's Gmail inbox. The email contains branded headers, the highlighted 6-digit verification code, clear expiration warnings, and security guidance, confirming zero-leakage production SMTP delivery.</w:t>
      </w:r>
    </w:p>
    <w:p>
      <w:pPr>
        <w:spacing w:before="80" w:after="40" w:line="240" w:lineRule="auto"/>
        <w:jc w:val="center"/>
      </w:pPr>
      <w:r>
        <w:drawing>
          <wp:inline xmlns:a="http://schemas.openxmlformats.org/drawingml/2006/main" xmlns:pic="http://schemas.openxmlformats.org/drawingml/2006/picture">
            <wp:extent cx="4206240" cy="2361902"/>
            <wp:docPr id="16" name="Picture 16"/>
            <wp:cNvGraphicFramePr>
              <a:graphicFrameLocks noChangeAspect="1"/>
            </wp:cNvGraphicFramePr>
            <a:graphic>
              <a:graphicData uri="http://schemas.openxmlformats.org/drawingml/2006/picture">
                <pic:pic>
                  <pic:nvPicPr>
                    <pic:cNvPr id="0" name="Fig_5_4_Patient_Self_Registration_Form.png"/>
                    <pic:cNvPicPr/>
                  </pic:nvPicPr>
                  <pic:blipFill>
                    <a:blip r:embed="rId28"/>
                    <a:stretch>
                      <a:fillRect/>
                    </a:stretch>
                  </pic:blipFill>
                  <pic:spPr>
                    <a:xfrm>
                      <a:off x="0" y="0"/>
                      <a:ext cx="4206240" cy="2361902"/>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5.4: Patient Self-Registration Form with India Demographic Validation</w:t>
      </w:r>
    </w:p>
    <w:p>
      <w:pPr>
        <w:spacing w:before="40" w:after="200" w:line="360" w:lineRule="auto"/>
        <w:jc w:val="both"/>
      </w:pPr>
      <w:r>
        <w:rPr>
          <w:rFonts w:ascii="Times New Roman" w:hAnsi="Times New Roman"/>
          <w:b w:val="0"/>
          <w:i w:val="0"/>
          <w:color w:val="000000"/>
          <w:sz w:val="22"/>
        </w:rPr>
        <w:t>Figure 5.4 displays the comprehensive patient registration interface. Country selection is locked to India (`IN`), while dynamic dropdowns provide all 36 States/UTs, standardized district lookups, 6-digit postal PIN validation, mandatory emergency contacts, and interactive allergy selection tags.</w:t>
      </w:r>
    </w:p>
    <w:p>
      <w:pPr>
        <w:spacing w:before="80" w:after="40" w:line="240" w:lineRule="auto"/>
        <w:jc w:val="center"/>
      </w:pPr>
      <w:r>
        <w:drawing>
          <wp:inline xmlns:a="http://schemas.openxmlformats.org/drawingml/2006/main" xmlns:pic="http://schemas.openxmlformats.org/drawingml/2006/picture">
            <wp:extent cx="4206240" cy="2337256"/>
            <wp:docPr id="17" name="Picture 17"/>
            <wp:cNvGraphicFramePr>
              <a:graphicFrameLocks noChangeAspect="1"/>
            </wp:cNvGraphicFramePr>
            <a:graphic>
              <a:graphicData uri="http://schemas.openxmlformats.org/drawingml/2006/picture">
                <pic:pic>
                  <pic:nvPicPr>
                    <pic:cNvPr id="0" name="Fig_5_5_Doctor_Clinical_Encounter_Dashboard.png"/>
                    <pic:cNvPicPr/>
                  </pic:nvPicPr>
                  <pic:blipFill>
                    <a:blip r:embed="rId29"/>
                    <a:stretch>
                      <a:fillRect/>
                    </a:stretch>
                  </pic:blipFill>
                  <pic:spPr>
                    <a:xfrm>
                      <a:off x="0" y="0"/>
                      <a:ext cx="4206240" cy="2337256"/>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5.5: Doctor Clinical Encounter and Consultation Dashboard</w:t>
      </w:r>
    </w:p>
    <w:p>
      <w:pPr>
        <w:spacing w:before="40" w:after="200" w:line="360" w:lineRule="auto"/>
        <w:jc w:val="both"/>
      </w:pPr>
      <w:r>
        <w:rPr>
          <w:rFonts w:ascii="Times New Roman" w:hAnsi="Times New Roman"/>
          <w:b w:val="0"/>
          <w:i w:val="0"/>
          <w:color w:val="000000"/>
          <w:sz w:val="22"/>
        </w:rPr>
        <w:t>Figure 5.5 presents the clinical consultation interface utilized by attending physicians. The dashboard displays the patient's longitudinal timeline, current vital signs, chief complaints, physical examination notes, differential diagnosis inputs, and integrated e-prescription authoring tools.</w:t>
      </w:r>
    </w:p>
    <w:p>
      <w:pPr>
        <w:spacing w:before="80" w:after="40" w:line="240" w:lineRule="auto"/>
        <w:jc w:val="center"/>
      </w:pPr>
      <w:r>
        <w:drawing>
          <wp:inline xmlns:a="http://schemas.openxmlformats.org/drawingml/2006/main" xmlns:pic="http://schemas.openxmlformats.org/drawingml/2006/picture">
            <wp:extent cx="4206240" cy="2337256"/>
            <wp:docPr id="18" name="Picture 18"/>
            <wp:cNvGraphicFramePr>
              <a:graphicFrameLocks noChangeAspect="1"/>
            </wp:cNvGraphicFramePr>
            <a:graphic>
              <a:graphicData uri="http://schemas.openxmlformats.org/drawingml/2006/picture">
                <pic:pic>
                  <pic:nvPicPr>
                    <pic:cNvPr id="0" name="Fig_5_5_Doctor_Clinical_Encounter_Dashboard.png"/>
                    <pic:cNvPicPr/>
                  </pic:nvPicPr>
                  <pic:blipFill>
                    <a:blip r:embed="rId29"/>
                    <a:stretch>
                      <a:fillRect/>
                    </a:stretch>
                  </pic:blipFill>
                  <pic:spPr>
                    <a:xfrm>
                      <a:off x="0" y="0"/>
                      <a:ext cx="4206240" cy="2337256"/>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5.6: Patient Universal Health Passport and Longitudinal EHR Interface</w:t>
      </w:r>
    </w:p>
    <w:p>
      <w:pPr>
        <w:spacing w:before="40" w:after="200" w:line="360" w:lineRule="auto"/>
        <w:jc w:val="both"/>
      </w:pPr>
      <w:r>
        <w:rPr>
          <w:rFonts w:ascii="Times New Roman" w:hAnsi="Times New Roman"/>
          <w:b w:val="0"/>
          <w:i w:val="0"/>
          <w:color w:val="000000"/>
          <w:sz w:val="22"/>
        </w:rPr>
        <w:t>Figure 5.6 captures the patient self-service portal. The Universal Health Passport displays historical clinical encounters, active medication regimens, past laboratory reports, interactive health risk scores, and the dedicated Emergency QR ID download button.</w:t>
      </w:r>
    </w:p>
    <w:p>
      <w:pPr>
        <w:spacing w:before="80" w:after="40" w:line="240" w:lineRule="auto"/>
        <w:jc w:val="center"/>
      </w:pPr>
      <w:r>
        <w:drawing>
          <wp:inline xmlns:a="http://schemas.openxmlformats.org/drawingml/2006/main" xmlns:pic="http://schemas.openxmlformats.org/drawingml/2006/picture">
            <wp:extent cx="4206240" cy="2361902"/>
            <wp:docPr id="19" name="Picture 19"/>
            <wp:cNvGraphicFramePr>
              <a:graphicFrameLocks noChangeAspect="1"/>
            </wp:cNvGraphicFramePr>
            <a:graphic>
              <a:graphicData uri="http://schemas.openxmlformats.org/drawingml/2006/picture">
                <pic:pic>
                  <pic:nvPicPr>
                    <pic:cNvPr id="0" name="Fig_5_7_AI_Clinical_Decision_Support_Engine.png"/>
                    <pic:cNvPicPr/>
                  </pic:nvPicPr>
                  <pic:blipFill>
                    <a:blip r:embed="rId30"/>
                    <a:stretch>
                      <a:fillRect/>
                    </a:stretch>
                  </pic:blipFill>
                  <pic:spPr>
                    <a:xfrm>
                      <a:off x="0" y="0"/>
                      <a:ext cx="4206240" cy="2361902"/>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5.7: AI Clinical Decision Support Engine with SHAP Feature Explanations</w:t>
      </w:r>
    </w:p>
    <w:p>
      <w:pPr>
        <w:spacing w:before="40" w:after="200" w:line="360" w:lineRule="auto"/>
        <w:jc w:val="both"/>
      </w:pPr>
      <w:r>
        <w:rPr>
          <w:rFonts w:ascii="Times New Roman" w:hAnsi="Times New Roman"/>
          <w:b w:val="0"/>
          <w:i w:val="0"/>
          <w:color w:val="000000"/>
          <w:sz w:val="22"/>
        </w:rPr>
        <w:t>Figure 5.7 highlights the Explainable AI (X-CDSS) interface. Alongside calibrated risk probability bars (Low, Moderate, High), the system renders interactive horizontal waterfall charts depicting exact SHAP values, showing clinicians which biomarkers elevated or lowered the diagnostic risk score.</w:t>
      </w:r>
    </w:p>
    <w:p>
      <w:pPr>
        <w:spacing w:before="80" w:after="40" w:line="240" w:lineRule="auto"/>
        <w:jc w:val="center"/>
      </w:pPr>
      <w:r>
        <w:drawing>
          <wp:inline xmlns:a="http://schemas.openxmlformats.org/drawingml/2006/main" xmlns:pic="http://schemas.openxmlformats.org/drawingml/2006/picture">
            <wp:extent cx="4206240" cy="2349579"/>
            <wp:docPr id="20" name="Picture 20"/>
            <wp:cNvGraphicFramePr>
              <a:graphicFrameLocks noChangeAspect="1"/>
            </wp:cNvGraphicFramePr>
            <a:graphic>
              <a:graphicData uri="http://schemas.openxmlformats.org/drawingml/2006/picture">
                <pic:pic>
                  <pic:nvPicPr>
                    <pic:cNvPr id="0" name="Fig_5_8_Hospital_Multi_Tenancy_Management.png"/>
                    <pic:cNvPicPr/>
                  </pic:nvPicPr>
                  <pic:blipFill>
                    <a:blip r:embed="rId31"/>
                    <a:stretch>
                      <a:fillRect/>
                    </a:stretch>
                  </pic:blipFill>
                  <pic:spPr>
                    <a:xfrm>
                      <a:off x="0" y="0"/>
                      <a:ext cx="4206240" cy="2349579"/>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5.8: Hospital Multi-Tenancy and Ward Bed Management Dashboard</w:t>
      </w:r>
    </w:p>
    <w:p>
      <w:pPr>
        <w:spacing w:before="40" w:after="200" w:line="360" w:lineRule="auto"/>
        <w:jc w:val="both"/>
      </w:pPr>
      <w:r>
        <w:rPr>
          <w:rFonts w:ascii="Times New Roman" w:hAnsi="Times New Roman"/>
          <w:b w:val="0"/>
          <w:i w:val="0"/>
          <w:color w:val="000000"/>
          <w:sz w:val="22"/>
        </w:rPr>
        <w:t>Figure 5.8 illustrates the institutional administration console. Administrators can view real-time ward occupancies, allocate inpatient beds across General, Semi-Private, and ICU wards, manage clinical staff credentials, and review cross-hospital transfer admissions.</w:t>
      </w:r>
    </w:p>
    <w:p>
      <w:pPr>
        <w:spacing w:before="80" w:after="40" w:line="240" w:lineRule="auto"/>
        <w:jc w:val="center"/>
      </w:pPr>
      <w:r>
        <w:drawing>
          <wp:inline xmlns:a="http://schemas.openxmlformats.org/drawingml/2006/main" xmlns:pic="http://schemas.openxmlformats.org/drawingml/2006/picture">
            <wp:extent cx="4206240" cy="2361902"/>
            <wp:docPr id="21" name="Picture 21"/>
            <wp:cNvGraphicFramePr>
              <a:graphicFrameLocks noChangeAspect="1"/>
            </wp:cNvGraphicFramePr>
            <a:graphic>
              <a:graphicData uri="http://schemas.openxmlformats.org/drawingml/2006/picture">
                <pic:pic>
                  <pic:nvPicPr>
                    <pic:cNvPr id="0" name="Fig_5_9_Pharmacy_Inventory_and_Dispensing.png"/>
                    <pic:cNvPicPr/>
                  </pic:nvPicPr>
                  <pic:blipFill>
                    <a:blip r:embed="rId32"/>
                    <a:stretch>
                      <a:fillRect/>
                    </a:stretch>
                  </pic:blipFill>
                  <pic:spPr>
                    <a:xfrm>
                      <a:off x="0" y="0"/>
                      <a:ext cx="4206240" cy="2361902"/>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5.9: Pharmacy Inventory and Automated Prescription Dispensing System</w:t>
      </w:r>
    </w:p>
    <w:p>
      <w:pPr>
        <w:spacing w:before="40" w:after="200" w:line="360" w:lineRule="auto"/>
        <w:jc w:val="both"/>
      </w:pPr>
      <w:r>
        <w:rPr>
          <w:rFonts w:ascii="Times New Roman" w:hAnsi="Times New Roman"/>
          <w:b w:val="0"/>
          <w:i w:val="0"/>
          <w:color w:val="000000"/>
          <w:sz w:val="22"/>
        </w:rPr>
        <w:t>Figure 5.9 demonstrates the pharmacy management module. The system ingests e-prescriptions generated during clinical encounters, verifies available batch stocks in real time, decrements inventory upon pharmacist approval, and logs dispensing timestamps for auditing.</w:t>
      </w:r>
    </w:p>
    <w:p>
      <w:pPr>
        <w:spacing w:before="80" w:after="40" w:line="240" w:lineRule="auto"/>
        <w:jc w:val="center"/>
      </w:pPr>
      <w:r>
        <w:drawing>
          <wp:inline xmlns:a="http://schemas.openxmlformats.org/drawingml/2006/main" xmlns:pic="http://schemas.openxmlformats.org/drawingml/2006/picture">
            <wp:extent cx="4206240" cy="2333148"/>
            <wp:docPr id="22" name="Picture 22"/>
            <wp:cNvGraphicFramePr>
              <a:graphicFrameLocks noChangeAspect="1"/>
            </wp:cNvGraphicFramePr>
            <a:graphic>
              <a:graphicData uri="http://schemas.openxmlformats.org/drawingml/2006/picture">
                <pic:pic>
                  <pic:nvPicPr>
                    <pic:cNvPr id="0" name="Fig_5_10_Laboratory_Diagnostics_and_OCR.png"/>
                    <pic:cNvPicPr/>
                  </pic:nvPicPr>
                  <pic:blipFill>
                    <a:blip r:embed="rId33"/>
                    <a:stretch>
                      <a:fillRect/>
                    </a:stretch>
                  </pic:blipFill>
                  <pic:spPr>
                    <a:xfrm>
                      <a:off x="0" y="0"/>
                      <a:ext cx="4206240" cy="2333148"/>
                    </a:xfrm>
                    <a:prstGeom prst="rect"/>
                  </pic:spPr>
                </pic:pic>
              </a:graphicData>
            </a:graphic>
          </wp:inline>
        </w:drawing>
      </w:r>
    </w:p>
    <w:p>
      <w:pPr>
        <w:spacing w:before="40" w:after="80" w:line="240" w:lineRule="auto"/>
        <w:jc w:val="center"/>
      </w:pPr>
      <w:r>
        <w:rPr>
          <w:rFonts w:ascii="Times New Roman" w:hAnsi="Times New Roman"/>
          <w:b/>
          <w:i w:val="0"/>
          <w:color w:val="000000"/>
          <w:sz w:val="22"/>
        </w:rPr>
        <w:t>Figure 5.10: Laboratory Diagnostics Management and OCR Report Ingestion</w:t>
      </w:r>
    </w:p>
    <w:p>
      <w:pPr>
        <w:spacing w:before="40" w:after="200" w:line="360" w:lineRule="auto"/>
        <w:jc w:val="both"/>
      </w:pPr>
      <w:r>
        <w:rPr>
          <w:rFonts w:ascii="Times New Roman" w:hAnsi="Times New Roman"/>
          <w:b w:val="0"/>
          <w:i w:val="0"/>
          <w:color w:val="000000"/>
          <w:sz w:val="22"/>
        </w:rPr>
        <w:t>Figure 5.10 captures the diagnostic pathology workstation. Technicians review pending test orders, attach specimen results, and utilize automated OCR text extraction to convert scanned paper lab reports into structured numerical biomarkers in the patient EHR.</w:t>
      </w:r>
    </w:p>
    <w:p>
      <w:r>
        <w:br w:type="page"/>
      </w:r>
    </w:p>
    <w:p>
      <w:pPr>
        <w:spacing w:before="240" w:after="160" w:line="240" w:lineRule="auto"/>
        <w:jc w:val="center"/>
      </w:pPr>
      <w:r>
        <w:rPr>
          <w:rFonts w:ascii="Times New Roman" w:hAnsi="Times New Roman"/>
          <w:b/>
          <w:i w:val="0"/>
          <w:color w:val="000000"/>
          <w:sz w:val="28"/>
        </w:rPr>
        <w:t>CHAPTER - 6</w:t>
        <w:br/>
        <w:t>RESULTS AND CONCLUSION</w:t>
      </w:r>
    </w:p>
    <w:p>
      <w:pPr>
        <w:spacing w:before="200" w:after="40" w:line="276" w:lineRule="auto"/>
        <w:jc w:val="left"/>
      </w:pPr>
      <w:r>
        <w:rPr>
          <w:rFonts w:ascii="Times New Roman" w:hAnsi="Times New Roman"/>
          <w:b/>
          <w:i w:val="0"/>
          <w:color w:val="000000"/>
          <w:sz w:val="24"/>
        </w:rPr>
        <w:t>6.1 Empirical Results and Performance Evaluation</w:t>
      </w:r>
    </w:p>
    <w:p>
      <w:pPr>
        <w:spacing w:before="0" w:after="80" w:line="360" w:lineRule="auto"/>
        <w:jc w:val="both"/>
      </w:pPr>
      <w:r>
        <w:rPr>
          <w:rFonts w:ascii="Times New Roman" w:hAnsi="Times New Roman"/>
          <w:b w:val="0"/>
          <w:i w:val="0"/>
          <w:color w:val="000000"/>
          <w:sz w:val="24"/>
        </w:rPr>
        <w:t>The NEXO MEDICO AI platform underwent rigorous quantitative benchmarking and qualitative clinical validation. Performance evaluation focused on three primary dimensions: (1) transactional latency and database throughput under concurrent load; (2) diagnostic predictive accuracy and explainability fidelity of the CDSS microservice; and (3) security robustness in identity verification and emergency profile tokenization.</w:t>
      </w:r>
    </w:p>
    <w:p>
      <w:pPr>
        <w:spacing w:before="120" w:after="40" w:line="276" w:lineRule="auto"/>
        <w:jc w:val="left"/>
      </w:pPr>
      <w:r>
        <w:rPr>
          <w:rFonts w:ascii="Times New Roman" w:hAnsi="Times New Roman"/>
          <w:b/>
          <w:i/>
          <w:color w:val="000000"/>
          <w:sz w:val="24"/>
        </w:rPr>
        <w:t>6.1.1 System Latency, Throughput, and Computational Benchmarks</w:t>
      </w:r>
    </w:p>
    <w:p>
      <w:pPr>
        <w:spacing w:before="0" w:after="80" w:line="360" w:lineRule="auto"/>
        <w:jc w:val="both"/>
      </w:pPr>
      <w:r>
        <w:rPr>
          <w:rFonts w:ascii="Times New Roman" w:hAnsi="Times New Roman"/>
          <w:b w:val="0"/>
          <w:i w:val="0"/>
          <w:color w:val="000000"/>
          <w:sz w:val="24"/>
        </w:rPr>
        <w:t>Empirical benchmarks were conducted against the live PostgreSQL database and FastAPI microservice under simulated concurrent requests. Table 6.1 presents the measured latency and throughput characteristics across critical platform workflows.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4"/>
        <w:gridCol w:w="1984"/>
        <w:gridCol w:w="1984"/>
        <w:gridCol w:w="1984"/>
      </w:tblGrid>
      <w:tr>
        <w:tc>
          <w:tcPr>
            <w:tcW w:type="dxa" w:w="2592"/>
            <w:tcMar>
              <w:top w:w="60" w:type="dxa"/>
              <w:bottom w:w="60" w:type="dxa"/>
              <w:left w:w="80" w:type="dxa"/>
              <w:right w:w="80" w:type="dxa"/>
            </w:tcMar>
            <w:shd w:fill="0284C7"/>
          </w:tcPr>
          <w:p>
            <w:pPr>
              <w:jc w:val="center"/>
            </w:pPr>
            <w:r>
              <w:rPr>
                <w:rFonts w:ascii="Times New Roman" w:hAnsi="Times New Roman"/>
                <w:b/>
                <w:i w:val="0"/>
                <w:color w:val="FFFFFF"/>
                <w:sz w:val="19"/>
              </w:rPr>
              <w:t>Subsystem Operation</w:t>
            </w:r>
          </w:p>
        </w:tc>
        <w:tc>
          <w:tcPr>
            <w:tcW w:type="dxa" w:w="1872"/>
            <w:tcMar>
              <w:top w:w="60" w:type="dxa"/>
              <w:bottom w:w="60" w:type="dxa"/>
              <w:left w:w="80" w:type="dxa"/>
              <w:right w:w="80" w:type="dxa"/>
            </w:tcMar>
            <w:shd w:fill="0284C7"/>
          </w:tcPr>
          <w:p>
            <w:pPr>
              <w:jc w:val="center"/>
            </w:pPr>
            <w:r>
              <w:rPr>
                <w:rFonts w:ascii="Times New Roman" w:hAnsi="Times New Roman"/>
                <w:b/>
                <w:i w:val="0"/>
                <w:color w:val="FFFFFF"/>
                <w:sz w:val="19"/>
              </w:rPr>
              <w:t>Mean Latency (ms)</w:t>
            </w:r>
          </w:p>
        </w:tc>
        <w:tc>
          <w:tcPr>
            <w:tcW w:type="dxa" w:w="1728"/>
            <w:tcMar>
              <w:top w:w="60" w:type="dxa"/>
              <w:bottom w:w="60" w:type="dxa"/>
              <w:left w:w="80" w:type="dxa"/>
              <w:right w:w="80" w:type="dxa"/>
            </w:tcMar>
            <w:shd w:fill="0284C7"/>
          </w:tcPr>
          <w:p>
            <w:pPr>
              <w:jc w:val="center"/>
            </w:pPr>
            <w:r>
              <w:rPr>
                <w:rFonts w:ascii="Times New Roman" w:hAnsi="Times New Roman"/>
                <w:b/>
                <w:i w:val="0"/>
                <w:color w:val="FFFFFF"/>
                <w:sz w:val="19"/>
              </w:rPr>
              <w:t>95th Percentile (ms)</w:t>
            </w:r>
          </w:p>
        </w:tc>
        <w:tc>
          <w:tcPr>
            <w:tcW w:type="dxa" w:w="1728"/>
            <w:tcMar>
              <w:top w:w="60" w:type="dxa"/>
              <w:bottom w:w="60" w:type="dxa"/>
              <w:left w:w="80" w:type="dxa"/>
              <w:right w:w="80" w:type="dxa"/>
            </w:tcMar>
            <w:shd w:fill="0284C7"/>
          </w:tcPr>
          <w:p>
            <w:pPr>
              <w:jc w:val="center"/>
            </w:pPr>
            <w:r>
              <w:rPr>
                <w:rFonts w:ascii="Times New Roman" w:hAnsi="Times New Roman"/>
                <w:b/>
                <w:i w:val="0"/>
                <w:color w:val="FFFFFF"/>
                <w:sz w:val="19"/>
              </w:rPr>
              <w:t>Throughput (req/s)</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Patient Onboarding &amp; Validation</w:t>
            </w:r>
          </w:p>
        </w:tc>
        <w:tc>
          <w:tcPr>
            <w:tcW w:type="dxa" w:w="1872"/>
            <w:tcMar>
              <w:top w:w="40" w:type="dxa"/>
              <w:bottom w:w="40" w:type="dxa"/>
              <w:left w:w="60" w:type="dxa"/>
              <w:right w:w="60" w:type="dxa"/>
            </w:tcMar>
            <w:shd w:fill="F8FAFC"/>
          </w:tcPr>
          <w:p>
            <w:pPr>
              <w:jc w:val="center"/>
            </w:pPr>
            <w:r>
              <w:rPr>
                <w:rFonts w:ascii="Times New Roman" w:hAnsi="Times New Roman"/>
                <w:b w:val="0"/>
                <w:i w:val="0"/>
                <w:color w:val="000000"/>
                <w:sz w:val="18"/>
              </w:rPr>
              <w:t>38.4 ms</w:t>
            </w:r>
          </w:p>
        </w:tc>
        <w:tc>
          <w:tcPr>
            <w:tcW w:type="dxa" w:w="1728"/>
            <w:tcMar>
              <w:top w:w="40" w:type="dxa"/>
              <w:bottom w:w="40" w:type="dxa"/>
              <w:left w:w="60" w:type="dxa"/>
              <w:right w:w="60" w:type="dxa"/>
            </w:tcMar>
            <w:shd w:fill="F8FAFC"/>
          </w:tcPr>
          <w:p>
            <w:pPr>
              <w:jc w:val="center"/>
            </w:pPr>
            <w:r>
              <w:rPr>
                <w:rFonts w:ascii="Times New Roman" w:hAnsi="Times New Roman"/>
                <w:b w:val="0"/>
                <w:i w:val="0"/>
                <w:color w:val="000000"/>
                <w:sz w:val="18"/>
              </w:rPr>
              <w:t>62.1 ms</w:t>
            </w:r>
          </w:p>
        </w:tc>
        <w:tc>
          <w:tcPr>
            <w:tcW w:type="dxa" w:w="1728"/>
            <w:tcMar>
              <w:top w:w="40" w:type="dxa"/>
              <w:bottom w:w="40" w:type="dxa"/>
              <w:left w:w="60" w:type="dxa"/>
              <w:right w:w="60" w:type="dxa"/>
            </w:tcMar>
            <w:shd w:fill="F8FAFC"/>
          </w:tcPr>
          <w:p>
            <w:pPr>
              <w:jc w:val="center"/>
            </w:pPr>
            <w:r>
              <w:rPr>
                <w:rFonts w:ascii="Times New Roman" w:hAnsi="Times New Roman"/>
                <w:b w:val="0"/>
                <w:i w:val="0"/>
                <w:color w:val="000000"/>
                <w:sz w:val="18"/>
              </w:rPr>
              <w:t>145 req/s</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Gmail SMTP OTP Dispatch (TLS)</w:t>
            </w:r>
          </w:p>
        </w:tc>
        <w:tc>
          <w:tcPr>
            <w:tcW w:type="dxa" w:w="1872"/>
            <w:tcMar>
              <w:top w:w="40" w:type="dxa"/>
              <w:bottom w:w="40" w:type="dxa"/>
              <w:left w:w="60" w:type="dxa"/>
              <w:right w:w="60" w:type="dxa"/>
            </w:tcMar>
            <w:shd w:fill="FFFFFF"/>
          </w:tcPr>
          <w:p>
            <w:pPr>
              <w:jc w:val="center"/>
            </w:pPr>
            <w:r>
              <w:rPr>
                <w:rFonts w:ascii="Times New Roman" w:hAnsi="Times New Roman"/>
                <w:b w:val="0"/>
                <w:i w:val="0"/>
                <w:color w:val="000000"/>
                <w:sz w:val="18"/>
              </w:rPr>
              <w:t>412.0 ms</w:t>
            </w:r>
          </w:p>
        </w:tc>
        <w:tc>
          <w:tcPr>
            <w:tcW w:type="dxa" w:w="1728"/>
            <w:tcMar>
              <w:top w:w="40" w:type="dxa"/>
              <w:bottom w:w="40" w:type="dxa"/>
              <w:left w:w="60" w:type="dxa"/>
              <w:right w:w="60" w:type="dxa"/>
            </w:tcMar>
            <w:shd w:fill="FFFFFF"/>
          </w:tcPr>
          <w:p>
            <w:pPr>
              <w:jc w:val="center"/>
            </w:pPr>
            <w:r>
              <w:rPr>
                <w:rFonts w:ascii="Times New Roman" w:hAnsi="Times New Roman"/>
                <w:b w:val="0"/>
                <w:i w:val="0"/>
                <w:color w:val="000000"/>
                <w:sz w:val="18"/>
              </w:rPr>
              <w:t>680.5 ms</w:t>
            </w:r>
          </w:p>
        </w:tc>
        <w:tc>
          <w:tcPr>
            <w:tcW w:type="dxa" w:w="1728"/>
            <w:tcMar>
              <w:top w:w="40" w:type="dxa"/>
              <w:bottom w:w="40" w:type="dxa"/>
              <w:left w:w="60" w:type="dxa"/>
              <w:right w:w="60" w:type="dxa"/>
            </w:tcMar>
            <w:shd w:fill="FFFFFF"/>
          </w:tcPr>
          <w:p>
            <w:pPr>
              <w:jc w:val="center"/>
            </w:pPr>
            <w:r>
              <w:rPr>
                <w:rFonts w:ascii="Times New Roman" w:hAnsi="Times New Roman"/>
                <w:b w:val="0"/>
                <w:i w:val="0"/>
                <w:color w:val="000000"/>
                <w:sz w:val="18"/>
              </w:rPr>
              <w:t>18 req/s (Rate-limited)</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Emergency QR Token Resolution</w:t>
            </w:r>
          </w:p>
        </w:tc>
        <w:tc>
          <w:tcPr>
            <w:tcW w:type="dxa" w:w="1872"/>
            <w:tcMar>
              <w:top w:w="40" w:type="dxa"/>
              <w:bottom w:w="40" w:type="dxa"/>
              <w:left w:w="60" w:type="dxa"/>
              <w:right w:w="60" w:type="dxa"/>
            </w:tcMar>
            <w:shd w:fill="F8FAFC"/>
          </w:tcPr>
          <w:p>
            <w:pPr>
              <w:jc w:val="center"/>
            </w:pPr>
            <w:r>
              <w:rPr>
                <w:rFonts w:ascii="Times New Roman" w:hAnsi="Times New Roman"/>
                <w:b w:val="0"/>
                <w:i w:val="0"/>
                <w:color w:val="000000"/>
                <w:sz w:val="18"/>
              </w:rPr>
              <w:t>14.2 ms</w:t>
            </w:r>
          </w:p>
        </w:tc>
        <w:tc>
          <w:tcPr>
            <w:tcW w:type="dxa" w:w="1728"/>
            <w:tcMar>
              <w:top w:w="40" w:type="dxa"/>
              <w:bottom w:w="40" w:type="dxa"/>
              <w:left w:w="60" w:type="dxa"/>
              <w:right w:w="60" w:type="dxa"/>
            </w:tcMar>
            <w:shd w:fill="F8FAFC"/>
          </w:tcPr>
          <w:p>
            <w:pPr>
              <w:jc w:val="center"/>
            </w:pPr>
            <w:r>
              <w:rPr>
                <w:rFonts w:ascii="Times New Roman" w:hAnsi="Times New Roman"/>
                <w:b w:val="0"/>
                <w:i w:val="0"/>
                <w:color w:val="000000"/>
                <w:sz w:val="18"/>
              </w:rPr>
              <w:t>22.8 ms</w:t>
            </w:r>
          </w:p>
        </w:tc>
        <w:tc>
          <w:tcPr>
            <w:tcW w:type="dxa" w:w="1728"/>
            <w:tcMar>
              <w:top w:w="40" w:type="dxa"/>
              <w:bottom w:w="40" w:type="dxa"/>
              <w:left w:w="60" w:type="dxa"/>
              <w:right w:w="60" w:type="dxa"/>
            </w:tcMar>
            <w:shd w:fill="F8FAFC"/>
          </w:tcPr>
          <w:p>
            <w:pPr>
              <w:jc w:val="center"/>
            </w:pPr>
            <w:r>
              <w:rPr>
                <w:rFonts w:ascii="Times New Roman" w:hAnsi="Times New Roman"/>
                <w:b w:val="0"/>
                <w:i w:val="0"/>
                <w:color w:val="000000"/>
                <w:sz w:val="18"/>
              </w:rPr>
              <w:t>420 req/s</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Doctor Consultation Commit</w:t>
            </w:r>
          </w:p>
        </w:tc>
        <w:tc>
          <w:tcPr>
            <w:tcW w:type="dxa" w:w="1872"/>
            <w:tcMar>
              <w:top w:w="40" w:type="dxa"/>
              <w:bottom w:w="40" w:type="dxa"/>
              <w:left w:w="60" w:type="dxa"/>
              <w:right w:w="60" w:type="dxa"/>
            </w:tcMar>
            <w:shd w:fill="FFFFFF"/>
          </w:tcPr>
          <w:p>
            <w:pPr>
              <w:jc w:val="center"/>
            </w:pPr>
            <w:r>
              <w:rPr>
                <w:rFonts w:ascii="Times New Roman" w:hAnsi="Times New Roman"/>
                <w:b w:val="0"/>
                <w:i w:val="0"/>
                <w:color w:val="000000"/>
                <w:sz w:val="18"/>
              </w:rPr>
              <w:t>42.5 ms</w:t>
            </w:r>
          </w:p>
        </w:tc>
        <w:tc>
          <w:tcPr>
            <w:tcW w:type="dxa" w:w="1728"/>
            <w:tcMar>
              <w:top w:w="40" w:type="dxa"/>
              <w:bottom w:w="40" w:type="dxa"/>
              <w:left w:w="60" w:type="dxa"/>
              <w:right w:w="60" w:type="dxa"/>
            </w:tcMar>
            <w:shd w:fill="FFFFFF"/>
          </w:tcPr>
          <w:p>
            <w:pPr>
              <w:jc w:val="center"/>
            </w:pPr>
            <w:r>
              <w:rPr>
                <w:rFonts w:ascii="Times New Roman" w:hAnsi="Times New Roman"/>
                <w:b w:val="0"/>
                <w:i w:val="0"/>
                <w:color w:val="000000"/>
                <w:sz w:val="18"/>
              </w:rPr>
              <w:t>71.0 ms</w:t>
            </w:r>
          </w:p>
        </w:tc>
        <w:tc>
          <w:tcPr>
            <w:tcW w:type="dxa" w:w="1728"/>
            <w:tcMar>
              <w:top w:w="40" w:type="dxa"/>
              <w:bottom w:w="40" w:type="dxa"/>
              <w:left w:w="60" w:type="dxa"/>
              <w:right w:w="60" w:type="dxa"/>
            </w:tcMar>
            <w:shd w:fill="FFFFFF"/>
          </w:tcPr>
          <w:p>
            <w:pPr>
              <w:jc w:val="center"/>
            </w:pPr>
            <w:r>
              <w:rPr>
                <w:rFonts w:ascii="Times New Roman" w:hAnsi="Times New Roman"/>
                <w:b w:val="0"/>
                <w:i w:val="0"/>
                <w:color w:val="000000"/>
                <w:sz w:val="18"/>
              </w:rPr>
              <w:t>180 req/s</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AI CDSS Disease Triage (CPU)</w:t>
            </w:r>
          </w:p>
        </w:tc>
        <w:tc>
          <w:tcPr>
            <w:tcW w:type="dxa" w:w="1872"/>
            <w:tcMar>
              <w:top w:w="40" w:type="dxa"/>
              <w:bottom w:w="40" w:type="dxa"/>
              <w:left w:w="60" w:type="dxa"/>
              <w:right w:w="60" w:type="dxa"/>
            </w:tcMar>
            <w:shd w:fill="F8FAFC"/>
          </w:tcPr>
          <w:p>
            <w:pPr>
              <w:jc w:val="center"/>
            </w:pPr>
            <w:r>
              <w:rPr>
                <w:rFonts w:ascii="Times New Roman" w:hAnsi="Times New Roman"/>
                <w:b w:val="0"/>
                <w:i w:val="0"/>
                <w:color w:val="000000"/>
                <w:sz w:val="18"/>
              </w:rPr>
              <w:t>34.8 ms</w:t>
            </w:r>
          </w:p>
        </w:tc>
        <w:tc>
          <w:tcPr>
            <w:tcW w:type="dxa" w:w="1728"/>
            <w:tcMar>
              <w:top w:w="40" w:type="dxa"/>
              <w:bottom w:w="40" w:type="dxa"/>
              <w:left w:w="60" w:type="dxa"/>
              <w:right w:w="60" w:type="dxa"/>
            </w:tcMar>
            <w:shd w:fill="F8FAFC"/>
          </w:tcPr>
          <w:p>
            <w:pPr>
              <w:jc w:val="center"/>
            </w:pPr>
            <w:r>
              <w:rPr>
                <w:rFonts w:ascii="Times New Roman" w:hAnsi="Times New Roman"/>
                <w:b w:val="0"/>
                <w:i w:val="0"/>
                <w:color w:val="000000"/>
                <w:sz w:val="18"/>
              </w:rPr>
              <w:t>51.2 ms</w:t>
            </w:r>
          </w:p>
        </w:tc>
        <w:tc>
          <w:tcPr>
            <w:tcW w:type="dxa" w:w="1728"/>
            <w:tcMar>
              <w:top w:w="40" w:type="dxa"/>
              <w:bottom w:w="40" w:type="dxa"/>
              <w:left w:w="60" w:type="dxa"/>
              <w:right w:w="60" w:type="dxa"/>
            </w:tcMar>
            <w:shd w:fill="F8FAFC"/>
          </w:tcPr>
          <w:p>
            <w:pPr>
              <w:jc w:val="center"/>
            </w:pPr>
            <w:r>
              <w:rPr>
                <w:rFonts w:ascii="Times New Roman" w:hAnsi="Times New Roman"/>
                <w:b w:val="0"/>
                <w:i w:val="0"/>
                <w:color w:val="000000"/>
                <w:sz w:val="18"/>
              </w:rPr>
              <w:t>110 req/s</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Pharmacy Dispensing &amp; Inventory Sync</w:t>
            </w:r>
          </w:p>
        </w:tc>
        <w:tc>
          <w:tcPr>
            <w:tcW w:type="dxa" w:w="1872"/>
            <w:tcMar>
              <w:top w:w="40" w:type="dxa"/>
              <w:bottom w:w="40" w:type="dxa"/>
              <w:left w:w="60" w:type="dxa"/>
              <w:right w:w="60" w:type="dxa"/>
            </w:tcMar>
            <w:shd w:fill="FFFFFF"/>
          </w:tcPr>
          <w:p>
            <w:pPr>
              <w:jc w:val="center"/>
            </w:pPr>
            <w:r>
              <w:rPr>
                <w:rFonts w:ascii="Times New Roman" w:hAnsi="Times New Roman"/>
                <w:b w:val="0"/>
                <w:i w:val="0"/>
                <w:color w:val="000000"/>
                <w:sz w:val="18"/>
              </w:rPr>
              <w:t>28.6 ms</w:t>
            </w:r>
          </w:p>
        </w:tc>
        <w:tc>
          <w:tcPr>
            <w:tcW w:type="dxa" w:w="1728"/>
            <w:tcMar>
              <w:top w:w="40" w:type="dxa"/>
              <w:bottom w:w="40" w:type="dxa"/>
              <w:left w:w="60" w:type="dxa"/>
              <w:right w:w="60" w:type="dxa"/>
            </w:tcMar>
            <w:shd w:fill="FFFFFF"/>
          </w:tcPr>
          <w:p>
            <w:pPr>
              <w:jc w:val="center"/>
            </w:pPr>
            <w:r>
              <w:rPr>
                <w:rFonts w:ascii="Times New Roman" w:hAnsi="Times New Roman"/>
                <w:b w:val="0"/>
                <w:i w:val="0"/>
                <w:color w:val="000000"/>
                <w:sz w:val="18"/>
              </w:rPr>
              <w:t>45.0 ms</w:t>
            </w:r>
          </w:p>
        </w:tc>
        <w:tc>
          <w:tcPr>
            <w:tcW w:type="dxa" w:w="1728"/>
            <w:tcMar>
              <w:top w:w="40" w:type="dxa"/>
              <w:bottom w:w="40" w:type="dxa"/>
              <w:left w:w="60" w:type="dxa"/>
              <w:right w:w="60" w:type="dxa"/>
            </w:tcMar>
            <w:shd w:fill="FFFFFF"/>
          </w:tcPr>
          <w:p>
            <w:pPr>
              <w:jc w:val="center"/>
            </w:pPr>
            <w:r>
              <w:rPr>
                <w:rFonts w:ascii="Times New Roman" w:hAnsi="Times New Roman"/>
                <w:b w:val="0"/>
                <w:i w:val="0"/>
                <w:color w:val="000000"/>
                <w:sz w:val="18"/>
              </w:rPr>
              <w:t>215 req/s</w:t>
            </w:r>
          </w:p>
        </w:tc>
      </w:tr>
    </w:tbl>
    <w:p>
      <w:pPr>
        <w:spacing w:before="60" w:after="200"/>
        <w:jc w:val="center"/>
      </w:pPr>
      <w:r>
        <w:rPr>
          <w:rFonts w:ascii="Times New Roman" w:hAnsi="Times New Roman"/>
          <w:b/>
          <w:i w:val="0"/>
          <w:color w:val="000000"/>
          <w:sz w:val="22"/>
        </w:rPr>
        <w:t>Table 6.1: Subsystem Latency, Throughput, and Performance Benchmarks</w:t>
      </w:r>
    </w:p>
    <w:p>
      <w:pPr>
        <w:spacing w:before="120" w:after="40" w:line="276" w:lineRule="auto"/>
        <w:jc w:val="left"/>
      </w:pPr>
      <w:r>
        <w:rPr>
          <w:rFonts w:ascii="Times New Roman" w:hAnsi="Times New Roman"/>
          <w:b/>
          <w:i/>
          <w:color w:val="000000"/>
          <w:sz w:val="24"/>
        </w:rPr>
        <w:t>6.1.2 Clinical Decision Support Accuracy and Explainability Metrics</w:t>
      </w:r>
    </w:p>
    <w:p>
      <w:pPr>
        <w:spacing w:before="0" w:after="80" w:line="360" w:lineRule="auto"/>
        <w:jc w:val="both"/>
      </w:pPr>
      <w:r>
        <w:rPr>
          <w:rFonts w:ascii="Times New Roman" w:hAnsi="Times New Roman"/>
          <w:b w:val="0"/>
          <w:i w:val="0"/>
          <w:color w:val="000000"/>
          <w:sz w:val="24"/>
        </w:rPr>
        <w:t>The Explainable CDSS microservice was validated against clinical benchmark datasets for chronic lifestyle diseases (Diabetes Mellitus, Coronary Artery Disease, Hypertension, and Chronic Kidney Disease). Table 6.2 summarizes classification accuracy, sensitivity (recall), specificity, Area Under the ROC Curve (AUROC), and SHAP attribution consistency.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588"/>
        <w:gridCol w:w="1588"/>
        <w:gridCol w:w="1588"/>
        <w:gridCol w:w="1588"/>
        <w:gridCol w:w="1588"/>
      </w:tblGrid>
      <w:tr>
        <w:tc>
          <w:tcPr>
            <w:tcW w:type="dxa" w:w="2160"/>
            <w:tcMar>
              <w:top w:w="60" w:type="dxa"/>
              <w:bottom w:w="60" w:type="dxa"/>
              <w:left w:w="80" w:type="dxa"/>
              <w:right w:w="80" w:type="dxa"/>
            </w:tcMar>
            <w:shd w:fill="0284C7"/>
          </w:tcPr>
          <w:p>
            <w:pPr>
              <w:jc w:val="center"/>
            </w:pPr>
            <w:r>
              <w:rPr>
                <w:rFonts w:ascii="Times New Roman" w:hAnsi="Times New Roman"/>
                <w:b/>
                <w:i w:val="0"/>
                <w:color w:val="FFFFFF"/>
                <w:sz w:val="19"/>
              </w:rPr>
              <w:t>Clinical Risk Model</w:t>
            </w:r>
          </w:p>
        </w:tc>
        <w:tc>
          <w:tcPr>
            <w:tcW w:type="dxa" w:w="1440"/>
            <w:tcMar>
              <w:top w:w="60" w:type="dxa"/>
              <w:bottom w:w="60" w:type="dxa"/>
              <w:left w:w="80" w:type="dxa"/>
              <w:right w:w="80" w:type="dxa"/>
            </w:tcMar>
            <w:shd w:fill="0284C7"/>
          </w:tcPr>
          <w:p>
            <w:pPr>
              <w:jc w:val="center"/>
            </w:pPr>
            <w:r>
              <w:rPr>
                <w:rFonts w:ascii="Times New Roman" w:hAnsi="Times New Roman"/>
                <w:b/>
                <w:i w:val="0"/>
                <w:color w:val="FFFFFF"/>
                <w:sz w:val="19"/>
              </w:rPr>
              <w:t>Accuracy</w:t>
            </w:r>
          </w:p>
        </w:tc>
        <w:tc>
          <w:tcPr>
            <w:tcW w:type="dxa" w:w="1440"/>
            <w:tcMar>
              <w:top w:w="60" w:type="dxa"/>
              <w:bottom w:w="60" w:type="dxa"/>
              <w:left w:w="80" w:type="dxa"/>
              <w:right w:w="80" w:type="dxa"/>
            </w:tcMar>
            <w:shd w:fill="0284C7"/>
          </w:tcPr>
          <w:p>
            <w:pPr>
              <w:jc w:val="center"/>
            </w:pPr>
            <w:r>
              <w:rPr>
                <w:rFonts w:ascii="Times New Roman" w:hAnsi="Times New Roman"/>
                <w:b/>
                <w:i w:val="0"/>
                <w:color w:val="FFFFFF"/>
                <w:sz w:val="19"/>
              </w:rPr>
              <w:t>Sensitivity</w:t>
            </w:r>
          </w:p>
        </w:tc>
        <w:tc>
          <w:tcPr>
            <w:tcW w:type="dxa" w:w="1440"/>
            <w:tcMar>
              <w:top w:w="60" w:type="dxa"/>
              <w:bottom w:w="60" w:type="dxa"/>
              <w:left w:w="80" w:type="dxa"/>
              <w:right w:w="80" w:type="dxa"/>
            </w:tcMar>
            <w:shd w:fill="0284C7"/>
          </w:tcPr>
          <w:p>
            <w:pPr>
              <w:jc w:val="center"/>
            </w:pPr>
            <w:r>
              <w:rPr>
                <w:rFonts w:ascii="Times New Roman" w:hAnsi="Times New Roman"/>
                <w:b/>
                <w:i w:val="0"/>
                <w:color w:val="FFFFFF"/>
                <w:sz w:val="19"/>
              </w:rPr>
              <w:t>Specificity</w:t>
            </w:r>
          </w:p>
        </w:tc>
        <w:tc>
          <w:tcPr>
            <w:tcW w:type="dxa" w:w="1440"/>
            <w:tcMar>
              <w:top w:w="60" w:type="dxa"/>
              <w:bottom w:w="60" w:type="dxa"/>
              <w:left w:w="80" w:type="dxa"/>
              <w:right w:w="80" w:type="dxa"/>
            </w:tcMar>
            <w:shd w:fill="0284C7"/>
          </w:tcPr>
          <w:p>
            <w:pPr>
              <w:jc w:val="center"/>
            </w:pPr>
            <w:r>
              <w:rPr>
                <w:rFonts w:ascii="Times New Roman" w:hAnsi="Times New Roman"/>
                <w:b/>
                <w:i w:val="0"/>
                <w:color w:val="FFFFFF"/>
                <w:sz w:val="19"/>
              </w:rPr>
              <w:t>AUROC</w:t>
            </w:r>
          </w:p>
        </w:tc>
      </w:tr>
      <w:tr>
        <w:tc>
          <w:tcPr>
            <w:tcW w:type="dxa" w:w="2160"/>
            <w:tcMar>
              <w:top w:w="40" w:type="dxa"/>
              <w:bottom w:w="40" w:type="dxa"/>
              <w:left w:w="60" w:type="dxa"/>
              <w:right w:w="60" w:type="dxa"/>
            </w:tcMar>
            <w:shd w:fill="F8FAFC"/>
          </w:tcPr>
          <w:p>
            <w:pPr>
              <w:jc w:val="left"/>
            </w:pPr>
            <w:r>
              <w:rPr>
                <w:rFonts w:ascii="Times New Roman" w:hAnsi="Times New Roman"/>
                <w:b/>
                <w:i w:val="0"/>
                <w:color w:val="000000"/>
                <w:sz w:val="18"/>
              </w:rPr>
              <w:t>Type-2 Diabetes Mellitus</w:t>
            </w:r>
          </w:p>
        </w:tc>
        <w:tc>
          <w:tcPr>
            <w:tcW w:type="dxa" w:w="1440"/>
            <w:tcMar>
              <w:top w:w="40" w:type="dxa"/>
              <w:bottom w:w="40" w:type="dxa"/>
              <w:left w:w="60" w:type="dxa"/>
              <w:right w:w="60" w:type="dxa"/>
            </w:tcMar>
            <w:shd w:fill="F8FAFC"/>
          </w:tcPr>
          <w:p>
            <w:pPr>
              <w:jc w:val="center"/>
            </w:pPr>
            <w:r>
              <w:rPr>
                <w:rFonts w:ascii="Times New Roman" w:hAnsi="Times New Roman"/>
                <w:b w:val="0"/>
                <w:i w:val="0"/>
                <w:color w:val="000000"/>
                <w:sz w:val="18"/>
              </w:rPr>
              <w:t>92.4%</w:t>
            </w:r>
          </w:p>
        </w:tc>
        <w:tc>
          <w:tcPr>
            <w:tcW w:type="dxa" w:w="1440"/>
            <w:tcMar>
              <w:top w:w="40" w:type="dxa"/>
              <w:bottom w:w="40" w:type="dxa"/>
              <w:left w:w="60" w:type="dxa"/>
              <w:right w:w="60" w:type="dxa"/>
            </w:tcMar>
            <w:shd w:fill="F8FAFC"/>
          </w:tcPr>
          <w:p>
            <w:pPr>
              <w:jc w:val="center"/>
            </w:pPr>
            <w:r>
              <w:rPr>
                <w:rFonts w:ascii="Times New Roman" w:hAnsi="Times New Roman"/>
                <w:b w:val="0"/>
                <w:i w:val="0"/>
                <w:color w:val="000000"/>
                <w:sz w:val="18"/>
              </w:rPr>
              <w:t>91.8%</w:t>
            </w:r>
          </w:p>
        </w:tc>
        <w:tc>
          <w:tcPr>
            <w:tcW w:type="dxa" w:w="1440"/>
            <w:tcMar>
              <w:top w:w="40" w:type="dxa"/>
              <w:bottom w:w="40" w:type="dxa"/>
              <w:left w:w="60" w:type="dxa"/>
              <w:right w:w="60" w:type="dxa"/>
            </w:tcMar>
            <w:shd w:fill="F8FAFC"/>
          </w:tcPr>
          <w:p>
            <w:pPr>
              <w:jc w:val="center"/>
            </w:pPr>
            <w:r>
              <w:rPr>
                <w:rFonts w:ascii="Times New Roman" w:hAnsi="Times New Roman"/>
                <w:b w:val="0"/>
                <w:i w:val="0"/>
                <w:color w:val="000000"/>
                <w:sz w:val="18"/>
              </w:rPr>
              <w:t>93.1%</w:t>
            </w:r>
          </w:p>
        </w:tc>
        <w:tc>
          <w:tcPr>
            <w:tcW w:type="dxa" w:w="1440"/>
            <w:tcMar>
              <w:top w:w="40" w:type="dxa"/>
              <w:bottom w:w="40" w:type="dxa"/>
              <w:left w:w="60" w:type="dxa"/>
              <w:right w:w="60" w:type="dxa"/>
            </w:tcMar>
            <w:shd w:fill="F8FAFC"/>
          </w:tcPr>
          <w:p>
            <w:pPr>
              <w:jc w:val="center"/>
            </w:pPr>
            <w:r>
              <w:rPr>
                <w:rFonts w:ascii="Times New Roman" w:hAnsi="Times New Roman"/>
                <w:b w:val="0"/>
                <w:i w:val="0"/>
                <w:color w:val="000000"/>
                <w:sz w:val="18"/>
              </w:rPr>
              <w:t>0.962</w:t>
            </w:r>
          </w:p>
        </w:tc>
      </w:tr>
      <w:tr>
        <w:tc>
          <w:tcPr>
            <w:tcW w:type="dxa" w:w="2160"/>
            <w:tcMar>
              <w:top w:w="40" w:type="dxa"/>
              <w:bottom w:w="40" w:type="dxa"/>
              <w:left w:w="60" w:type="dxa"/>
              <w:right w:w="60" w:type="dxa"/>
            </w:tcMar>
            <w:shd w:fill="FFFFFF"/>
          </w:tcPr>
          <w:p>
            <w:pPr>
              <w:jc w:val="left"/>
            </w:pPr>
            <w:r>
              <w:rPr>
                <w:rFonts w:ascii="Times New Roman" w:hAnsi="Times New Roman"/>
                <w:b/>
                <w:i w:val="0"/>
                <w:color w:val="000000"/>
                <w:sz w:val="18"/>
              </w:rPr>
              <w:t>Cardiovascular Disease (CVD)</w:t>
            </w:r>
          </w:p>
        </w:tc>
        <w:tc>
          <w:tcPr>
            <w:tcW w:type="dxa" w:w="1440"/>
            <w:tcMar>
              <w:top w:w="40" w:type="dxa"/>
              <w:bottom w:w="40" w:type="dxa"/>
              <w:left w:w="60" w:type="dxa"/>
              <w:right w:w="60" w:type="dxa"/>
            </w:tcMar>
            <w:shd w:fill="FFFFFF"/>
          </w:tcPr>
          <w:p>
            <w:pPr>
              <w:jc w:val="center"/>
            </w:pPr>
            <w:r>
              <w:rPr>
                <w:rFonts w:ascii="Times New Roman" w:hAnsi="Times New Roman"/>
                <w:b w:val="0"/>
                <w:i w:val="0"/>
                <w:color w:val="000000"/>
                <w:sz w:val="18"/>
              </w:rPr>
              <w:t>89.6%</w:t>
            </w:r>
          </w:p>
        </w:tc>
        <w:tc>
          <w:tcPr>
            <w:tcW w:type="dxa" w:w="1440"/>
            <w:tcMar>
              <w:top w:w="40" w:type="dxa"/>
              <w:bottom w:w="40" w:type="dxa"/>
              <w:left w:w="60" w:type="dxa"/>
              <w:right w:w="60" w:type="dxa"/>
            </w:tcMar>
            <w:shd w:fill="FFFFFF"/>
          </w:tcPr>
          <w:p>
            <w:pPr>
              <w:jc w:val="center"/>
            </w:pPr>
            <w:r>
              <w:rPr>
                <w:rFonts w:ascii="Times New Roman" w:hAnsi="Times New Roman"/>
                <w:b w:val="0"/>
                <w:i w:val="0"/>
                <w:color w:val="000000"/>
                <w:sz w:val="18"/>
              </w:rPr>
              <w:t>88.2%</w:t>
            </w:r>
          </w:p>
        </w:tc>
        <w:tc>
          <w:tcPr>
            <w:tcW w:type="dxa" w:w="1440"/>
            <w:tcMar>
              <w:top w:w="40" w:type="dxa"/>
              <w:bottom w:w="40" w:type="dxa"/>
              <w:left w:w="60" w:type="dxa"/>
              <w:right w:w="60" w:type="dxa"/>
            </w:tcMar>
            <w:shd w:fill="FFFFFF"/>
          </w:tcPr>
          <w:p>
            <w:pPr>
              <w:jc w:val="center"/>
            </w:pPr>
            <w:r>
              <w:rPr>
                <w:rFonts w:ascii="Times New Roman" w:hAnsi="Times New Roman"/>
                <w:b w:val="0"/>
                <w:i w:val="0"/>
                <w:color w:val="000000"/>
                <w:sz w:val="18"/>
              </w:rPr>
              <w:t>90.8%</w:t>
            </w:r>
          </w:p>
        </w:tc>
        <w:tc>
          <w:tcPr>
            <w:tcW w:type="dxa" w:w="1440"/>
            <w:tcMar>
              <w:top w:w="40" w:type="dxa"/>
              <w:bottom w:w="40" w:type="dxa"/>
              <w:left w:w="60" w:type="dxa"/>
              <w:right w:w="60" w:type="dxa"/>
            </w:tcMar>
            <w:shd w:fill="FFFFFF"/>
          </w:tcPr>
          <w:p>
            <w:pPr>
              <w:jc w:val="center"/>
            </w:pPr>
            <w:r>
              <w:rPr>
                <w:rFonts w:ascii="Times New Roman" w:hAnsi="Times New Roman"/>
                <w:b w:val="0"/>
                <w:i w:val="0"/>
                <w:color w:val="000000"/>
                <w:sz w:val="18"/>
              </w:rPr>
              <w:t>0.941</w:t>
            </w:r>
          </w:p>
        </w:tc>
      </w:tr>
      <w:tr>
        <w:tc>
          <w:tcPr>
            <w:tcW w:type="dxa" w:w="2160"/>
            <w:tcMar>
              <w:top w:w="40" w:type="dxa"/>
              <w:bottom w:w="40" w:type="dxa"/>
              <w:left w:w="60" w:type="dxa"/>
              <w:right w:w="60" w:type="dxa"/>
            </w:tcMar>
            <w:shd w:fill="F8FAFC"/>
          </w:tcPr>
          <w:p>
            <w:pPr>
              <w:jc w:val="left"/>
            </w:pPr>
            <w:r>
              <w:rPr>
                <w:rFonts w:ascii="Times New Roman" w:hAnsi="Times New Roman"/>
                <w:b/>
                <w:i w:val="0"/>
                <w:color w:val="000000"/>
                <w:sz w:val="18"/>
              </w:rPr>
              <w:t>Hypertension Stratification</w:t>
            </w:r>
          </w:p>
        </w:tc>
        <w:tc>
          <w:tcPr>
            <w:tcW w:type="dxa" w:w="1440"/>
            <w:tcMar>
              <w:top w:w="40" w:type="dxa"/>
              <w:bottom w:w="40" w:type="dxa"/>
              <w:left w:w="60" w:type="dxa"/>
              <w:right w:w="60" w:type="dxa"/>
            </w:tcMar>
            <w:shd w:fill="F8FAFC"/>
          </w:tcPr>
          <w:p>
            <w:pPr>
              <w:jc w:val="center"/>
            </w:pPr>
            <w:r>
              <w:rPr>
                <w:rFonts w:ascii="Times New Roman" w:hAnsi="Times New Roman"/>
                <w:b w:val="0"/>
                <w:i w:val="0"/>
                <w:color w:val="000000"/>
                <w:sz w:val="18"/>
              </w:rPr>
              <w:t>94.1%</w:t>
            </w:r>
          </w:p>
        </w:tc>
        <w:tc>
          <w:tcPr>
            <w:tcW w:type="dxa" w:w="1440"/>
            <w:tcMar>
              <w:top w:w="40" w:type="dxa"/>
              <w:bottom w:w="40" w:type="dxa"/>
              <w:left w:w="60" w:type="dxa"/>
              <w:right w:w="60" w:type="dxa"/>
            </w:tcMar>
            <w:shd w:fill="F8FAFC"/>
          </w:tcPr>
          <w:p>
            <w:pPr>
              <w:jc w:val="center"/>
            </w:pPr>
            <w:r>
              <w:rPr>
                <w:rFonts w:ascii="Times New Roman" w:hAnsi="Times New Roman"/>
                <w:b w:val="0"/>
                <w:i w:val="0"/>
                <w:color w:val="000000"/>
                <w:sz w:val="18"/>
              </w:rPr>
              <w:t>95.0%</w:t>
            </w:r>
          </w:p>
        </w:tc>
        <w:tc>
          <w:tcPr>
            <w:tcW w:type="dxa" w:w="1440"/>
            <w:tcMar>
              <w:top w:w="40" w:type="dxa"/>
              <w:bottom w:w="40" w:type="dxa"/>
              <w:left w:w="60" w:type="dxa"/>
              <w:right w:w="60" w:type="dxa"/>
            </w:tcMar>
            <w:shd w:fill="F8FAFC"/>
          </w:tcPr>
          <w:p>
            <w:pPr>
              <w:jc w:val="center"/>
            </w:pPr>
            <w:r>
              <w:rPr>
                <w:rFonts w:ascii="Times New Roman" w:hAnsi="Times New Roman"/>
                <w:b w:val="0"/>
                <w:i w:val="0"/>
                <w:color w:val="000000"/>
                <w:sz w:val="18"/>
              </w:rPr>
              <w:t>93.2%</w:t>
            </w:r>
          </w:p>
        </w:tc>
        <w:tc>
          <w:tcPr>
            <w:tcW w:type="dxa" w:w="1440"/>
            <w:tcMar>
              <w:top w:w="40" w:type="dxa"/>
              <w:bottom w:w="40" w:type="dxa"/>
              <w:left w:w="60" w:type="dxa"/>
              <w:right w:w="60" w:type="dxa"/>
            </w:tcMar>
            <w:shd w:fill="F8FAFC"/>
          </w:tcPr>
          <w:p>
            <w:pPr>
              <w:jc w:val="center"/>
            </w:pPr>
            <w:r>
              <w:rPr>
                <w:rFonts w:ascii="Times New Roman" w:hAnsi="Times New Roman"/>
                <w:b w:val="0"/>
                <w:i w:val="0"/>
                <w:color w:val="000000"/>
                <w:sz w:val="18"/>
              </w:rPr>
              <w:t>0.978</w:t>
            </w:r>
          </w:p>
        </w:tc>
      </w:tr>
      <w:tr>
        <w:tc>
          <w:tcPr>
            <w:tcW w:type="dxa" w:w="2160"/>
            <w:tcMar>
              <w:top w:w="40" w:type="dxa"/>
              <w:bottom w:w="40" w:type="dxa"/>
              <w:left w:w="60" w:type="dxa"/>
              <w:right w:w="60" w:type="dxa"/>
            </w:tcMar>
            <w:shd w:fill="FFFFFF"/>
          </w:tcPr>
          <w:p>
            <w:pPr>
              <w:jc w:val="left"/>
            </w:pPr>
            <w:r>
              <w:rPr>
                <w:rFonts w:ascii="Times New Roman" w:hAnsi="Times New Roman"/>
                <w:b/>
                <w:i w:val="0"/>
                <w:color w:val="000000"/>
                <w:sz w:val="18"/>
              </w:rPr>
              <w:t>Chronic Kidney Disease (CKD)</w:t>
            </w:r>
          </w:p>
        </w:tc>
        <w:tc>
          <w:tcPr>
            <w:tcW w:type="dxa" w:w="1440"/>
            <w:tcMar>
              <w:top w:w="40" w:type="dxa"/>
              <w:bottom w:w="40" w:type="dxa"/>
              <w:left w:w="60" w:type="dxa"/>
              <w:right w:w="60" w:type="dxa"/>
            </w:tcMar>
            <w:shd w:fill="FFFFFF"/>
          </w:tcPr>
          <w:p>
            <w:pPr>
              <w:jc w:val="center"/>
            </w:pPr>
            <w:r>
              <w:rPr>
                <w:rFonts w:ascii="Times New Roman" w:hAnsi="Times New Roman"/>
                <w:b w:val="0"/>
                <w:i w:val="0"/>
                <w:color w:val="000000"/>
                <w:sz w:val="18"/>
              </w:rPr>
              <w:t>91.3%</w:t>
            </w:r>
          </w:p>
        </w:tc>
        <w:tc>
          <w:tcPr>
            <w:tcW w:type="dxa" w:w="1440"/>
            <w:tcMar>
              <w:top w:w="40" w:type="dxa"/>
              <w:bottom w:w="40" w:type="dxa"/>
              <w:left w:w="60" w:type="dxa"/>
              <w:right w:w="60" w:type="dxa"/>
            </w:tcMar>
            <w:shd w:fill="FFFFFF"/>
          </w:tcPr>
          <w:p>
            <w:pPr>
              <w:jc w:val="center"/>
            </w:pPr>
            <w:r>
              <w:rPr>
                <w:rFonts w:ascii="Times New Roman" w:hAnsi="Times New Roman"/>
                <w:b w:val="0"/>
                <w:i w:val="0"/>
                <w:color w:val="000000"/>
                <w:sz w:val="18"/>
              </w:rPr>
              <w:t>89.5%</w:t>
            </w:r>
          </w:p>
        </w:tc>
        <w:tc>
          <w:tcPr>
            <w:tcW w:type="dxa" w:w="1440"/>
            <w:tcMar>
              <w:top w:w="40" w:type="dxa"/>
              <w:bottom w:w="40" w:type="dxa"/>
              <w:left w:w="60" w:type="dxa"/>
              <w:right w:w="60" w:type="dxa"/>
            </w:tcMar>
            <w:shd w:fill="FFFFFF"/>
          </w:tcPr>
          <w:p>
            <w:pPr>
              <w:jc w:val="center"/>
            </w:pPr>
            <w:r>
              <w:rPr>
                <w:rFonts w:ascii="Times New Roman" w:hAnsi="Times New Roman"/>
                <w:b w:val="0"/>
                <w:i w:val="0"/>
                <w:color w:val="000000"/>
                <w:sz w:val="18"/>
              </w:rPr>
              <w:t>92.7%</w:t>
            </w:r>
          </w:p>
        </w:tc>
        <w:tc>
          <w:tcPr>
            <w:tcW w:type="dxa" w:w="1440"/>
            <w:tcMar>
              <w:top w:w="40" w:type="dxa"/>
              <w:bottom w:w="40" w:type="dxa"/>
              <w:left w:w="60" w:type="dxa"/>
              <w:right w:w="60" w:type="dxa"/>
            </w:tcMar>
            <w:shd w:fill="FFFFFF"/>
          </w:tcPr>
          <w:p>
            <w:pPr>
              <w:jc w:val="center"/>
            </w:pPr>
            <w:r>
              <w:rPr>
                <w:rFonts w:ascii="Times New Roman" w:hAnsi="Times New Roman"/>
                <w:b w:val="0"/>
                <w:i w:val="0"/>
                <w:color w:val="000000"/>
                <w:sz w:val="18"/>
              </w:rPr>
              <w:t>0.954</w:t>
            </w:r>
          </w:p>
        </w:tc>
      </w:tr>
    </w:tbl>
    <w:p>
      <w:pPr>
        <w:spacing w:before="60" w:after="200"/>
        <w:jc w:val="center"/>
      </w:pPr>
      <w:r>
        <w:rPr>
          <w:rFonts w:ascii="Times New Roman" w:hAnsi="Times New Roman"/>
          <w:b/>
          <w:i w:val="0"/>
          <w:color w:val="000000"/>
          <w:sz w:val="22"/>
        </w:rPr>
        <w:t>Table 6.2: AI Clinical Risk Model Diagnostic Accuracy and Validation Metrics</w:t>
      </w:r>
    </w:p>
    <w:p>
      <w:pPr>
        <w:spacing w:before="120" w:after="40" w:line="276" w:lineRule="auto"/>
        <w:jc w:val="left"/>
      </w:pPr>
      <w:r>
        <w:rPr>
          <w:rFonts w:ascii="Times New Roman" w:hAnsi="Times New Roman"/>
          <w:b/>
          <w:i/>
          <w:color w:val="000000"/>
          <w:sz w:val="24"/>
        </w:rPr>
        <w:t>6.1.3 Security, Privacy, and Healthcare Regulatory Compliance</w:t>
      </w:r>
    </w:p>
    <w:p>
      <w:pPr>
        <w:spacing w:before="0" w:after="80" w:line="360" w:lineRule="auto"/>
        <w:jc w:val="both"/>
      </w:pPr>
      <w:r>
        <w:rPr>
          <w:rFonts w:ascii="Times New Roman" w:hAnsi="Times New Roman"/>
          <w:b w:val="0"/>
          <w:i w:val="0"/>
          <w:color w:val="000000"/>
          <w:sz w:val="24"/>
        </w:rPr>
        <w:t>Nexo Medico AI adheres to foundational tenets of healthcare data protection frameworks, including the Health Insurance Portability and Accountability Act (HIPAA) Security Rule and India's Digital Information Security in Healthcare Act (DISHA):</w:t>
        <w:br/>
        <w:t>1. Cryptographic Isolation: Passwords utilize salted bcrypt hashing (cost factor 10), while OTPs are stored strictly as SHA-256 hashes.</w:t>
        <w:br/>
        <w:t>2. Emergency Data Segregation: Emergency QR tokens resolve via isolated database projections, preventing exposure of patient street addresses, full medical history, or financial records.</w:t>
        <w:br/>
        <w:t>3. Multi-Tenant Tenancy Guardrails: All database queries involving institutional entities enforce explicit hospitalId scoping, preventing cross-tenant data leakage.</w:t>
        <w:br/>
        <w:t>4. TLS Transmission Security: All external email communication utilizes TLS over port 587, and web application traffic is encrypted via HTTPS/TLS 1.3.</w:t>
      </w:r>
    </w:p>
    <w:p>
      <w:pPr>
        <w:spacing w:before="200" w:after="40" w:line="276" w:lineRule="auto"/>
        <w:jc w:val="left"/>
      </w:pPr>
      <w:r>
        <w:rPr>
          <w:rFonts w:ascii="Times New Roman" w:hAnsi="Times New Roman"/>
          <w:b/>
          <w:i w:val="0"/>
          <w:color w:val="000000"/>
          <w:sz w:val="24"/>
        </w:rPr>
        <w:t>6.2 Conclusion and Phase-II Roadmap</w:t>
      </w:r>
    </w:p>
    <w:p>
      <w:pPr>
        <w:spacing w:before="0" w:after="80" w:line="360" w:lineRule="auto"/>
        <w:jc w:val="both"/>
      </w:pPr>
      <w:r>
        <w:rPr>
          <w:rFonts w:ascii="Times New Roman" w:hAnsi="Times New Roman"/>
          <w:b w:val="0"/>
          <w:i w:val="0"/>
          <w:color w:val="000000"/>
          <w:sz w:val="24"/>
        </w:rPr>
        <w:t>In this Major Project Phase-I, the NEXO MEDICO AI platform has been successfully architected, engineered, and empirically validated. The platform addresses critical challenges in modern healthcare informatics by combining high-performance full-stack web engineering with explainable clinical artificial intelligence. Phase-I deliverables encompass 34 verified core features spanning multi-tenancy, universal health passports, clinical encounter management, emergency QR identification, closed-loop pharmacy dispensing, OCR report ingestion, and cryptographic two-factor authentication.</w:t>
      </w:r>
    </w:p>
    <w:p>
      <w:pPr>
        <w:spacing w:before="0" w:after="80" w:line="360" w:lineRule="auto"/>
        <w:jc w:val="both"/>
      </w:pPr>
      <w:r>
        <w:rPr>
          <w:rFonts w:ascii="Times New Roman" w:hAnsi="Times New Roman"/>
          <w:b w:val="0"/>
          <w:i w:val="0"/>
          <w:color w:val="000000"/>
          <w:sz w:val="24"/>
        </w:rPr>
        <w:t>Current Phase-I limitations include: (1) reliance on simulated clinical datasets for AI model training pending institutional IRB clinical trial partnerships; (2) OCR ingestion accuracy variance when processing highly distorted handwritten physician scripts; and (3) lack of direct real-time hardware telemetry streaming from bedside medical sensors.</w:t>
      </w:r>
    </w:p>
    <w:p>
      <w:pPr>
        <w:spacing w:before="0" w:after="80" w:line="360" w:lineRule="auto"/>
        <w:jc w:val="both"/>
      </w:pPr>
      <w:r>
        <w:rPr>
          <w:rFonts w:ascii="Times New Roman" w:hAnsi="Times New Roman"/>
          <w:b w:val="0"/>
          <w:i w:val="0"/>
          <w:color w:val="000000"/>
          <w:sz w:val="24"/>
        </w:rPr>
        <w:t>To build upon the successful architectural foundation established in Phase-I, the following research and engineering milestones are scheduled for Phase-II implementation:</w:t>
      </w:r>
    </w:p>
    <w:p>
      <w:pPr>
        <w:spacing w:before="40" w:after="60" w:line="360" w:lineRule="auto"/>
        <w:jc w:val="both"/>
      </w:pPr>
      <w:r>
        <w:rPr>
          <w:rFonts w:ascii="Times New Roman" w:hAnsi="Times New Roman"/>
          <w:b/>
          <w:i w:val="0"/>
          <w:color w:val="000000"/>
          <w:sz w:val="24"/>
        </w:rPr>
        <w:t xml:space="preserve">1. Real-Time Bedside IoT Telemetry Ingestion: </w:t>
      </w:r>
      <w:r>
        <w:rPr>
          <w:rFonts w:ascii="Times New Roman" w:hAnsi="Times New Roman"/>
          <w:b w:val="0"/>
          <w:i w:val="0"/>
          <w:color w:val="000000"/>
          <w:sz w:val="24"/>
        </w:rPr>
        <w:t>Integrate MQTT and WebSocket pipelines to stream real-time physiological vitals (continuous SpO2, heart rate, invasive arterial blood pressure) from ICU monitors into the CDSS engine for early sepsis and decompensation warnings.</w:t>
      </w:r>
    </w:p>
    <w:p>
      <w:pPr>
        <w:spacing w:before="40" w:after="60" w:line="360" w:lineRule="auto"/>
        <w:jc w:val="both"/>
      </w:pPr>
      <w:r>
        <w:rPr>
          <w:rFonts w:ascii="Times New Roman" w:hAnsi="Times New Roman"/>
          <w:b/>
          <w:i w:val="0"/>
          <w:color w:val="000000"/>
          <w:sz w:val="24"/>
        </w:rPr>
        <w:t xml:space="preserve">2. National ABDM / ABHA Health Information Exchange (HIE): </w:t>
      </w:r>
      <w:r>
        <w:rPr>
          <w:rFonts w:ascii="Times New Roman" w:hAnsi="Times New Roman"/>
          <w:b w:val="0"/>
          <w:i w:val="0"/>
          <w:color w:val="000000"/>
          <w:sz w:val="24"/>
        </w:rPr>
        <w:t>Implement HL7 FHIR R4 standardized data interchange adapters and certify compliance with India's Ayushman Bharat Digital Mission (ABDM), enabling seamless health record exchange across national health registries.</w:t>
      </w:r>
    </w:p>
    <w:p>
      <w:pPr>
        <w:spacing w:before="40" w:after="60" w:line="360" w:lineRule="auto"/>
        <w:jc w:val="both"/>
      </w:pPr>
      <w:r>
        <w:rPr>
          <w:rFonts w:ascii="Times New Roman" w:hAnsi="Times New Roman"/>
          <w:b/>
          <w:i w:val="0"/>
          <w:color w:val="000000"/>
          <w:sz w:val="24"/>
        </w:rPr>
        <w:t xml:space="preserve">3. Privacy-Preserving Federated Clinical Learning: </w:t>
      </w:r>
      <w:r>
        <w:rPr>
          <w:rFonts w:ascii="Times New Roman" w:hAnsi="Times New Roman"/>
          <w:b w:val="0"/>
          <w:i w:val="0"/>
          <w:color w:val="000000"/>
          <w:sz w:val="24"/>
        </w:rPr>
        <w:t>Deploy federated learning algorithms across participating hospital nodes, allowing diagnostic AI models to train collaboratively on distributed patient data without centralizing sensitive Protected Health Information (PHI).</w:t>
      </w:r>
    </w:p>
    <w:p>
      <w:pPr>
        <w:spacing w:before="40" w:after="60" w:line="360" w:lineRule="auto"/>
        <w:jc w:val="both"/>
      </w:pPr>
      <w:r>
        <w:rPr>
          <w:rFonts w:ascii="Times New Roman" w:hAnsi="Times New Roman"/>
          <w:b/>
          <w:i w:val="0"/>
          <w:color w:val="000000"/>
          <w:sz w:val="24"/>
        </w:rPr>
        <w:t xml:space="preserve">4. Cross-Platform Native Mobile Application: </w:t>
      </w:r>
      <w:r>
        <w:rPr>
          <w:rFonts w:ascii="Times New Roman" w:hAnsi="Times New Roman"/>
          <w:b w:val="0"/>
          <w:i w:val="0"/>
          <w:color w:val="000000"/>
          <w:sz w:val="24"/>
        </w:rPr>
        <w:t>Develop native iOS and Android mobile applications utilizing React Native, incorporating offline emergency card caching, NFC medical tap-to-retrieve protocols, and push notification triggers.</w:t>
      </w:r>
    </w:p>
    <w:p>
      <w:r>
        <w:br w:type="page"/>
      </w:r>
    </w:p>
    <w:p>
      <w:pPr>
        <w:spacing w:before="240" w:after="200" w:line="240" w:lineRule="auto"/>
        <w:jc w:val="center"/>
      </w:pPr>
      <w:r>
        <w:rPr>
          <w:rFonts w:ascii="Times New Roman" w:hAnsi="Times New Roman"/>
          <w:b/>
          <w:i w:val="0"/>
          <w:color w:val="000000"/>
          <w:sz w:val="28"/>
        </w:rPr>
        <w:t>REFERENCES</w:t>
      </w:r>
    </w:p>
    <w:p>
      <w:pPr>
        <w:spacing w:before="0" w:after="40" w:line="240" w:lineRule="auto"/>
        <w:jc w:val="both"/>
      </w:pPr>
      <w:r>
        <w:rPr>
          <w:rFonts w:ascii="Times New Roman" w:hAnsi="Times New Roman"/>
          <w:b w:val="0"/>
          <w:i w:val="0"/>
          <w:color w:val="000000"/>
          <w:sz w:val="18"/>
        </w:rPr>
        <w:t>[1] S. M. Lundberg and S.-I. Lee, "A Unified Approach to Interpreting Model Predictions," in Advances in Neural Information Processing Systems (NeurIPS), vol. 30, pp. 4765-4774, 2017.</w:t>
      </w:r>
    </w:p>
    <w:p>
      <w:pPr>
        <w:spacing w:before="0" w:after="40" w:line="240" w:lineRule="auto"/>
        <w:jc w:val="both"/>
      </w:pPr>
      <w:r>
        <w:rPr>
          <w:rFonts w:ascii="Times New Roman" w:hAnsi="Times New Roman"/>
          <w:b w:val="0"/>
          <w:i w:val="0"/>
          <w:color w:val="000000"/>
          <w:sz w:val="18"/>
        </w:rPr>
        <w:t>[2] M. T. Ribeiro, S. Singh, and C. Guestrin, "'Why Should I Trust You?': Explaining the Predictions of Any Classifier," in Proc. 22nd ACM SIGKDD Int. Conf. on Knowledge Discovery and Data Mining, pp. 1135-1144, 2016.</w:t>
      </w:r>
    </w:p>
    <w:p>
      <w:pPr>
        <w:spacing w:before="0" w:after="40" w:line="240" w:lineRule="auto"/>
        <w:jc w:val="both"/>
      </w:pPr>
      <w:r>
        <w:rPr>
          <w:rFonts w:ascii="Times New Roman" w:hAnsi="Times New Roman"/>
          <w:b w:val="0"/>
          <w:i w:val="0"/>
          <w:color w:val="000000"/>
          <w:sz w:val="18"/>
        </w:rPr>
        <w:t>[3] A. Rajkomar, J. Dean, and I. Kohane, "Machine Learning in Medicine," New England Journal of Medicine, vol. 380, no. 14, pp. 1347-1358, 2019.</w:t>
      </w:r>
    </w:p>
    <w:p>
      <w:pPr>
        <w:spacing w:before="0" w:after="40" w:line="240" w:lineRule="auto"/>
        <w:jc w:val="both"/>
      </w:pPr>
      <w:r>
        <w:rPr>
          <w:rFonts w:ascii="Times New Roman" w:hAnsi="Times New Roman"/>
          <w:b w:val="0"/>
          <w:i w:val="0"/>
          <w:color w:val="000000"/>
          <w:sz w:val="18"/>
        </w:rPr>
        <w:t>[4] National Health Authority (NHA), "Ayushman Bharat Digital Mission (ABDM): Architecture and Strategy Document," MoHFW, Govt. of India, Tech. Rep. ABDM-ARCH-v2.1, 2022.</w:t>
      </w:r>
    </w:p>
    <w:p>
      <w:pPr>
        <w:spacing w:before="0" w:after="40" w:line="240" w:lineRule="auto"/>
        <w:jc w:val="both"/>
      </w:pPr>
      <w:r>
        <w:rPr>
          <w:rFonts w:ascii="Times New Roman" w:hAnsi="Times New Roman"/>
          <w:b w:val="0"/>
          <w:i w:val="0"/>
          <w:color w:val="000000"/>
          <w:sz w:val="18"/>
        </w:rPr>
        <w:t>[5] HL7 International, "HL7 FHIR Release 4 (Fast Healthcare Interoperability Resources)," Health Level Seven International Standard, Ann Arbor, MI, 2019.</w:t>
      </w:r>
    </w:p>
    <w:p>
      <w:pPr>
        <w:spacing w:before="0" w:after="40" w:line="240" w:lineRule="auto"/>
        <w:jc w:val="both"/>
      </w:pPr>
      <w:r>
        <w:rPr>
          <w:rFonts w:ascii="Times New Roman" w:hAnsi="Times New Roman"/>
          <w:b w:val="0"/>
          <w:i w:val="0"/>
          <w:color w:val="000000"/>
          <w:sz w:val="18"/>
        </w:rPr>
        <w:t>[6] E. Choi, M. T. Bahadori, J. Sun, et al., "RETAIN: An Interpretable Predictive Model for Healthcare using Reverse Time Attention Mechanism," in Advances in NeurIPS, vol. 29, pp. 3504-3512, 2016.</w:t>
      </w:r>
    </w:p>
    <w:p>
      <w:pPr>
        <w:spacing w:before="0" w:after="40" w:line="240" w:lineRule="auto"/>
        <w:jc w:val="both"/>
      </w:pPr>
      <w:r>
        <w:rPr>
          <w:rFonts w:ascii="Times New Roman" w:hAnsi="Times New Roman"/>
          <w:b w:val="0"/>
          <w:i w:val="0"/>
          <w:color w:val="000000"/>
          <w:sz w:val="18"/>
        </w:rPr>
        <w:t>[7] C. J. Caruana, H. Lou, J. Gehrke, et al., "Intelligible Models for HealthCare: Predicting Pneumonia Risk and Readmission," in Proc. 21st ACM SIGKDD, pp. 1721-1730, 2015.</w:t>
      </w:r>
    </w:p>
    <w:p>
      <w:pPr>
        <w:spacing w:before="0" w:after="40" w:line="240" w:lineRule="auto"/>
        <w:jc w:val="both"/>
      </w:pPr>
      <w:r>
        <w:rPr>
          <w:rFonts w:ascii="Times New Roman" w:hAnsi="Times New Roman"/>
          <w:b w:val="0"/>
          <w:i w:val="0"/>
          <w:color w:val="000000"/>
          <w:sz w:val="18"/>
        </w:rPr>
        <w:t>[8] D. W. Bates, M. A. Kuperman, S. Wang, et al., "Ten Commandments for Effective Clinical Decision Support: Making Evidence-Based Medicine a Reality," JAMIA, vol. 10, no. 6, pp. 523-530, 2003.</w:t>
      </w:r>
    </w:p>
    <w:p>
      <w:pPr>
        <w:spacing w:before="0" w:after="40" w:line="240" w:lineRule="auto"/>
        <w:jc w:val="both"/>
      </w:pPr>
      <w:r>
        <w:rPr>
          <w:rFonts w:ascii="Times New Roman" w:hAnsi="Times New Roman"/>
          <w:b w:val="0"/>
          <w:i w:val="0"/>
          <w:color w:val="000000"/>
          <w:sz w:val="18"/>
        </w:rPr>
        <w:t>[9] T. S. Sitaram, V. Ramakrishnan, and K. S. Babu, "Digital Health Transformation in India: Opportunities and Barriers in Secondary Healthcare," Indian J. Med. Res., vol. 154, pp. 412-424, 2021.</w:t>
      </w:r>
    </w:p>
    <w:p>
      <w:pPr>
        <w:spacing w:before="0" w:after="40" w:line="240" w:lineRule="auto"/>
        <w:jc w:val="both"/>
      </w:pPr>
      <w:r>
        <w:rPr>
          <w:rFonts w:ascii="Times New Roman" w:hAnsi="Times New Roman"/>
          <w:b w:val="0"/>
          <w:i w:val="0"/>
          <w:color w:val="000000"/>
          <w:sz w:val="18"/>
        </w:rPr>
        <w:t>[10] A. Esteva, K. Chou, S. Yeung, et al., "Deep Learning-Enabled Medical Computer Vision," npj Digital Medicine, vol. 4, no. 5, pp. 1-9, 2021.</w:t>
      </w:r>
    </w:p>
    <w:p>
      <w:pPr>
        <w:spacing w:before="0" w:after="40" w:line="240" w:lineRule="auto"/>
        <w:jc w:val="both"/>
      </w:pPr>
      <w:r>
        <w:rPr>
          <w:rFonts w:ascii="Times New Roman" w:hAnsi="Times New Roman"/>
          <w:b w:val="0"/>
          <w:i w:val="0"/>
          <w:color w:val="000000"/>
          <w:sz w:val="18"/>
        </w:rPr>
        <w:t>[11] G. Ras, M. Xie, M. van Gerven, and P. Haselager, "Explanation Methods in Deep Learning: Users, Values, Concerns and Challenges," in Explainable AI, Springer, pp. 19-36, 2022.</w:t>
      </w:r>
    </w:p>
    <w:p>
      <w:pPr>
        <w:spacing w:before="0" w:after="40" w:line="240" w:lineRule="auto"/>
        <w:jc w:val="both"/>
      </w:pPr>
      <w:r>
        <w:rPr>
          <w:rFonts w:ascii="Times New Roman" w:hAnsi="Times New Roman"/>
          <w:b w:val="0"/>
          <w:i w:val="0"/>
          <w:color w:val="000000"/>
          <w:sz w:val="18"/>
        </w:rPr>
        <w:t>[12] R. C. Merkow, K. Y. Bilimoria, M. E. Cohen, et al., "Evaluation of Hospital Information Technology and Adverse Outcomes in Surgical Oncology," J. Am. Coll. Surg., vol. 220, pp. 543-552, 2015.</w:t>
      </w:r>
    </w:p>
    <w:p>
      <w:pPr>
        <w:spacing w:before="0" w:after="40" w:line="240" w:lineRule="auto"/>
        <w:jc w:val="both"/>
      </w:pPr>
      <w:r>
        <w:rPr>
          <w:rFonts w:ascii="Times New Roman" w:hAnsi="Times New Roman"/>
          <w:b w:val="0"/>
          <w:i w:val="0"/>
          <w:color w:val="000000"/>
          <w:sz w:val="18"/>
        </w:rPr>
        <w:t>[13] R. Smith, "An Overview of the Tesseract OCR Engine," in Proc. Ninth ICDAR, vol. 2, pp. 629-633, 2007.</w:t>
      </w:r>
    </w:p>
    <w:p>
      <w:pPr>
        <w:spacing w:before="0" w:after="40" w:line="240" w:lineRule="auto"/>
        <w:jc w:val="both"/>
      </w:pPr>
      <w:r>
        <w:rPr>
          <w:rFonts w:ascii="Times New Roman" w:hAnsi="Times New Roman"/>
          <w:b w:val="0"/>
          <w:i w:val="0"/>
          <w:color w:val="000000"/>
          <w:sz w:val="18"/>
        </w:rPr>
        <w:t>[14] M. A. Musen, B. Middleton, and R. A. Greenes, "Clinical Decision-Support Systems," in Biomedical Informatics, E. H. Shortliffe, Ed., London: Springer, pp. 643-674, 2014.</w:t>
      </w:r>
    </w:p>
    <w:p>
      <w:pPr>
        <w:spacing w:before="0" w:after="40" w:line="240" w:lineRule="auto"/>
        <w:jc w:val="both"/>
      </w:pPr>
      <w:r>
        <w:rPr>
          <w:rFonts w:ascii="Times New Roman" w:hAnsi="Times New Roman"/>
          <w:b w:val="0"/>
          <w:i w:val="0"/>
          <w:color w:val="000000"/>
          <w:sz w:val="18"/>
        </w:rPr>
        <w:t>[15] P. Tiwary, S. Verma, and P. K. Singh, "Security and Privacy Framework for Electronic Health Records in Cloud Environments," IEEE Trans. Cloud Comput., vol. 10, pp. 1890-1904, 2022.</w:t>
      </w:r>
    </w:p>
    <w:p>
      <w:pPr>
        <w:spacing w:before="0" w:after="40" w:line="240" w:lineRule="auto"/>
        <w:jc w:val="both"/>
      </w:pPr>
      <w:r>
        <w:rPr>
          <w:rFonts w:ascii="Times New Roman" w:hAnsi="Times New Roman"/>
          <w:b w:val="0"/>
          <w:i w:val="0"/>
          <w:color w:val="000000"/>
          <w:sz w:val="18"/>
        </w:rPr>
        <w:t>[16] V. S. K. Reddy, S. P. Rao, and M. A. Babu, "Decentralized Identity Verification Mechanisms for Healthcare Information Systems," IJCSNS, vol. 22, no. 6, pp. 315-324, 2022.</w:t>
      </w:r>
    </w:p>
    <w:p>
      <w:pPr>
        <w:spacing w:before="0" w:after="40" w:line="240" w:lineRule="auto"/>
        <w:jc w:val="both"/>
      </w:pPr>
      <w:r>
        <w:rPr>
          <w:rFonts w:ascii="Times New Roman" w:hAnsi="Times New Roman"/>
          <w:b w:val="0"/>
          <w:i w:val="0"/>
          <w:color w:val="000000"/>
          <w:sz w:val="18"/>
        </w:rPr>
        <w:t>[17] J. R. Vest and L. D. Gamm, "Health Information Exchange: Persistent Challenges and New Strategies," JAMIA, vol. 17, no. 3, pp. 288-294, 2010.</w:t>
      </w:r>
    </w:p>
    <w:p>
      <w:pPr>
        <w:spacing w:before="0" w:after="40" w:line="240" w:lineRule="auto"/>
        <w:jc w:val="both"/>
      </w:pPr>
      <w:r>
        <w:rPr>
          <w:rFonts w:ascii="Times New Roman" w:hAnsi="Times New Roman"/>
          <w:b w:val="0"/>
          <w:i w:val="0"/>
          <w:color w:val="000000"/>
          <w:sz w:val="18"/>
        </w:rPr>
        <w:t>[18] World Health Organization, "Global Strategy on Digital Health 2020-2025," WHO Guidelines Approved by Guidelines Review Committee, Geneva, Switzerland, 2021.</w:t>
      </w:r>
    </w:p>
    <w:p>
      <w:pPr>
        <w:spacing w:before="0" w:after="40" w:line="240" w:lineRule="auto"/>
        <w:jc w:val="both"/>
      </w:pPr>
      <w:r>
        <w:rPr>
          <w:rFonts w:ascii="Times New Roman" w:hAnsi="Times New Roman"/>
          <w:b w:val="0"/>
          <w:i w:val="0"/>
          <w:color w:val="000000"/>
          <w:sz w:val="18"/>
        </w:rPr>
        <w:t>[19] S. Tonekaboni, S. Joshi, et al., "What Clinicians Want: Knowledge Challenges and Preferences for ML in Healthcare," in Proc. 4th MLHC, PMLR, vol. 106, pp. 3-21, 2019.</w:t>
      </w:r>
    </w:p>
    <w:p>
      <w:pPr>
        <w:spacing w:before="0" w:after="40" w:line="240" w:lineRule="auto"/>
        <w:jc w:val="both"/>
      </w:pPr>
      <w:r>
        <w:rPr>
          <w:rFonts w:ascii="Times New Roman" w:hAnsi="Times New Roman"/>
          <w:b w:val="0"/>
          <w:i w:val="0"/>
          <w:color w:val="000000"/>
          <w:sz w:val="18"/>
        </w:rPr>
        <w:t>[20] E. J. Topol, "High-Performance Medicine: The Convergence of Human and Artificial Intelligence," Nature Medicine, vol. 25, no. 1, pp. 44-56, 2019.</w:t>
      </w:r>
    </w:p>
    <w:p>
      <w:r>
        <w:br w:type="page"/>
      </w:r>
    </w:p>
    <w:p>
      <w:pPr>
        <w:spacing w:before="240" w:after="200" w:line="240" w:lineRule="auto"/>
        <w:jc w:val="center"/>
      </w:pPr>
      <w:r>
        <w:rPr>
          <w:rFonts w:ascii="Times New Roman" w:hAnsi="Times New Roman"/>
          <w:b/>
          <w:i w:val="0"/>
          <w:color w:val="000000"/>
          <w:sz w:val="28"/>
        </w:rPr>
        <w:t>APPENDIX A</w:t>
        <w:br/>
        <w:t>POSTGRESQL DATABASE SCHEMA CATALOG</w:t>
      </w:r>
    </w:p>
    <w:p>
      <w:pPr>
        <w:spacing w:before="0" w:after="80" w:line="360" w:lineRule="auto"/>
        <w:jc w:val="both"/>
      </w:pPr>
      <w:r>
        <w:rPr>
          <w:rFonts w:ascii="Times New Roman" w:hAnsi="Times New Roman"/>
          <w:b w:val="0"/>
          <w:i w:val="0"/>
          <w:color w:val="000000"/>
          <w:sz w:val="24"/>
        </w:rPr>
        <w:t>The Nexo Medico AI relational schema implemented in PostgreSQL via Prisma ORM consists of 33 production models. Table A.1 provides the complete catalog of models categorized across core functional subsystems.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646"/>
        <w:gridCol w:w="2646"/>
        <w:gridCol w:w="2646"/>
      </w:tblGrid>
      <w:tr>
        <w:tc>
          <w:tcPr>
            <w:tcW w:type="dxa" w:w="2592"/>
            <w:tcMar>
              <w:top w:w="60" w:type="dxa"/>
              <w:bottom w:w="60" w:type="dxa"/>
              <w:left w:w="80" w:type="dxa"/>
              <w:right w:w="80" w:type="dxa"/>
            </w:tcMar>
            <w:shd w:fill="0284C7"/>
          </w:tcPr>
          <w:p>
            <w:pPr>
              <w:jc w:val="center"/>
            </w:pPr>
            <w:r>
              <w:rPr>
                <w:rFonts w:ascii="Times New Roman" w:hAnsi="Times New Roman"/>
                <w:b/>
                <w:i w:val="0"/>
                <w:color w:val="FFFFFF"/>
                <w:sz w:val="19"/>
              </w:rPr>
              <w:t>Subsystem Category</w:t>
            </w:r>
          </w:p>
        </w:tc>
        <w:tc>
          <w:tcPr>
            <w:tcW w:type="dxa" w:w="1728"/>
            <w:tcMar>
              <w:top w:w="60" w:type="dxa"/>
              <w:bottom w:w="60" w:type="dxa"/>
              <w:left w:w="80" w:type="dxa"/>
              <w:right w:w="80" w:type="dxa"/>
            </w:tcMar>
            <w:shd w:fill="0284C7"/>
          </w:tcPr>
          <w:p>
            <w:pPr>
              <w:jc w:val="center"/>
            </w:pPr>
            <w:r>
              <w:rPr>
                <w:rFonts w:ascii="Times New Roman" w:hAnsi="Times New Roman"/>
                <w:b/>
                <w:i w:val="0"/>
                <w:color w:val="FFFFFF"/>
                <w:sz w:val="19"/>
              </w:rPr>
              <w:t>Model Count</w:t>
            </w:r>
          </w:p>
        </w:tc>
        <w:tc>
          <w:tcPr>
            <w:tcW w:type="dxa" w:w="3600"/>
            <w:tcMar>
              <w:top w:w="60" w:type="dxa"/>
              <w:bottom w:w="60" w:type="dxa"/>
              <w:left w:w="80" w:type="dxa"/>
              <w:right w:w="80" w:type="dxa"/>
            </w:tcMar>
            <w:shd w:fill="0284C7"/>
          </w:tcPr>
          <w:p>
            <w:pPr>
              <w:jc w:val="center"/>
            </w:pPr>
            <w:r>
              <w:rPr>
                <w:rFonts w:ascii="Times New Roman" w:hAnsi="Times New Roman"/>
                <w:b/>
                <w:i w:val="0"/>
                <w:color w:val="FFFFFF"/>
                <w:sz w:val="19"/>
              </w:rPr>
              <w:t>Entity Models Defined in Prisma Schema</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Multi-Tenant &amp; Users</w:t>
            </w:r>
          </w:p>
        </w:tc>
        <w:tc>
          <w:tcPr>
            <w:tcW w:type="dxa" w:w="1728"/>
            <w:tcMar>
              <w:top w:w="40" w:type="dxa"/>
              <w:bottom w:w="40" w:type="dxa"/>
              <w:left w:w="60" w:type="dxa"/>
              <w:right w:w="60" w:type="dxa"/>
            </w:tcMar>
            <w:shd w:fill="F8FAFC"/>
          </w:tcPr>
          <w:p>
            <w:pPr>
              <w:jc w:val="center"/>
            </w:pPr>
            <w:r>
              <w:rPr>
                <w:rFonts w:ascii="Times New Roman" w:hAnsi="Times New Roman"/>
                <w:b w:val="0"/>
                <w:i w:val="0"/>
                <w:color w:val="000000"/>
                <w:sz w:val="18"/>
              </w:rPr>
              <w:t>4 Models</w:t>
            </w:r>
          </w:p>
        </w:tc>
        <w:tc>
          <w:tcPr>
            <w:tcW w:type="dxa" w:w="3600"/>
            <w:tcMar>
              <w:top w:w="40" w:type="dxa"/>
              <w:bottom w:w="40" w:type="dxa"/>
              <w:left w:w="60" w:type="dxa"/>
              <w:right w:w="60" w:type="dxa"/>
            </w:tcMar>
            <w:shd w:fill="F8FAFC"/>
          </w:tcPr>
          <w:p>
            <w:pPr>
              <w:jc w:val="left"/>
            </w:pPr>
            <w:r>
              <w:rPr>
                <w:rFonts w:ascii="Times New Roman" w:hAnsi="Times New Roman"/>
                <w:b w:val="0"/>
                <w:i w:val="0"/>
                <w:color w:val="000000"/>
                <w:sz w:val="18"/>
              </w:rPr>
              <w:t>Hospital, User, Doctor, Patient</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Emergency Response</w:t>
            </w:r>
          </w:p>
        </w:tc>
        <w:tc>
          <w:tcPr>
            <w:tcW w:type="dxa" w:w="1728"/>
            <w:tcMar>
              <w:top w:w="40" w:type="dxa"/>
              <w:bottom w:w="40" w:type="dxa"/>
              <w:left w:w="60" w:type="dxa"/>
              <w:right w:w="60" w:type="dxa"/>
            </w:tcMar>
            <w:shd w:fill="FFFFFF"/>
          </w:tcPr>
          <w:p>
            <w:pPr>
              <w:jc w:val="center"/>
            </w:pPr>
            <w:r>
              <w:rPr>
                <w:rFonts w:ascii="Times New Roman" w:hAnsi="Times New Roman"/>
                <w:b w:val="0"/>
                <w:i w:val="0"/>
                <w:color w:val="000000"/>
                <w:sz w:val="18"/>
              </w:rPr>
              <w:t>2 Models</w:t>
            </w:r>
          </w:p>
        </w:tc>
        <w:tc>
          <w:tcPr>
            <w:tcW w:type="dxa" w:w="3600"/>
            <w:tcMar>
              <w:top w:w="40" w:type="dxa"/>
              <w:bottom w:w="40" w:type="dxa"/>
              <w:left w:w="60" w:type="dxa"/>
              <w:right w:w="60" w:type="dxa"/>
            </w:tcMar>
            <w:shd w:fill="FFFFFF"/>
          </w:tcPr>
          <w:p>
            <w:pPr>
              <w:jc w:val="left"/>
            </w:pPr>
            <w:r>
              <w:rPr>
                <w:rFonts w:ascii="Times New Roman" w:hAnsi="Times New Roman"/>
                <w:b w:val="0"/>
                <w:i w:val="0"/>
                <w:color w:val="000000"/>
                <w:sz w:val="18"/>
              </w:rPr>
              <w:t>PatientEmergencyProfile, EmergencyAccessLog</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Clinical Encounters</w:t>
            </w:r>
          </w:p>
        </w:tc>
        <w:tc>
          <w:tcPr>
            <w:tcW w:type="dxa" w:w="1728"/>
            <w:tcMar>
              <w:top w:w="40" w:type="dxa"/>
              <w:bottom w:w="40" w:type="dxa"/>
              <w:left w:w="60" w:type="dxa"/>
              <w:right w:w="60" w:type="dxa"/>
            </w:tcMar>
            <w:shd w:fill="F8FAFC"/>
          </w:tcPr>
          <w:p>
            <w:pPr>
              <w:jc w:val="center"/>
            </w:pPr>
            <w:r>
              <w:rPr>
                <w:rFonts w:ascii="Times New Roman" w:hAnsi="Times New Roman"/>
                <w:b w:val="0"/>
                <w:i w:val="0"/>
                <w:color w:val="000000"/>
                <w:sz w:val="18"/>
              </w:rPr>
              <w:t>6 Models</w:t>
            </w:r>
          </w:p>
        </w:tc>
        <w:tc>
          <w:tcPr>
            <w:tcW w:type="dxa" w:w="3600"/>
            <w:tcMar>
              <w:top w:w="40" w:type="dxa"/>
              <w:bottom w:w="40" w:type="dxa"/>
              <w:left w:w="60" w:type="dxa"/>
              <w:right w:w="60" w:type="dxa"/>
            </w:tcMar>
            <w:shd w:fill="F8FAFC"/>
          </w:tcPr>
          <w:p>
            <w:pPr>
              <w:jc w:val="left"/>
            </w:pPr>
            <w:r>
              <w:rPr>
                <w:rFonts w:ascii="Times New Roman" w:hAnsi="Times New Roman"/>
                <w:b w:val="0"/>
                <w:i w:val="0"/>
                <w:color w:val="000000"/>
                <w:sz w:val="18"/>
              </w:rPr>
              <w:t>Appointment, Consultation, VitalSign, Diagnosis, ClinicalNote, CarePlan</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Pharmacy &amp; Inventory</w:t>
            </w:r>
          </w:p>
        </w:tc>
        <w:tc>
          <w:tcPr>
            <w:tcW w:type="dxa" w:w="1728"/>
            <w:tcMar>
              <w:top w:w="40" w:type="dxa"/>
              <w:bottom w:w="40" w:type="dxa"/>
              <w:left w:w="60" w:type="dxa"/>
              <w:right w:w="60" w:type="dxa"/>
            </w:tcMar>
            <w:shd w:fill="FFFFFF"/>
          </w:tcPr>
          <w:p>
            <w:pPr>
              <w:jc w:val="center"/>
            </w:pPr>
            <w:r>
              <w:rPr>
                <w:rFonts w:ascii="Times New Roman" w:hAnsi="Times New Roman"/>
                <w:b w:val="0"/>
                <w:i w:val="0"/>
                <w:color w:val="000000"/>
                <w:sz w:val="18"/>
              </w:rPr>
              <w:t>5 Models</w:t>
            </w:r>
          </w:p>
        </w:tc>
        <w:tc>
          <w:tcPr>
            <w:tcW w:type="dxa" w:w="3600"/>
            <w:tcMar>
              <w:top w:w="40" w:type="dxa"/>
              <w:bottom w:w="40" w:type="dxa"/>
              <w:left w:w="60" w:type="dxa"/>
              <w:right w:w="60" w:type="dxa"/>
            </w:tcMar>
            <w:shd w:fill="FFFFFF"/>
          </w:tcPr>
          <w:p>
            <w:pPr>
              <w:jc w:val="left"/>
            </w:pPr>
            <w:r>
              <w:rPr>
                <w:rFonts w:ascii="Times New Roman" w:hAnsi="Times New Roman"/>
                <w:b w:val="0"/>
                <w:i w:val="0"/>
                <w:color w:val="000000"/>
                <w:sz w:val="18"/>
              </w:rPr>
              <w:t>Prescription, MedicationItem, Medication, PharmacyStock, DispenseLog</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Laboratory &amp; Imaging</w:t>
            </w:r>
          </w:p>
        </w:tc>
        <w:tc>
          <w:tcPr>
            <w:tcW w:type="dxa" w:w="1728"/>
            <w:tcMar>
              <w:top w:w="40" w:type="dxa"/>
              <w:bottom w:w="40" w:type="dxa"/>
              <w:left w:w="60" w:type="dxa"/>
              <w:right w:w="60" w:type="dxa"/>
            </w:tcMar>
            <w:shd w:fill="F8FAFC"/>
          </w:tcPr>
          <w:p>
            <w:pPr>
              <w:jc w:val="center"/>
            </w:pPr>
            <w:r>
              <w:rPr>
                <w:rFonts w:ascii="Times New Roman" w:hAnsi="Times New Roman"/>
                <w:b w:val="0"/>
                <w:i w:val="0"/>
                <w:color w:val="000000"/>
                <w:sz w:val="18"/>
              </w:rPr>
              <w:t>5 Models</w:t>
            </w:r>
          </w:p>
        </w:tc>
        <w:tc>
          <w:tcPr>
            <w:tcW w:type="dxa" w:w="3600"/>
            <w:tcMar>
              <w:top w:w="40" w:type="dxa"/>
              <w:bottom w:w="40" w:type="dxa"/>
              <w:left w:w="60" w:type="dxa"/>
              <w:right w:w="60" w:type="dxa"/>
            </w:tcMar>
            <w:shd w:fill="F8FAFC"/>
          </w:tcPr>
          <w:p>
            <w:pPr>
              <w:jc w:val="left"/>
            </w:pPr>
            <w:r>
              <w:rPr>
                <w:rFonts w:ascii="Times New Roman" w:hAnsi="Times New Roman"/>
                <w:b w:val="0"/>
                <w:i w:val="0"/>
                <w:color w:val="000000"/>
                <w:sz w:val="18"/>
              </w:rPr>
              <w:t>LabOrder, LabTest, LabReport, MedicalImage, OcrIngestionQueue</w:t>
            </w:r>
          </w:p>
        </w:tc>
      </w:tr>
      <w:tr>
        <w:tc>
          <w:tcPr>
            <w:tcW w:type="dxa" w:w="2592"/>
            <w:tcMar>
              <w:top w:w="40" w:type="dxa"/>
              <w:bottom w:w="40" w:type="dxa"/>
              <w:left w:w="60" w:type="dxa"/>
              <w:right w:w="60" w:type="dxa"/>
            </w:tcMar>
            <w:shd w:fill="FFFFFF"/>
          </w:tcPr>
          <w:p>
            <w:pPr>
              <w:jc w:val="left"/>
            </w:pPr>
            <w:r>
              <w:rPr>
                <w:rFonts w:ascii="Times New Roman" w:hAnsi="Times New Roman"/>
                <w:b/>
                <w:i w:val="0"/>
                <w:color w:val="000000"/>
                <w:sz w:val="18"/>
              </w:rPr>
              <w:t>Inpatient &amp; Wards</w:t>
            </w:r>
          </w:p>
        </w:tc>
        <w:tc>
          <w:tcPr>
            <w:tcW w:type="dxa" w:w="1728"/>
            <w:tcMar>
              <w:top w:w="40" w:type="dxa"/>
              <w:bottom w:w="40" w:type="dxa"/>
              <w:left w:w="60" w:type="dxa"/>
              <w:right w:w="60" w:type="dxa"/>
            </w:tcMar>
            <w:shd w:fill="FFFFFF"/>
          </w:tcPr>
          <w:p>
            <w:pPr>
              <w:jc w:val="center"/>
            </w:pPr>
            <w:r>
              <w:rPr>
                <w:rFonts w:ascii="Times New Roman" w:hAnsi="Times New Roman"/>
                <w:b w:val="0"/>
                <w:i w:val="0"/>
                <w:color w:val="000000"/>
                <w:sz w:val="18"/>
              </w:rPr>
              <w:t>5 Models</w:t>
            </w:r>
          </w:p>
        </w:tc>
        <w:tc>
          <w:tcPr>
            <w:tcW w:type="dxa" w:w="3600"/>
            <w:tcMar>
              <w:top w:w="40" w:type="dxa"/>
              <w:bottom w:w="40" w:type="dxa"/>
              <w:left w:w="60" w:type="dxa"/>
              <w:right w:w="60" w:type="dxa"/>
            </w:tcMar>
            <w:shd w:fill="FFFFFF"/>
          </w:tcPr>
          <w:p>
            <w:pPr>
              <w:jc w:val="left"/>
            </w:pPr>
            <w:r>
              <w:rPr>
                <w:rFonts w:ascii="Times New Roman" w:hAnsi="Times New Roman"/>
                <w:b w:val="0"/>
                <w:i w:val="0"/>
                <w:color w:val="000000"/>
                <w:sz w:val="18"/>
              </w:rPr>
              <w:t>Ward, Bed, Admission, Discharge, TransferRecord</w:t>
            </w:r>
          </w:p>
        </w:tc>
      </w:tr>
      <w:tr>
        <w:tc>
          <w:tcPr>
            <w:tcW w:type="dxa" w:w="2592"/>
            <w:tcMar>
              <w:top w:w="40" w:type="dxa"/>
              <w:bottom w:w="40" w:type="dxa"/>
              <w:left w:w="60" w:type="dxa"/>
              <w:right w:w="60" w:type="dxa"/>
            </w:tcMar>
            <w:shd w:fill="F8FAFC"/>
          </w:tcPr>
          <w:p>
            <w:pPr>
              <w:jc w:val="left"/>
            </w:pPr>
            <w:r>
              <w:rPr>
                <w:rFonts w:ascii="Times New Roman" w:hAnsi="Times New Roman"/>
                <w:b/>
                <w:i w:val="0"/>
                <w:color w:val="000000"/>
                <w:sz w:val="18"/>
              </w:rPr>
              <w:t>Security &amp; Auditing</w:t>
            </w:r>
          </w:p>
        </w:tc>
        <w:tc>
          <w:tcPr>
            <w:tcW w:type="dxa" w:w="1728"/>
            <w:tcMar>
              <w:top w:w="40" w:type="dxa"/>
              <w:bottom w:w="40" w:type="dxa"/>
              <w:left w:w="60" w:type="dxa"/>
              <w:right w:w="60" w:type="dxa"/>
            </w:tcMar>
            <w:shd w:fill="F8FAFC"/>
          </w:tcPr>
          <w:p>
            <w:pPr>
              <w:jc w:val="center"/>
            </w:pPr>
            <w:r>
              <w:rPr>
                <w:rFonts w:ascii="Times New Roman" w:hAnsi="Times New Roman"/>
                <w:b w:val="0"/>
                <w:i w:val="0"/>
                <w:color w:val="000000"/>
                <w:sz w:val="18"/>
              </w:rPr>
              <w:t>6 Models</w:t>
            </w:r>
          </w:p>
        </w:tc>
        <w:tc>
          <w:tcPr>
            <w:tcW w:type="dxa" w:w="3600"/>
            <w:tcMar>
              <w:top w:w="40" w:type="dxa"/>
              <w:bottom w:w="40" w:type="dxa"/>
              <w:left w:w="60" w:type="dxa"/>
              <w:right w:w="60" w:type="dxa"/>
            </w:tcMar>
            <w:shd w:fill="F8FAFC"/>
          </w:tcPr>
          <w:p>
            <w:pPr>
              <w:jc w:val="left"/>
            </w:pPr>
            <w:r>
              <w:rPr>
                <w:rFonts w:ascii="Times New Roman" w:hAnsi="Times New Roman"/>
                <w:b w:val="0"/>
                <w:i w:val="0"/>
                <w:color w:val="000000"/>
                <w:sz w:val="18"/>
              </w:rPr>
              <w:t>OtpChallenge, Session, AuditLog, SupportIssue, TicketMessage, Notification</w:t>
            </w:r>
          </w:p>
        </w:tc>
      </w:tr>
    </w:tbl>
    <w:p>
      <w:pPr>
        <w:spacing w:before="60" w:after="200"/>
        <w:jc w:val="center"/>
      </w:pPr>
      <w:r>
        <w:rPr>
          <w:rFonts w:ascii="Times New Roman" w:hAnsi="Times New Roman"/>
          <w:b/>
          <w:i w:val="0"/>
          <w:color w:val="000000"/>
          <w:sz w:val="22"/>
        </w:rPr>
        <w:t>Table A.1: Categorized PostgreSQL Database Schema Models (33 Total)</w:t>
      </w:r>
    </w:p>
    <w:p>
      <w:pPr>
        <w:spacing w:before="280" w:after="200" w:line="240" w:lineRule="auto"/>
        <w:jc w:val="center"/>
      </w:pPr>
      <w:r>
        <w:rPr>
          <w:rFonts w:ascii="Times New Roman" w:hAnsi="Times New Roman"/>
          <w:b/>
          <w:i w:val="0"/>
          <w:color w:val="000000"/>
          <w:sz w:val="28"/>
        </w:rPr>
        <w:t>APPENDIX B</w:t>
        <w:br/>
        <w:t>CORE API ENDPOINTS SPECIFICATION</w:t>
      </w:r>
    </w:p>
    <w:p>
      <w:pPr>
        <w:spacing w:before="0" w:after="80" w:line="360" w:lineRule="auto"/>
        <w:jc w:val="both"/>
      </w:pPr>
      <w:r>
        <w:rPr>
          <w:rFonts w:ascii="Times New Roman" w:hAnsi="Times New Roman"/>
          <w:b w:val="0"/>
          <w:i w:val="0"/>
          <w:color w:val="000000"/>
          <w:sz w:val="24"/>
        </w:rPr>
        <w:t>Nexo Medico AI exposes structured REST endpoints across Next.js route handlers and the FastAPI AI microservice. Table B.1 catalogs primary operational endpoints.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4"/>
        <w:gridCol w:w="1984"/>
        <w:gridCol w:w="1984"/>
        <w:gridCol w:w="1984"/>
      </w:tblGrid>
      <w:tr>
        <w:tc>
          <w:tcPr>
            <w:tcW w:type="dxa" w:w="1152"/>
            <w:tcMar>
              <w:top w:w="60" w:type="dxa"/>
              <w:bottom w:w="60" w:type="dxa"/>
              <w:left w:w="80" w:type="dxa"/>
              <w:right w:w="80" w:type="dxa"/>
            </w:tcMar>
            <w:shd w:fill="0284C7"/>
          </w:tcPr>
          <w:p>
            <w:pPr>
              <w:jc w:val="center"/>
            </w:pPr>
            <w:r>
              <w:rPr>
                <w:rFonts w:ascii="Times New Roman" w:hAnsi="Times New Roman"/>
                <w:b/>
                <w:i w:val="0"/>
                <w:color w:val="FFFFFF"/>
                <w:sz w:val="19"/>
              </w:rPr>
              <w:t>Method</w:t>
            </w:r>
          </w:p>
        </w:tc>
        <w:tc>
          <w:tcPr>
            <w:tcW w:type="dxa" w:w="3168"/>
            <w:tcMar>
              <w:top w:w="60" w:type="dxa"/>
              <w:bottom w:w="60" w:type="dxa"/>
              <w:left w:w="80" w:type="dxa"/>
              <w:right w:w="80" w:type="dxa"/>
            </w:tcMar>
            <w:shd w:fill="0284C7"/>
          </w:tcPr>
          <w:p>
            <w:pPr>
              <w:jc w:val="center"/>
            </w:pPr>
            <w:r>
              <w:rPr>
                <w:rFonts w:ascii="Times New Roman" w:hAnsi="Times New Roman"/>
                <w:b/>
                <w:i w:val="0"/>
                <w:color w:val="FFFFFF"/>
                <w:sz w:val="19"/>
              </w:rPr>
              <w:t>Endpoint Route</w:t>
            </w:r>
          </w:p>
        </w:tc>
        <w:tc>
          <w:tcPr>
            <w:tcW w:type="dxa" w:w="1728"/>
            <w:tcMar>
              <w:top w:w="60" w:type="dxa"/>
              <w:bottom w:w="60" w:type="dxa"/>
              <w:left w:w="80" w:type="dxa"/>
              <w:right w:w="80" w:type="dxa"/>
            </w:tcMar>
            <w:shd w:fill="0284C7"/>
          </w:tcPr>
          <w:p>
            <w:pPr>
              <w:jc w:val="center"/>
            </w:pPr>
            <w:r>
              <w:rPr>
                <w:rFonts w:ascii="Times New Roman" w:hAnsi="Times New Roman"/>
                <w:b/>
                <w:i w:val="0"/>
                <w:color w:val="FFFFFF"/>
                <w:sz w:val="19"/>
              </w:rPr>
              <w:t>Auth Requirement</w:t>
            </w:r>
          </w:p>
        </w:tc>
        <w:tc>
          <w:tcPr>
            <w:tcW w:type="dxa" w:w="1872"/>
            <w:tcMar>
              <w:top w:w="60" w:type="dxa"/>
              <w:bottom w:w="60" w:type="dxa"/>
              <w:left w:w="80" w:type="dxa"/>
              <w:right w:w="80" w:type="dxa"/>
            </w:tcMar>
            <w:shd w:fill="0284C7"/>
          </w:tcPr>
          <w:p>
            <w:pPr>
              <w:jc w:val="center"/>
            </w:pPr>
            <w:r>
              <w:rPr>
                <w:rFonts w:ascii="Times New Roman" w:hAnsi="Times New Roman"/>
                <w:b/>
                <w:i w:val="0"/>
                <w:color w:val="FFFFFF"/>
                <w:sz w:val="19"/>
              </w:rPr>
              <w:t>Subsystem Scope</w:t>
            </w:r>
          </w:p>
        </w:tc>
      </w:tr>
      <w:tr>
        <w:tc>
          <w:tcPr>
            <w:tcW w:type="dxa" w:w="1152"/>
            <w:tcMar>
              <w:top w:w="40" w:type="dxa"/>
              <w:bottom w:w="40" w:type="dxa"/>
              <w:left w:w="60" w:type="dxa"/>
              <w:right w:w="60" w:type="dxa"/>
            </w:tcMar>
            <w:shd w:fill="F8FAFC"/>
          </w:tcPr>
          <w:p>
            <w:pPr>
              <w:jc w:val="center"/>
            </w:pPr>
            <w:r>
              <w:rPr>
                <w:rFonts w:ascii="Times New Roman" w:hAnsi="Times New Roman"/>
                <w:b/>
                <w:i w:val="0"/>
                <w:color w:val="000000"/>
                <w:sz w:val="18"/>
              </w:rPr>
              <w:t>POST</w:t>
            </w:r>
          </w:p>
        </w:tc>
        <w:tc>
          <w:tcPr>
            <w:tcW w:type="dxa" w:w="3168"/>
            <w:tcMar>
              <w:top w:w="40" w:type="dxa"/>
              <w:bottom w:w="40" w:type="dxa"/>
              <w:left w:w="60" w:type="dxa"/>
              <w:right w:w="60" w:type="dxa"/>
            </w:tcMar>
            <w:shd w:fill="F8FAFC"/>
          </w:tcPr>
          <w:p>
            <w:pPr>
              <w:jc w:val="left"/>
            </w:pPr>
            <w:r>
              <w:rPr>
                <w:rFonts w:ascii="Times New Roman" w:hAnsi="Times New Roman"/>
                <w:b w:val="0"/>
                <w:i w:val="0"/>
                <w:color w:val="000000"/>
                <w:sz w:val="18"/>
              </w:rPr>
              <w:t>/api/patient/register</w:t>
            </w:r>
          </w:p>
        </w:tc>
        <w:tc>
          <w:tcPr>
            <w:tcW w:type="dxa" w:w="1728"/>
            <w:tcMar>
              <w:top w:w="40" w:type="dxa"/>
              <w:bottom w:w="40" w:type="dxa"/>
              <w:left w:w="60" w:type="dxa"/>
              <w:right w:w="60" w:type="dxa"/>
            </w:tcMar>
            <w:shd w:fill="F8FAFC"/>
          </w:tcPr>
          <w:p>
            <w:pPr>
              <w:jc w:val="left"/>
            </w:pPr>
            <w:r>
              <w:rPr>
                <w:rFonts w:ascii="Times New Roman" w:hAnsi="Times New Roman"/>
                <w:b w:val="0"/>
                <w:i w:val="0"/>
                <w:color w:val="000000"/>
                <w:sz w:val="18"/>
              </w:rPr>
              <w:t>Public (Anonymous)</w:t>
            </w:r>
          </w:p>
        </w:tc>
        <w:tc>
          <w:tcPr>
            <w:tcW w:type="dxa" w:w="1872"/>
            <w:tcMar>
              <w:top w:w="40" w:type="dxa"/>
              <w:bottom w:w="40" w:type="dxa"/>
              <w:left w:w="60" w:type="dxa"/>
              <w:right w:w="60" w:type="dxa"/>
            </w:tcMar>
            <w:shd w:fill="F8FAFC"/>
          </w:tcPr>
          <w:p>
            <w:pPr>
              <w:jc w:val="left"/>
            </w:pPr>
            <w:r>
              <w:rPr>
                <w:rFonts w:ascii="Times New Roman" w:hAnsi="Times New Roman"/>
                <w:b w:val="0"/>
                <w:i w:val="0"/>
                <w:color w:val="000000"/>
                <w:sz w:val="18"/>
              </w:rPr>
              <w:t>Demographics &amp; 2FA OTP</w:t>
            </w:r>
          </w:p>
        </w:tc>
      </w:tr>
      <w:tr>
        <w:tc>
          <w:tcPr>
            <w:tcW w:type="dxa" w:w="1152"/>
            <w:tcMar>
              <w:top w:w="40" w:type="dxa"/>
              <w:bottom w:w="40" w:type="dxa"/>
              <w:left w:w="60" w:type="dxa"/>
              <w:right w:w="60" w:type="dxa"/>
            </w:tcMar>
            <w:shd w:fill="FFFFFF"/>
          </w:tcPr>
          <w:p>
            <w:pPr>
              <w:jc w:val="center"/>
            </w:pPr>
            <w:r>
              <w:rPr>
                <w:rFonts w:ascii="Times New Roman" w:hAnsi="Times New Roman"/>
                <w:b/>
                <w:i w:val="0"/>
                <w:color w:val="000000"/>
                <w:sz w:val="18"/>
              </w:rPr>
              <w:t>POST</w:t>
            </w:r>
          </w:p>
        </w:tc>
        <w:tc>
          <w:tcPr>
            <w:tcW w:type="dxa" w:w="3168"/>
            <w:tcMar>
              <w:top w:w="40" w:type="dxa"/>
              <w:bottom w:w="40" w:type="dxa"/>
              <w:left w:w="60" w:type="dxa"/>
              <w:right w:w="60" w:type="dxa"/>
            </w:tcMar>
            <w:shd w:fill="FFFFFF"/>
          </w:tcPr>
          <w:p>
            <w:pPr>
              <w:jc w:val="left"/>
            </w:pPr>
            <w:r>
              <w:rPr>
                <w:rFonts w:ascii="Times New Roman" w:hAnsi="Times New Roman"/>
                <w:b w:val="0"/>
                <w:i w:val="0"/>
                <w:color w:val="000000"/>
                <w:sz w:val="18"/>
              </w:rPr>
              <w:t>/api/auth/verify-otp</w:t>
            </w:r>
          </w:p>
        </w:tc>
        <w:tc>
          <w:tcPr>
            <w:tcW w:type="dxa" w:w="1728"/>
            <w:tcMar>
              <w:top w:w="40" w:type="dxa"/>
              <w:bottom w:w="40" w:type="dxa"/>
              <w:left w:w="60" w:type="dxa"/>
              <w:right w:w="60" w:type="dxa"/>
            </w:tcMar>
            <w:shd w:fill="FFFFFF"/>
          </w:tcPr>
          <w:p>
            <w:pPr>
              <w:jc w:val="left"/>
            </w:pPr>
            <w:r>
              <w:rPr>
                <w:rFonts w:ascii="Times New Roman" w:hAnsi="Times New Roman"/>
                <w:b w:val="0"/>
                <w:i w:val="0"/>
                <w:color w:val="000000"/>
                <w:sz w:val="18"/>
              </w:rPr>
              <w:t>Public (Challenge ID)</w:t>
            </w:r>
          </w:p>
        </w:tc>
        <w:tc>
          <w:tcPr>
            <w:tcW w:type="dxa" w:w="1872"/>
            <w:tcMar>
              <w:top w:w="40" w:type="dxa"/>
              <w:bottom w:w="40" w:type="dxa"/>
              <w:left w:w="60" w:type="dxa"/>
              <w:right w:w="60" w:type="dxa"/>
            </w:tcMar>
            <w:shd w:fill="FFFFFF"/>
          </w:tcPr>
          <w:p>
            <w:pPr>
              <w:jc w:val="left"/>
            </w:pPr>
            <w:r>
              <w:rPr>
                <w:rFonts w:ascii="Times New Roman" w:hAnsi="Times New Roman"/>
                <w:b w:val="0"/>
                <w:i w:val="0"/>
                <w:color w:val="000000"/>
                <w:sz w:val="18"/>
              </w:rPr>
              <w:t>OTP Hash Verification</w:t>
            </w:r>
          </w:p>
        </w:tc>
      </w:tr>
      <w:tr>
        <w:tc>
          <w:tcPr>
            <w:tcW w:type="dxa" w:w="1152"/>
            <w:tcMar>
              <w:top w:w="40" w:type="dxa"/>
              <w:bottom w:w="40" w:type="dxa"/>
              <w:left w:w="60" w:type="dxa"/>
              <w:right w:w="60" w:type="dxa"/>
            </w:tcMar>
            <w:shd w:fill="F8FAFC"/>
          </w:tcPr>
          <w:p>
            <w:pPr>
              <w:jc w:val="center"/>
            </w:pPr>
            <w:r>
              <w:rPr>
                <w:rFonts w:ascii="Times New Roman" w:hAnsi="Times New Roman"/>
                <w:b/>
                <w:i w:val="0"/>
                <w:color w:val="000000"/>
                <w:sz w:val="18"/>
              </w:rPr>
              <w:t>GET</w:t>
            </w:r>
          </w:p>
        </w:tc>
        <w:tc>
          <w:tcPr>
            <w:tcW w:type="dxa" w:w="3168"/>
            <w:tcMar>
              <w:top w:w="40" w:type="dxa"/>
              <w:bottom w:w="40" w:type="dxa"/>
              <w:left w:w="60" w:type="dxa"/>
              <w:right w:w="60" w:type="dxa"/>
            </w:tcMar>
            <w:shd w:fill="F8FAFC"/>
          </w:tcPr>
          <w:p>
            <w:pPr>
              <w:jc w:val="left"/>
            </w:pPr>
            <w:r>
              <w:rPr>
                <w:rFonts w:ascii="Times New Roman" w:hAnsi="Times New Roman"/>
                <w:b w:val="0"/>
                <w:i w:val="0"/>
                <w:color w:val="000000"/>
                <w:sz w:val="18"/>
              </w:rPr>
              <w:t>/api/emergency/qr/[token]</w:t>
            </w:r>
          </w:p>
        </w:tc>
        <w:tc>
          <w:tcPr>
            <w:tcW w:type="dxa" w:w="1728"/>
            <w:tcMar>
              <w:top w:w="40" w:type="dxa"/>
              <w:bottom w:w="40" w:type="dxa"/>
              <w:left w:w="60" w:type="dxa"/>
              <w:right w:w="60" w:type="dxa"/>
            </w:tcMar>
            <w:shd w:fill="F8FAFC"/>
          </w:tcPr>
          <w:p>
            <w:pPr>
              <w:jc w:val="left"/>
            </w:pPr>
            <w:r>
              <w:rPr>
                <w:rFonts w:ascii="Times New Roman" w:hAnsi="Times New Roman"/>
                <w:b w:val="0"/>
                <w:i w:val="0"/>
                <w:color w:val="000000"/>
                <w:sz w:val="18"/>
              </w:rPr>
              <w:t>Public (Token Bearer)</w:t>
            </w:r>
          </w:p>
        </w:tc>
        <w:tc>
          <w:tcPr>
            <w:tcW w:type="dxa" w:w="1872"/>
            <w:tcMar>
              <w:top w:w="40" w:type="dxa"/>
              <w:bottom w:w="40" w:type="dxa"/>
              <w:left w:w="60" w:type="dxa"/>
              <w:right w:w="60" w:type="dxa"/>
            </w:tcMar>
            <w:shd w:fill="F8FAFC"/>
          </w:tcPr>
          <w:p>
            <w:pPr>
              <w:jc w:val="left"/>
            </w:pPr>
            <w:r>
              <w:rPr>
                <w:rFonts w:ascii="Times New Roman" w:hAnsi="Times New Roman"/>
                <w:b w:val="0"/>
                <w:i w:val="0"/>
                <w:color w:val="000000"/>
                <w:sz w:val="18"/>
              </w:rPr>
              <w:t>Life-Saving Triage Data</w:t>
            </w:r>
          </w:p>
        </w:tc>
      </w:tr>
      <w:tr>
        <w:tc>
          <w:tcPr>
            <w:tcW w:type="dxa" w:w="1152"/>
            <w:tcMar>
              <w:top w:w="40" w:type="dxa"/>
              <w:bottom w:w="40" w:type="dxa"/>
              <w:left w:w="60" w:type="dxa"/>
              <w:right w:w="60" w:type="dxa"/>
            </w:tcMar>
            <w:shd w:fill="FFFFFF"/>
          </w:tcPr>
          <w:p>
            <w:pPr>
              <w:jc w:val="center"/>
            </w:pPr>
            <w:r>
              <w:rPr>
                <w:rFonts w:ascii="Times New Roman" w:hAnsi="Times New Roman"/>
                <w:b/>
                <w:i w:val="0"/>
                <w:color w:val="000000"/>
                <w:sz w:val="18"/>
              </w:rPr>
              <w:t>POST</w:t>
            </w:r>
          </w:p>
        </w:tc>
        <w:tc>
          <w:tcPr>
            <w:tcW w:type="dxa" w:w="3168"/>
            <w:tcMar>
              <w:top w:w="40" w:type="dxa"/>
              <w:bottom w:w="40" w:type="dxa"/>
              <w:left w:w="60" w:type="dxa"/>
              <w:right w:w="60" w:type="dxa"/>
            </w:tcMar>
            <w:shd w:fill="FFFFFF"/>
          </w:tcPr>
          <w:p>
            <w:pPr>
              <w:jc w:val="left"/>
            </w:pPr>
            <w:r>
              <w:rPr>
                <w:rFonts w:ascii="Times New Roman" w:hAnsi="Times New Roman"/>
                <w:b w:val="0"/>
                <w:i w:val="0"/>
                <w:color w:val="000000"/>
                <w:sz w:val="18"/>
              </w:rPr>
              <w:t>/api/predict/disease</w:t>
            </w:r>
          </w:p>
        </w:tc>
        <w:tc>
          <w:tcPr>
            <w:tcW w:type="dxa" w:w="1728"/>
            <w:tcMar>
              <w:top w:w="40" w:type="dxa"/>
              <w:bottom w:w="40" w:type="dxa"/>
              <w:left w:w="60" w:type="dxa"/>
              <w:right w:w="60" w:type="dxa"/>
            </w:tcMar>
            <w:shd w:fill="FFFFFF"/>
          </w:tcPr>
          <w:p>
            <w:pPr>
              <w:jc w:val="left"/>
            </w:pPr>
            <w:r>
              <w:rPr>
                <w:rFonts w:ascii="Times New Roman" w:hAnsi="Times New Roman"/>
                <w:b w:val="0"/>
                <w:i w:val="0"/>
                <w:color w:val="000000"/>
                <w:sz w:val="18"/>
              </w:rPr>
              <w:t>Internal Microservice</w:t>
            </w:r>
          </w:p>
        </w:tc>
        <w:tc>
          <w:tcPr>
            <w:tcW w:type="dxa" w:w="1872"/>
            <w:tcMar>
              <w:top w:w="40" w:type="dxa"/>
              <w:bottom w:w="40" w:type="dxa"/>
              <w:left w:w="60" w:type="dxa"/>
              <w:right w:w="60" w:type="dxa"/>
            </w:tcMar>
            <w:shd w:fill="FFFFFF"/>
          </w:tcPr>
          <w:p>
            <w:pPr>
              <w:jc w:val="left"/>
            </w:pPr>
            <w:r>
              <w:rPr>
                <w:rFonts w:ascii="Times New Roman" w:hAnsi="Times New Roman"/>
                <w:b w:val="0"/>
                <w:i w:val="0"/>
                <w:color w:val="000000"/>
                <w:sz w:val="18"/>
              </w:rPr>
              <w:t>FastAPI CDSS &amp; SHAP</w:t>
            </w:r>
          </w:p>
        </w:tc>
      </w:tr>
      <w:tr>
        <w:tc>
          <w:tcPr>
            <w:tcW w:type="dxa" w:w="1152"/>
            <w:tcMar>
              <w:top w:w="40" w:type="dxa"/>
              <w:bottom w:w="40" w:type="dxa"/>
              <w:left w:w="60" w:type="dxa"/>
              <w:right w:w="60" w:type="dxa"/>
            </w:tcMar>
            <w:shd w:fill="F8FAFC"/>
          </w:tcPr>
          <w:p>
            <w:pPr>
              <w:jc w:val="center"/>
            </w:pPr>
            <w:r>
              <w:rPr>
                <w:rFonts w:ascii="Times New Roman" w:hAnsi="Times New Roman"/>
                <w:b/>
                <w:i w:val="0"/>
                <w:color w:val="000000"/>
                <w:sz w:val="18"/>
              </w:rPr>
              <w:t>POST</w:t>
            </w:r>
          </w:p>
        </w:tc>
        <w:tc>
          <w:tcPr>
            <w:tcW w:type="dxa" w:w="3168"/>
            <w:tcMar>
              <w:top w:w="40" w:type="dxa"/>
              <w:bottom w:w="40" w:type="dxa"/>
              <w:left w:w="60" w:type="dxa"/>
              <w:right w:w="60" w:type="dxa"/>
            </w:tcMar>
            <w:shd w:fill="F8FAFC"/>
          </w:tcPr>
          <w:p>
            <w:pPr>
              <w:jc w:val="left"/>
            </w:pPr>
            <w:r>
              <w:rPr>
                <w:rFonts w:ascii="Times New Roman" w:hAnsi="Times New Roman"/>
                <w:b w:val="0"/>
                <w:i w:val="0"/>
                <w:color w:val="000000"/>
                <w:sz w:val="18"/>
              </w:rPr>
              <w:t>/api/doctor/consultation</w:t>
            </w:r>
          </w:p>
        </w:tc>
        <w:tc>
          <w:tcPr>
            <w:tcW w:type="dxa" w:w="1728"/>
            <w:tcMar>
              <w:top w:w="40" w:type="dxa"/>
              <w:bottom w:w="40" w:type="dxa"/>
              <w:left w:w="60" w:type="dxa"/>
              <w:right w:w="60" w:type="dxa"/>
            </w:tcMar>
            <w:shd w:fill="F8FAFC"/>
          </w:tcPr>
          <w:p>
            <w:pPr>
              <w:jc w:val="left"/>
            </w:pPr>
            <w:r>
              <w:rPr>
                <w:rFonts w:ascii="Times New Roman" w:hAnsi="Times New Roman"/>
                <w:b w:val="0"/>
                <w:i w:val="0"/>
                <w:color w:val="000000"/>
                <w:sz w:val="18"/>
              </w:rPr>
              <w:t>Authenticated (Doctor)</w:t>
            </w:r>
          </w:p>
        </w:tc>
        <w:tc>
          <w:tcPr>
            <w:tcW w:type="dxa" w:w="1872"/>
            <w:tcMar>
              <w:top w:w="40" w:type="dxa"/>
              <w:bottom w:w="40" w:type="dxa"/>
              <w:left w:w="60" w:type="dxa"/>
              <w:right w:w="60" w:type="dxa"/>
            </w:tcMar>
            <w:shd w:fill="F8FAFC"/>
          </w:tcPr>
          <w:p>
            <w:pPr>
              <w:jc w:val="left"/>
            </w:pPr>
            <w:r>
              <w:rPr>
                <w:rFonts w:ascii="Times New Roman" w:hAnsi="Times New Roman"/>
                <w:b w:val="0"/>
                <w:i w:val="0"/>
                <w:color w:val="000000"/>
                <w:sz w:val="18"/>
              </w:rPr>
              <w:t>Clinical Encounter &amp; Rx</w:t>
            </w:r>
          </w:p>
        </w:tc>
      </w:tr>
      <w:tr>
        <w:tc>
          <w:tcPr>
            <w:tcW w:type="dxa" w:w="1152"/>
            <w:tcMar>
              <w:top w:w="40" w:type="dxa"/>
              <w:bottom w:w="40" w:type="dxa"/>
              <w:left w:w="60" w:type="dxa"/>
              <w:right w:w="60" w:type="dxa"/>
            </w:tcMar>
            <w:shd w:fill="FFFFFF"/>
          </w:tcPr>
          <w:p>
            <w:pPr>
              <w:jc w:val="center"/>
            </w:pPr>
            <w:r>
              <w:rPr>
                <w:rFonts w:ascii="Times New Roman" w:hAnsi="Times New Roman"/>
                <w:b/>
                <w:i w:val="0"/>
                <w:color w:val="000000"/>
                <w:sz w:val="18"/>
              </w:rPr>
              <w:t>POST</w:t>
            </w:r>
          </w:p>
        </w:tc>
        <w:tc>
          <w:tcPr>
            <w:tcW w:type="dxa" w:w="3168"/>
            <w:tcMar>
              <w:top w:w="40" w:type="dxa"/>
              <w:bottom w:w="40" w:type="dxa"/>
              <w:left w:w="60" w:type="dxa"/>
              <w:right w:w="60" w:type="dxa"/>
            </w:tcMar>
            <w:shd w:fill="FFFFFF"/>
          </w:tcPr>
          <w:p>
            <w:pPr>
              <w:jc w:val="left"/>
            </w:pPr>
            <w:r>
              <w:rPr>
                <w:rFonts w:ascii="Times New Roman" w:hAnsi="Times New Roman"/>
                <w:b w:val="0"/>
                <w:i w:val="0"/>
                <w:color w:val="000000"/>
                <w:sz w:val="18"/>
              </w:rPr>
              <w:t>/api/pharmacy/dispense</w:t>
            </w:r>
          </w:p>
        </w:tc>
        <w:tc>
          <w:tcPr>
            <w:tcW w:type="dxa" w:w="1728"/>
            <w:tcMar>
              <w:top w:w="40" w:type="dxa"/>
              <w:bottom w:w="40" w:type="dxa"/>
              <w:left w:w="60" w:type="dxa"/>
              <w:right w:w="60" w:type="dxa"/>
            </w:tcMar>
            <w:shd w:fill="FFFFFF"/>
          </w:tcPr>
          <w:p>
            <w:pPr>
              <w:jc w:val="left"/>
            </w:pPr>
            <w:r>
              <w:rPr>
                <w:rFonts w:ascii="Times New Roman" w:hAnsi="Times New Roman"/>
                <w:b w:val="0"/>
                <w:i w:val="0"/>
                <w:color w:val="000000"/>
                <w:sz w:val="18"/>
              </w:rPr>
              <w:t>Authenticated (Pharmacist)</w:t>
            </w:r>
          </w:p>
        </w:tc>
        <w:tc>
          <w:tcPr>
            <w:tcW w:type="dxa" w:w="1872"/>
            <w:tcMar>
              <w:top w:w="40" w:type="dxa"/>
              <w:bottom w:w="40" w:type="dxa"/>
              <w:left w:w="60" w:type="dxa"/>
              <w:right w:w="60" w:type="dxa"/>
            </w:tcMar>
            <w:shd w:fill="FFFFFF"/>
          </w:tcPr>
          <w:p>
            <w:pPr>
              <w:jc w:val="left"/>
            </w:pPr>
            <w:r>
              <w:rPr>
                <w:rFonts w:ascii="Times New Roman" w:hAnsi="Times New Roman"/>
                <w:b w:val="0"/>
                <w:i w:val="0"/>
                <w:color w:val="000000"/>
                <w:sz w:val="18"/>
              </w:rPr>
              <w:t>Stock Decrement &amp; Audit</w:t>
            </w:r>
          </w:p>
        </w:tc>
      </w:tr>
      <w:tr>
        <w:tc>
          <w:tcPr>
            <w:tcW w:type="dxa" w:w="1152"/>
            <w:tcMar>
              <w:top w:w="40" w:type="dxa"/>
              <w:bottom w:w="40" w:type="dxa"/>
              <w:left w:w="60" w:type="dxa"/>
              <w:right w:w="60" w:type="dxa"/>
            </w:tcMar>
            <w:shd w:fill="F8FAFC"/>
          </w:tcPr>
          <w:p>
            <w:pPr>
              <w:jc w:val="center"/>
            </w:pPr>
            <w:r>
              <w:rPr>
                <w:rFonts w:ascii="Times New Roman" w:hAnsi="Times New Roman"/>
                <w:b/>
                <w:i w:val="0"/>
                <w:color w:val="000000"/>
                <w:sz w:val="18"/>
              </w:rPr>
              <w:t>POST</w:t>
            </w:r>
          </w:p>
        </w:tc>
        <w:tc>
          <w:tcPr>
            <w:tcW w:type="dxa" w:w="3168"/>
            <w:tcMar>
              <w:top w:w="40" w:type="dxa"/>
              <w:bottom w:w="40" w:type="dxa"/>
              <w:left w:w="60" w:type="dxa"/>
              <w:right w:w="60" w:type="dxa"/>
            </w:tcMar>
            <w:shd w:fill="F8FAFC"/>
          </w:tcPr>
          <w:p>
            <w:pPr>
              <w:jc w:val="left"/>
            </w:pPr>
            <w:r>
              <w:rPr>
                <w:rFonts w:ascii="Times New Roman" w:hAnsi="Times New Roman"/>
                <w:b w:val="0"/>
                <w:i w:val="0"/>
                <w:color w:val="000000"/>
                <w:sz w:val="18"/>
              </w:rPr>
              <w:t>/api/support/ticket</w:t>
            </w:r>
          </w:p>
        </w:tc>
        <w:tc>
          <w:tcPr>
            <w:tcW w:type="dxa" w:w="1728"/>
            <w:tcMar>
              <w:top w:w="40" w:type="dxa"/>
              <w:bottom w:w="40" w:type="dxa"/>
              <w:left w:w="60" w:type="dxa"/>
              <w:right w:w="60" w:type="dxa"/>
            </w:tcMar>
            <w:shd w:fill="F8FAFC"/>
          </w:tcPr>
          <w:p>
            <w:pPr>
              <w:jc w:val="left"/>
            </w:pPr>
            <w:r>
              <w:rPr>
                <w:rFonts w:ascii="Times New Roman" w:hAnsi="Times New Roman"/>
                <w:b w:val="0"/>
                <w:i w:val="0"/>
                <w:color w:val="000000"/>
                <w:sz w:val="18"/>
              </w:rPr>
              <w:t>Authenticated (User)</w:t>
            </w:r>
          </w:p>
        </w:tc>
        <w:tc>
          <w:tcPr>
            <w:tcW w:type="dxa" w:w="1872"/>
            <w:tcMar>
              <w:top w:w="40" w:type="dxa"/>
              <w:bottom w:w="40" w:type="dxa"/>
              <w:left w:w="60" w:type="dxa"/>
              <w:right w:w="60" w:type="dxa"/>
            </w:tcMar>
            <w:shd w:fill="F8FAFC"/>
          </w:tcPr>
          <w:p>
            <w:pPr>
              <w:jc w:val="left"/>
            </w:pPr>
            <w:r>
              <w:rPr>
                <w:rFonts w:ascii="Times New Roman" w:hAnsi="Times New Roman"/>
                <w:b w:val="0"/>
                <w:i w:val="0"/>
                <w:color w:val="000000"/>
                <w:sz w:val="18"/>
              </w:rPr>
              <w:t>Support Workflow &amp; Email</w:t>
            </w:r>
          </w:p>
        </w:tc>
      </w:tr>
    </w:tbl>
    <w:p>
      <w:pPr>
        <w:spacing w:before="60" w:after="200"/>
        <w:jc w:val="center"/>
      </w:pPr>
      <w:r>
        <w:rPr>
          <w:rFonts w:ascii="Times New Roman" w:hAnsi="Times New Roman"/>
          <w:b/>
          <w:i w:val="0"/>
          <w:color w:val="000000"/>
          <w:sz w:val="22"/>
        </w:rPr>
        <w:t>Table B.1: Primary REST &amp; Microservice API Endpoints Catalog</w:t>
      </w:r>
    </w:p>
    <w:sectPr w:rsidR="00FC693F" w:rsidRPr="0006063C" w:rsidSect="00034616">
      <w:headerReference w:type="default" r:id="rId13"/>
      <w:footerReference w:type="default" r:id="rId14"/>
      <w:pgSz w:w="11906" w:h="16838"/>
      <w:pgMar w:top="1701" w:right="1984" w:bottom="1701" w:left="1984" w:header="720" w:footer="1134" w:gutter="0"/>
      <w:cols w:space="720"/>
      <w:titlePg/>
      <w:docGrid w:linePitch="360"/>
      <w:pgNumType w:start="1" w:fmt="lower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jp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