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D00D0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CD00D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CD00D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CD00D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CD00D0" w:rsidRPr="00AF6A93" w:rsidRDefault="00CD00D0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CD00D0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375DD6"/>
    <w:rsid w:val="004767B7"/>
    <w:rsid w:val="005861C9"/>
    <w:rsid w:val="00685E1B"/>
    <w:rsid w:val="00865B42"/>
    <w:rsid w:val="00A829C5"/>
    <w:rsid w:val="00AF6A93"/>
    <w:rsid w:val="00B61069"/>
    <w:rsid w:val="00C66A76"/>
    <w:rsid w:val="00CD00D0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63" Type="http://schemas.openxmlformats.org/officeDocument/2006/relationships/image" Target="media/image30.jpeg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25</Pages>
  <Words>11068</Words>
  <Characters>6309</Characters>
  <Application>Microsoft Office Word</Application>
  <DocSecurity>0</DocSecurity>
  <Lines>52</Lines>
  <Paragraphs>34</Paragraphs>
  <ScaleCrop>false</ScaleCrop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13</cp:revision>
  <dcterms:created xsi:type="dcterms:W3CDTF">2022-08-01T12:36:00Z</dcterms:created>
  <dcterms:modified xsi:type="dcterms:W3CDTF">2022-08-03T10:49:00Z</dcterms:modified>
</cp:coreProperties>
</file>