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Пример работы с NUnit.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NUnit - открытая среда юнит-тестирования приложений для .NET, которая позволяет создавать автоматические тесты. Данный вид тестов обладает рядом преимуществ: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ind w:left="1320" w:hanging="360"/>
      </w:pPr>
      <w:r w:rsidDel="00000000" w:rsidR="00000000" w:rsidRPr="00000000">
        <w:rPr>
          <w:sz w:val="21"/>
          <w:szCs w:val="21"/>
          <w:rtl w:val="0"/>
        </w:rPr>
        <w:t xml:space="preserve">Высокое качество программы;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ind w:left="1320" w:hanging="360"/>
      </w:pPr>
      <w:r w:rsidDel="00000000" w:rsidR="00000000" w:rsidRPr="00000000">
        <w:rPr>
          <w:sz w:val="21"/>
          <w:szCs w:val="21"/>
          <w:rtl w:val="0"/>
        </w:rPr>
        <w:t xml:space="preserve">Снижение стоимости;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ind w:left="1320" w:hanging="360"/>
      </w:pPr>
      <w:r w:rsidDel="00000000" w:rsidR="00000000" w:rsidRPr="00000000">
        <w:rPr>
          <w:sz w:val="21"/>
          <w:szCs w:val="21"/>
          <w:rtl w:val="0"/>
        </w:rPr>
        <w:t xml:space="preserve">Безопасность регрессии сети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ind w:firstLine="720"/>
        <w:jc w:val="both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Чем выше качество программы, тем меньше средств затрачивается на устранение недостатков проекта. То есть, если найти недостатки в проекте на раннем этапе, решить их будет дешевле.</w:t>
        <w:br w:type="textWrapping"/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t xml:space="preserve">Создание проекта библиотечного класса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Теперь создадим простой класс теста, используя C#, который добавляет два показателя, и протестируем его. Чтобы создать тест класса в Visual Studio, используя С#, выполните следующие шаги: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Шаг 1</w:t>
      </w:r>
      <w:r w:rsidDel="00000000" w:rsidR="00000000" w:rsidRPr="00000000">
        <w:rPr>
          <w:sz w:val="21"/>
          <w:szCs w:val="21"/>
          <w:rtl w:val="0"/>
        </w:rPr>
        <w:t xml:space="preserve">: Создание проекта библиотечного класса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Откройте Visual Studio.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создания проекта библиотечного класса сначала нажмите File -&gt; New -&gt; Project, выберите Visual C # в установленном шаблоне, выберите Class Library. Введите подходящее название (мы используем IntroNUnitTest), нажмите "OK".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 того, как Вы кликнули кнопку "OK", Вы увидите Ваш проект в Solution Explorer (в правом верхнем углу Visual Studio).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Шаг 2</w:t>
      </w:r>
      <w:r w:rsidDel="00000000" w:rsidR="00000000" w:rsidRPr="00000000">
        <w:rPr>
          <w:sz w:val="21"/>
          <w:szCs w:val="21"/>
          <w:rtl w:val="0"/>
        </w:rPr>
        <w:t xml:space="preserve">: Добавьте ссылки к Вашему проекту.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Чтобы добавить ссылку NUnit к Вашему проекту, кликните правой кнопкой мыши на ссылку, выберите Add reference-&gt; Browse, затем nunit.framework.dll и «OK».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Шаг 3</w:t>
      </w:r>
      <w:r w:rsidDel="00000000" w:rsidR="00000000" w:rsidRPr="00000000">
        <w:rPr>
          <w:sz w:val="21"/>
          <w:szCs w:val="21"/>
          <w:rtl w:val="0"/>
        </w:rPr>
        <w:t xml:space="preserve">: Создание тестового класса.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Кликните правой кнопкой мыши на Вашем проекте, выберите Add -&gt; Class, введите имя (используем MyNUnitTestClass) и далее "Add".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 того, как Вы кликнули на кнопку Add, Вы увидите класс.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 того, как Вы создали класс, добавьте using NUnit.Framework.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Следует соблюдать некоторые условия и понятия: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ind w:left="1320" w:hanging="360"/>
      </w:pPr>
      <w:r w:rsidDel="00000000" w:rsidR="00000000" w:rsidRPr="00000000">
        <w:rPr>
          <w:sz w:val="21"/>
          <w:szCs w:val="21"/>
          <w:rtl w:val="0"/>
        </w:rPr>
        <w:t xml:space="preserve">Каждый класс должен содержать атрибут [TestFixure] и должен быть общедоступен.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ind w:left="1320" w:hanging="360"/>
      </w:pPr>
      <w:r w:rsidDel="00000000" w:rsidR="00000000" w:rsidRPr="00000000">
        <w:rPr>
          <w:sz w:val="21"/>
          <w:szCs w:val="21"/>
          <w:rtl w:val="0"/>
        </w:rPr>
        <w:t xml:space="preserve">В каждом методе должен присутствовать атрибут [Test].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ind w:left="1320" w:hanging="360"/>
      </w:pPr>
      <w:r w:rsidDel="00000000" w:rsidR="00000000" w:rsidRPr="00000000">
        <w:rPr>
          <w:sz w:val="21"/>
          <w:szCs w:val="21"/>
          <w:rtl w:val="0"/>
        </w:rPr>
        <w:t xml:space="preserve">Оператор подтверждения об отсутствии ошибок: Булевские значения, описывающие, что должно быть ключевым словом, когда выполняется действие.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ind w:left="1320" w:hanging="360"/>
      </w:pPr>
      <w:r w:rsidDel="00000000" w:rsidR="00000000" w:rsidRPr="00000000">
        <w:rPr>
          <w:sz w:val="21"/>
          <w:szCs w:val="21"/>
          <w:rtl w:val="0"/>
        </w:rPr>
        <w:t xml:space="preserve">Ожидаемое исключение: один из типов исключения, который мы ожидаем во время выполнения тест-метода.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ind w:left="1320" w:hanging="360"/>
      </w:pPr>
      <w:r w:rsidDel="00000000" w:rsidR="00000000" w:rsidRPr="00000000">
        <w:rPr>
          <w:sz w:val="21"/>
          <w:szCs w:val="21"/>
          <w:rtl w:val="0"/>
        </w:rPr>
        <w:t xml:space="preserve">Установка: программа, которая запускается перед выполнением каждого тест-метода (например, регистрация в системе конкретного пользователя или инициализация одноэлементных классов).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ind w:left="1320" w:hanging="360"/>
      </w:pPr>
      <w:r w:rsidDel="00000000" w:rsidR="00000000" w:rsidRPr="00000000">
        <w:rPr>
          <w:sz w:val="21"/>
          <w:szCs w:val="21"/>
          <w:rtl w:val="0"/>
        </w:rPr>
        <w:t xml:space="preserve">Демонтаж: программа запускается после окончания каждого тест-метода (например, удаление строк из таблицы, которые были вставлены во время теста).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примере мы постараемся сравнить две переменные х и у. Каждой переменной присвоили значение 20. В общей сложности написали 4 теста (PositiveTest, NegativeTest, ExpectedExceptionTest и NotImplementedException).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before="280" w:lineRule="auto"/>
        <w:jc w:val="both"/>
        <w:rPr>
          <w:b w:val="1"/>
          <w:color w:val="000000"/>
          <w:sz w:val="21"/>
          <w:szCs w:val="21"/>
        </w:rPr>
      </w:pPr>
      <w:bookmarkStart w:colFirst="0" w:colLast="0" w:name="_suqpkol4ii5j" w:id="0"/>
      <w:bookmarkEnd w:id="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Запуск тестов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 написания всех тестов в тестовом классе необходимо запустить тесты, чтобы проверить, проходят ли они успешно. Для запуска тестов перейдите в папку NUnit, выберите NUnit Application (.exe) и дважды кликнике по ней, выберите команду File-&gt; Open Project, выберите проект (в нашем случае это IntroNUnitTest.dll), затем кликаем Run.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ind w:lef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Далее Вы увидите количество тестов, которые не сработали, и количество невыполненных тестов.</w:t>
        <w:br w:type="textWrapping"/>
        <w:t xml:space="preserve">Если Вы хотите запустить какой-то определенный тест, кликните правой кнопкой мыши в тесте, который Вы хотите запустить, и выберите Run test(s).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ind w:lef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rtl w:val="0"/>
        </w:rPr>
        <w:t xml:space="preserve">Пример работы с хUnit.</w:t>
      </w:r>
      <w:r w:rsidDel="00000000" w:rsidR="00000000" w:rsidRPr="00000000">
        <w:rPr>
          <w:rtl w:val="0"/>
        </w:rPr>
        <w:br w:type="textWrapping"/>
        <w:br w:type="textWrapping"/>
        <w:tab/>
      </w:r>
      <w:r w:rsidDel="00000000" w:rsidR="00000000" w:rsidRPr="00000000">
        <w:rPr>
          <w:rtl w:val="0"/>
        </w:rPr>
        <w:t xml:space="preserve">хUnit -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это собирательное название семейства </w:t>
      </w:r>
      <w:hyperlink r:id="rId6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фреймворков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для </w:t>
      </w:r>
      <w:hyperlink r:id="rId7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модульного тестирования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структура и функциональность которых основана на </w:t>
      </w:r>
      <w:hyperlink r:id="rId8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SUnit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предназначавшегося для </w:t>
      </w:r>
      <w:hyperlink r:id="rId9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языка программирования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Smalltalk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SUnit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разработанный </w:t>
      </w:r>
      <w:hyperlink r:id="rId11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Кентом Беком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в 1998 году, был написан в </w:t>
      </w:r>
      <w:hyperlink r:id="rId12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высоко структурном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объектно-ориентированном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стиле, получил широкую популярность и был адаптирован для множества других языков. Названия фреймворков этого семейства образованы аналогично "SUnit", обычно заменяется буква "S" на первую букву (или несколько первых) в названии предполагаемого языка ("</w:t>
      </w:r>
      <w:hyperlink r:id="rId14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JUnit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" для </w:t>
      </w:r>
      <w:hyperlink r:id="rId15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Java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"</w:t>
      </w:r>
      <w:hyperlink r:id="rId16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NUnit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" для программной платформы </w:t>
      </w:r>
      <w:hyperlink r:id="rId17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.NET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и т. д.). Семейство таких фреймворков с общей </w:t>
      </w:r>
      <w:hyperlink r:id="rId18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архитектурой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обычно и известно как "xUnit".</w:t>
        <w:br w:type="textWrapping"/>
        <w:br w:type="textWrapping"/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Архитектура xUnit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Все фреймворки из семейства xUnit имеют следующие базовые компоненты архитектуры, которые в различных реализациях могут слегка варьироваться.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200" w:before="200" w:lineRule="auto"/>
        <w:ind w:left="144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Модуль, выполняющий тестирование (Test runner)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Модуль представляет собой исполняемую программу, которая выполняет тесты, реализованные с помощью фреймворка, и отображает информацию о ходе их выполнения.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200" w:before="200" w:lineRule="auto"/>
        <w:ind w:left="144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Тестовые сценарии (Test cases)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Варианты тестирования (тестовые сценарии/случаи) являются базовыми элементами модульных тестов.</w:t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200" w:before="200" w:lineRule="auto"/>
        <w:ind w:left="144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Конфигурации тестирования (Test fixtures)</w:t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Конфигурация тестирования (также называемая контекстом) — это набор предварительно заданных условий или состояний объектов, необходимый для запуска теста. Разработчик должен задать заведомо корректную конфигурацию перед выполнением каждого теста, а затем вернуть оригинальную конфигурацию после завершения теста.</w:t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200" w:before="200" w:lineRule="auto"/>
        <w:ind w:left="144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Наборы тестов (Test suites)</w:t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Тестовый набор — это несколько тестов, имеющих общую конфигурацию. Очередность выполнения тестов не должна иметь значения.</w:t>
      </w:r>
    </w:p>
    <w:p w:rsidR="00000000" w:rsidDel="00000000" w:rsidP="00000000" w:rsidRDefault="00000000" w:rsidRPr="00000000" w14:paraId="0000002A">
      <w:pPr>
        <w:shd w:fill="ffffff" w:val="clear"/>
        <w:spacing w:after="200" w:before="200" w:lineRule="auto"/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200" w:before="200" w:lineRule="auto"/>
        <w:ind w:left="144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Выполнение тестов (Test execution)</w:t>
      </w:r>
    </w:p>
    <w:p w:rsidR="00000000" w:rsidDel="00000000" w:rsidP="00000000" w:rsidRDefault="00000000" w:rsidRPr="00000000" w14:paraId="0000002C">
      <w:pPr>
        <w:shd w:fill="ffffff" w:val="clear"/>
        <w:spacing w:after="200" w:before="200" w:lineRule="auto"/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Выполнение каждого теста происходит согласно следующей схеме: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12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00" w:before="200" w:lineRule="auto"/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200" w:before="200" w:lineRule="auto"/>
        <w:ind w:left="144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Форматирование результатов тестирования (Test result formatter)</w:t>
      </w:r>
    </w:p>
    <w:p w:rsidR="00000000" w:rsidDel="00000000" w:rsidP="00000000" w:rsidRDefault="00000000" w:rsidRPr="00000000" w14:paraId="00000030">
      <w:pPr>
        <w:shd w:fill="ffffff" w:val="clear"/>
        <w:spacing w:after="200" w:before="200" w:lineRule="auto"/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Модуль, выполняющий тестирование, должен вывести результаты в одном или нескольких заданных форматах. В дополнение к обычному тексту, воспринимаемому человеком, часто результаты выводятся в формате XML.</w:t>
      </w:r>
    </w:p>
    <w:p w:rsidR="00000000" w:rsidDel="00000000" w:rsidP="00000000" w:rsidRDefault="00000000" w:rsidRPr="00000000" w14:paraId="00000031">
      <w:pPr>
        <w:shd w:fill="ffffff" w:val="clear"/>
        <w:spacing w:after="200" w:before="200" w:lineRule="auto"/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200" w:before="200" w:lineRule="auto"/>
        <w:ind w:left="144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Утверждения (Assertions)</w:t>
      </w:r>
    </w:p>
    <w:p w:rsidR="00000000" w:rsidDel="00000000" w:rsidP="00000000" w:rsidRDefault="00000000" w:rsidRPr="00000000" w14:paraId="00000033">
      <w:pPr>
        <w:shd w:fill="ffffff" w:val="clear"/>
        <w:spacing w:after="200" w:before="200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Утверждение в тесте — это функция или макрос, которая проверяет поведение или состояние тестируемого модуля. Часто утверждением является проверка равенства или неравенства некоторого параметра модуля ожидаемому результату. Неудачное прохождение проверки приводит к провалу всего тестового сценария и (если необходимо) к исключению, которое останавливает сценарий без перехода к следующему утверждению.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91%D0%B5%D0%BA,_%D0%9A%D0%B5%D0%BD%D1%82" TargetMode="External"/><Relationship Id="rId10" Type="http://schemas.openxmlformats.org/officeDocument/2006/relationships/hyperlink" Target="https://ru.wikipedia.org/wiki/Smalltalk" TargetMode="External"/><Relationship Id="rId13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2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5" Type="http://schemas.openxmlformats.org/officeDocument/2006/relationships/hyperlink" Target="https://ru.wikipedia.org/wiki/Java" TargetMode="External"/><Relationship Id="rId14" Type="http://schemas.openxmlformats.org/officeDocument/2006/relationships/hyperlink" Target="https://ru.wikipedia.org/wiki/JUnit" TargetMode="External"/><Relationship Id="rId17" Type="http://schemas.openxmlformats.org/officeDocument/2006/relationships/hyperlink" Target="https://ru.wikipedia.org/wiki/.NET_Framework" TargetMode="External"/><Relationship Id="rId16" Type="http://schemas.openxmlformats.org/officeDocument/2006/relationships/hyperlink" Target="https://ru.wikipedia.org/wiki/NUnit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ru.wikipedia.org/wiki/%D0%A4%D1%80%D0%B5%D0%B9%D0%BC%D0%B2%D0%BE%D1%80%D0%BA" TargetMode="External"/><Relationship Id="rId18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7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8" Type="http://schemas.openxmlformats.org/officeDocument/2006/relationships/hyperlink" Target="https://ru.wikipedia.org/w/index.php?title=SUnit&amp;action=edit&amp;redlink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