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B25EC" w14:textId="38FC64AB" w:rsidR="00480A68" w:rsidRPr="008318B7" w:rsidRDefault="00000000">
      <w:pPr>
        <w:rPr>
          <w:sz w:val="20"/>
          <w:szCs w:val="20"/>
        </w:rPr>
      </w:pPr>
      <w:r w:rsidRPr="008318B7">
        <w:rPr>
          <w:b/>
          <w:color w:val="163A5F"/>
          <w:sz w:val="40"/>
          <w:szCs w:val="20"/>
        </w:rPr>
        <w:t xml:space="preserve">Risk‑Signal Diversification: Combining Forward </w:t>
      </w:r>
      <w:r w:rsidR="008318B7">
        <w:rPr>
          <w:b/>
          <w:color w:val="163A5F"/>
          <w:sz w:val="40"/>
          <w:szCs w:val="20"/>
        </w:rPr>
        <w:t>M</w:t>
      </w:r>
      <w:r w:rsidRPr="008318B7">
        <w:rPr>
          <w:b/>
          <w:color w:val="163A5F"/>
          <w:sz w:val="40"/>
          <w:szCs w:val="20"/>
        </w:rPr>
        <w:t>odel‑Implied Tail Risk with Realized‑Volatility Timing</w:t>
      </w:r>
    </w:p>
    <w:p w14:paraId="77E4299B" w14:textId="68A0EBBB" w:rsidR="00480A68" w:rsidRPr="008633A2" w:rsidRDefault="00000000" w:rsidP="005468D5">
      <w:pPr>
        <w:spacing w:after="120"/>
        <w:ind w:firstLine="720"/>
      </w:pPr>
      <w:r w:rsidRPr="008633A2">
        <w:rPr>
          <w:color w:val="222830"/>
        </w:rPr>
        <w:t>The contribution is empirical risk‑signal diversification: we show that a forward, model‑implied tail‑risk timer (the posterior‑predictive CVaR of the held portfolio) and the standard backward, realized‑volatility timer (Moreira &amp; Muir, 2017) carry distinct information and are complementary, so their multiplicative combination dominates either alone and the na</w:t>
      </w:r>
      <w:r w:rsidR="005468D5" w:rsidRPr="008633A2">
        <w:rPr>
          <w:color w:val="222830"/>
        </w:rPr>
        <w:t>i</w:t>
      </w:r>
      <w:r w:rsidRPr="008633A2">
        <w:rPr>
          <w:color w:val="222830"/>
        </w:rPr>
        <w:t xml:space="preserve">ve and </w:t>
      </w:r>
      <w:r w:rsidR="005468D5" w:rsidRPr="008633A2">
        <w:rPr>
          <w:color w:val="222830"/>
        </w:rPr>
        <w:t>optimized</w:t>
      </w:r>
      <w:r w:rsidRPr="008633A2">
        <w:rPr>
          <w:color w:val="222830"/>
        </w:rPr>
        <w:t xml:space="preserve"> benchmarks out of sample. We do not claim that forward, options‑free tail‑risk forecasting is new (it is a mature field), nor that the Bayesian–CVaR allocator beats na</w:t>
      </w:r>
      <w:r w:rsidR="005468D5" w:rsidRPr="008633A2">
        <w:rPr>
          <w:color w:val="222830"/>
        </w:rPr>
        <w:t>i</w:t>
      </w:r>
      <w:r w:rsidRPr="008633A2">
        <w:rPr>
          <w:color w:val="222830"/>
        </w:rPr>
        <w:t>ve diversification. The study is framed as dynamic risk management of a long‑only ETF portfolio; the Bayesian–CVaR allocator is a building block. Empirical claims are made on risk‑adjusted terms with multiple‑testing‑aware inference; the complementarity result is the robust qualitative finding and the outperformance result is reported with explicit caveats.</w:t>
      </w:r>
    </w:p>
    <w:p w14:paraId="071D2283" w14:textId="77777777" w:rsidR="00480A68" w:rsidRDefault="00480A68"/>
    <w:p w14:paraId="03C1B12B" w14:textId="77777777" w:rsidR="00480A68" w:rsidRDefault="00000000">
      <w:pPr>
        <w:spacing w:before="280" w:after="80"/>
      </w:pPr>
      <w:r>
        <w:rPr>
          <w:b/>
          <w:color w:val="163A5F"/>
          <w:sz w:val="30"/>
        </w:rPr>
        <w:t>1. Introduction and motivation</w:t>
      </w:r>
    </w:p>
    <w:p w14:paraId="38B66D3A" w14:textId="467FCD3F" w:rsidR="00480A68" w:rsidRDefault="00000000" w:rsidP="005468D5">
      <w:pPr>
        <w:spacing w:after="120"/>
        <w:ind w:firstLine="720"/>
      </w:pPr>
      <w:r>
        <w:rPr>
          <w:color w:val="222830"/>
        </w:rPr>
        <w:t xml:space="preserve">Two facts organise modern portfolio management. First, the </w:t>
      </w:r>
      <w:r w:rsidRPr="005468D5">
        <w:rPr>
          <w:bCs/>
          <w:color w:val="222830"/>
        </w:rPr>
        <w:t>cross‑sectional</w:t>
      </w:r>
      <w:r>
        <w:rPr>
          <w:color w:val="222830"/>
        </w:rPr>
        <w:t xml:space="preserve"> problem of choosing weights from estimated moments is dominated by estimation error</w:t>
      </w:r>
      <w:r w:rsidR="005468D5">
        <w:rPr>
          <w:color w:val="222830"/>
        </w:rPr>
        <w:t>.</w:t>
      </w:r>
      <w:r>
        <w:rPr>
          <w:color w:val="222830"/>
        </w:rPr>
        <w:t xml:space="preserve"> </w:t>
      </w:r>
      <w:r w:rsidR="005468D5">
        <w:rPr>
          <w:color w:val="222830"/>
        </w:rPr>
        <w:t>Optimized</w:t>
      </w:r>
      <w:r>
        <w:rPr>
          <w:color w:val="222830"/>
        </w:rPr>
        <w:t xml:space="preserve"> rules routinely fail to </w:t>
      </w:r>
      <w:r w:rsidR="005468D5">
        <w:rPr>
          <w:color w:val="222830"/>
        </w:rPr>
        <w:t>equal weight (1/N) strategies</w:t>
      </w:r>
      <w:r>
        <w:rPr>
          <w:color w:val="222830"/>
        </w:rPr>
        <w:t xml:space="preserve"> out of sample (DeMiguel, Garlappi &amp; Uppal, 2009; Gelmini et al., 2024), a result theory rationalises in high dimensions (Yuan &amp; Zhou, 2023). Second, the </w:t>
      </w:r>
      <w:r w:rsidRPr="005468D5">
        <w:rPr>
          <w:bCs/>
          <w:color w:val="222830"/>
        </w:rPr>
        <w:t>time‑series</w:t>
      </w:r>
      <w:r>
        <w:rPr>
          <w:color w:val="222830"/>
        </w:rPr>
        <w:t xml:space="preserve"> problem of scaling overall risk </w:t>
      </w:r>
      <w:r w:rsidR="005468D5">
        <w:rPr>
          <w:color w:val="222830"/>
        </w:rPr>
        <w:t>-</w:t>
      </w:r>
      <w:r>
        <w:rPr>
          <w:color w:val="222830"/>
        </w:rPr>
        <w:t xml:space="preserve"> "volatility timing" </w:t>
      </w:r>
      <w:r w:rsidR="005468D5">
        <w:rPr>
          <w:color w:val="222830"/>
        </w:rPr>
        <w:t>-</w:t>
      </w:r>
      <w:r>
        <w:rPr>
          <w:color w:val="222830"/>
        </w:rPr>
        <w:t xml:space="preserve"> can raise risk‑adjusted returns in sample (Moreira &amp; Muir, 2017) but is fragile out of sample because the underlying predictive relationships are unstable (Cederburg, O'Doherty, Wang &amp; Yan, 2020). A growing literature shows that </w:t>
      </w:r>
      <w:r w:rsidRPr="005468D5">
        <w:rPr>
          <w:iCs/>
          <w:color w:val="222830"/>
        </w:rPr>
        <w:t>tail</w:t>
      </w:r>
      <w:r>
        <w:rPr>
          <w:color w:val="222830"/>
        </w:rPr>
        <w:t>‑based timing can improve on variance‑based timing (Rickenberg, 2020) and that combining risk forecasts dominates standalone forecasts (Happersberger, Lohre &amp; Nolte, 2020).</w:t>
      </w:r>
    </w:p>
    <w:p w14:paraId="49892329" w14:textId="29A0F0FB" w:rsidR="00480A68" w:rsidRDefault="00000000" w:rsidP="005468D5">
      <w:pPr>
        <w:spacing w:after="120"/>
        <w:ind w:firstLine="720"/>
      </w:pPr>
      <w:r>
        <w:rPr>
          <w:color w:val="222830"/>
        </w:rPr>
        <w:t xml:space="preserve">This paper asks a focused, falsifiable question: </w:t>
      </w:r>
      <w:r>
        <w:rPr>
          <w:b/>
          <w:color w:val="222830"/>
        </w:rPr>
        <w:t>does a forward, model‑implied tail‑risk signal add information beyond backward realized volatility, and are the two complementary?</w:t>
      </w:r>
      <w:r>
        <w:rPr>
          <w:color w:val="222830"/>
        </w:rPr>
        <w:t xml:space="preserve"> We construct the held portfolio's </w:t>
      </w:r>
      <w:r>
        <w:rPr>
          <w:b/>
          <w:color w:val="222830"/>
        </w:rPr>
        <w:t>posterior‑predictive CVaR</w:t>
      </w:r>
      <w:r>
        <w:rPr>
          <w:color w:val="222830"/>
        </w:rPr>
        <w:t xml:space="preserve"> </w:t>
      </w:r>
      <w:r w:rsidR="005468D5">
        <w:rPr>
          <w:color w:val="222830"/>
        </w:rPr>
        <w:t>-</w:t>
      </w:r>
      <w:r>
        <w:rPr>
          <w:color w:val="222830"/>
        </w:rPr>
        <w:t xml:space="preserve"> a forward, model‑implied expected‑shortfall forecast drawn from a Bayesian scenario engine</w:t>
      </w:r>
      <w:r w:rsidR="005468D5">
        <w:rPr>
          <w:color w:val="222830"/>
        </w:rPr>
        <w:t>,</w:t>
      </w:r>
      <w:r>
        <w:rPr>
          <w:color w:val="222830"/>
        </w:rPr>
        <w:t xml:space="preserve"> use it to scale exposure, and test it head‑to‑head against, and in combination with, the Moreira–Muir realized‑volatility overlay. Our answer is nuanced: </w:t>
      </w:r>
      <w:r>
        <w:rPr>
          <w:b/>
          <w:color w:val="222830"/>
        </w:rPr>
        <w:t>the forward signal is, on its own, weaker than realized‑volatility timing, but it is weakly correlated with it and therefore complementary; combining the two (de‑risk when either flags) beats either alone</w:t>
      </w:r>
      <w:r>
        <w:rPr>
          <w:color w:val="222830"/>
        </w:rPr>
        <w:t xml:space="preserve"> and beats 1/N and </w:t>
      </w:r>
      <w:r w:rsidR="005468D5">
        <w:rPr>
          <w:color w:val="222830"/>
        </w:rPr>
        <w:t>optimized</w:t>
      </w:r>
      <w:r>
        <w:rPr>
          <w:color w:val="222830"/>
        </w:rPr>
        <w:t xml:space="preserve"> Markowitz on risk‑adjusted terms.</w:t>
      </w:r>
    </w:p>
    <w:p w14:paraId="2D16B49C" w14:textId="2348A384" w:rsidR="00480A68" w:rsidRDefault="00000000" w:rsidP="005468D5">
      <w:pPr>
        <w:spacing w:after="120"/>
        <w:ind w:firstLine="720"/>
      </w:pPr>
      <w:r>
        <w:rPr>
          <w:color w:val="222830"/>
        </w:rPr>
        <w:t>We are explicit, following the closest prior art</w:t>
      </w:r>
      <w:r w:rsidR="005468D5">
        <w:rPr>
          <w:color w:val="222830"/>
        </w:rPr>
        <w:t>:</w:t>
      </w:r>
      <w:r>
        <w:rPr>
          <w:color w:val="222830"/>
        </w:rPr>
        <w:t xml:space="preserve"> forward, options‑free ES/CVaR </w:t>
      </w:r>
      <w:r>
        <w:rPr>
          <w:i/>
          <w:color w:val="222830"/>
        </w:rPr>
        <w:t>forecasting</w:t>
      </w:r>
      <w:r>
        <w:rPr>
          <w:color w:val="222830"/>
        </w:rPr>
        <w:t xml:space="preserve"> is mature (Taylor, 2019; Le, 2020; Lyócsa et al., 2024); CVaR‑</w:t>
      </w:r>
      <w:r>
        <w:rPr>
          <w:i/>
          <w:color w:val="222830"/>
        </w:rPr>
        <w:t>timing</w:t>
      </w:r>
      <w:r>
        <w:rPr>
          <w:color w:val="222830"/>
        </w:rPr>
        <w:t xml:space="preserve"> that beats volatility‑timing exists (Rickenberg, 2020); a forward tail‑risk timer benchmarked against Moreira–Muir exists (De Nicolò, 2023); and posterior‑predictive CVaR has been used for </w:t>
      </w:r>
      <w:r w:rsidRPr="005468D5">
        <w:rPr>
          <w:iCs/>
          <w:color w:val="222830"/>
        </w:rPr>
        <w:t>static</w:t>
      </w:r>
      <w:r>
        <w:rPr>
          <w:color w:val="222830"/>
        </w:rPr>
        <w:t xml:space="preserve"> allocation (Bodnar et al., 2022). Our marginal, defensible contributions are the conjunction of (i) a </w:t>
      </w:r>
      <w:r>
        <w:rPr>
          <w:b/>
          <w:color w:val="222830"/>
        </w:rPr>
        <w:t>posterior‑predictive</w:t>
      </w:r>
      <w:r>
        <w:rPr>
          <w:color w:val="222830"/>
        </w:rPr>
        <w:t xml:space="preserve"> CVaR used as a </w:t>
      </w:r>
      <w:r>
        <w:rPr>
          <w:i/>
          <w:color w:val="222830"/>
        </w:rPr>
        <w:t>timing</w:t>
      </w:r>
      <w:r>
        <w:rPr>
          <w:color w:val="222830"/>
        </w:rPr>
        <w:t xml:space="preserve"> signal (not a Logit/EVT forecast and not static allocation), drawn </w:t>
      </w:r>
      <w:r>
        <w:rPr>
          <w:i/>
          <w:color w:val="222830"/>
        </w:rPr>
        <w:t>model‑consistently</w:t>
      </w:r>
      <w:r>
        <w:rPr>
          <w:color w:val="222830"/>
        </w:rPr>
        <w:t xml:space="preserve"> from the same scenario engine that defines the allocation constraint; (ii) an explicit test that this forward tail timer and the backward realized‑volatility timer are </w:t>
      </w:r>
      <w:r>
        <w:rPr>
          <w:b/>
          <w:color w:val="222830"/>
        </w:rPr>
        <w:t>complementary</w:t>
      </w:r>
      <w:r>
        <w:rPr>
          <w:color w:val="222830"/>
        </w:rPr>
        <w:t xml:space="preserve">, and that their </w:t>
      </w:r>
      <w:r>
        <w:rPr>
          <w:b/>
          <w:color w:val="222830"/>
        </w:rPr>
        <w:t>multiplicative combination</w:t>
      </w:r>
      <w:r>
        <w:rPr>
          <w:color w:val="222830"/>
        </w:rPr>
        <w:t xml:space="preserve"> dominates either</w:t>
      </w:r>
      <w:r w:rsidR="005468D5">
        <w:rPr>
          <w:color w:val="222830"/>
        </w:rPr>
        <w:t>. This</w:t>
      </w:r>
      <w:r>
        <w:rPr>
          <w:color w:val="222830"/>
        </w:rPr>
        <w:t xml:space="preserve"> combination </w:t>
      </w:r>
      <w:r w:rsidR="005468D5">
        <w:rPr>
          <w:color w:val="222830"/>
        </w:rPr>
        <w:t xml:space="preserve">has </w:t>
      </w:r>
      <w:r>
        <w:rPr>
          <w:color w:val="222830"/>
        </w:rPr>
        <w:t xml:space="preserve">not </w:t>
      </w:r>
      <w:r w:rsidR="005468D5">
        <w:rPr>
          <w:color w:val="222830"/>
        </w:rPr>
        <w:lastRenderedPageBreak/>
        <w:t xml:space="preserve">been </w:t>
      </w:r>
      <w:r>
        <w:rPr>
          <w:color w:val="222830"/>
        </w:rPr>
        <w:t xml:space="preserve">tested in prior work, which either competes the two (De Nicolò, 2023), regime‑switches between them on a single asset (Rickenberg, 2020), or combines risk </w:t>
      </w:r>
      <w:r>
        <w:rPr>
          <w:i/>
          <w:color w:val="222830"/>
        </w:rPr>
        <w:t>forecasts</w:t>
      </w:r>
      <w:r>
        <w:rPr>
          <w:color w:val="222830"/>
        </w:rPr>
        <w:t xml:space="preserve"> rather than two exposure </w:t>
      </w:r>
      <w:r>
        <w:rPr>
          <w:i/>
          <w:color w:val="222830"/>
        </w:rPr>
        <w:t>timers</w:t>
      </w:r>
      <w:r>
        <w:rPr>
          <w:color w:val="222830"/>
        </w:rPr>
        <w:t xml:space="preserve"> (Happersberger et al., 2020); and (iii) a transparent </w:t>
      </w:r>
      <w:r>
        <w:rPr>
          <w:b/>
          <w:color w:val="222830"/>
        </w:rPr>
        <w:t>allocation‑versus‑timing decomposition</w:t>
      </w:r>
      <w:r>
        <w:rPr>
          <w:color w:val="222830"/>
        </w:rPr>
        <w:t xml:space="preserve"> that locates the performance in the overlay rather than in security selection.</w:t>
      </w:r>
    </w:p>
    <w:p w14:paraId="5B1BA0E8" w14:textId="77777777" w:rsidR="00480A68" w:rsidRDefault="00480A68"/>
    <w:p w14:paraId="4DF8D51F" w14:textId="77777777" w:rsidR="00480A68" w:rsidRDefault="00000000">
      <w:pPr>
        <w:spacing w:before="280" w:after="80"/>
      </w:pPr>
      <w:r>
        <w:rPr>
          <w:b/>
          <w:color w:val="163A5F"/>
          <w:sz w:val="30"/>
        </w:rPr>
        <w:t>2. Theoretical framework and literature review</w:t>
      </w:r>
    </w:p>
    <w:p w14:paraId="5E14F53B" w14:textId="20AE7458" w:rsidR="00480A68" w:rsidRDefault="00000000">
      <w:pPr>
        <w:spacing w:before="160" w:after="60"/>
      </w:pPr>
      <w:r>
        <w:rPr>
          <w:b/>
          <w:color w:val="163A5F"/>
          <w:sz w:val="25"/>
        </w:rPr>
        <w:t>2.1 Portfolio selection, estimation error, and the na</w:t>
      </w:r>
      <w:r w:rsidR="00CA7485">
        <w:rPr>
          <w:b/>
          <w:color w:val="163A5F"/>
          <w:sz w:val="25"/>
        </w:rPr>
        <w:t>i</w:t>
      </w:r>
      <w:r>
        <w:rPr>
          <w:b/>
          <w:color w:val="163A5F"/>
          <w:sz w:val="25"/>
        </w:rPr>
        <w:t>ve‑diversification benchmark</w:t>
      </w:r>
    </w:p>
    <w:p w14:paraId="6510B2A5" w14:textId="118E9B3C" w:rsidR="00480A68" w:rsidRDefault="00000000" w:rsidP="001F36DE">
      <w:pPr>
        <w:spacing w:after="120"/>
        <w:ind w:firstLine="720"/>
      </w:pPr>
      <w:r>
        <w:rPr>
          <w:color w:val="222830"/>
        </w:rPr>
        <w:t xml:space="preserve">Mean–variance optimisation (Markowitz, 1952) is undermined empirically by estimation error. DeMiguel, Garlappi &amp; Uppal (2009) show that across fourteen optimised models and seven datasets none reliably beats 1/N; the result replicates on updated data (Gelmini et al., 2024), and Yuan &amp; Zhou (2023) show 1/N is near‑optimal as dimensionality rises with diversifiable risk. Responses include parameter‑uncertainty shrinkage (Garlappi, Uppal &amp; Wang, 2007; Lassance, Vrins &amp; DeMiguel, 2024; Ban, El Karoui &amp; Lim, 2018; Barroso &amp; Nagel, 2021) and covariance shrinkage (Ledoit &amp; Wolf, 2004). </w:t>
      </w:r>
      <w:r w:rsidR="001F36DE">
        <w:rPr>
          <w:color w:val="222830"/>
        </w:rPr>
        <w:t>Thus,</w:t>
      </w:r>
      <w:r>
        <w:rPr>
          <w:color w:val="222830"/>
        </w:rPr>
        <w:t xml:space="preserve"> the cross‑sectional gains from optimisation are small and fragile, so we do not rest the contribution on security selection and treat 1/N (and optimised Markowitz) as the benchmarks to clear.</w:t>
      </w:r>
    </w:p>
    <w:p w14:paraId="4CA25874" w14:textId="77777777" w:rsidR="00480A68" w:rsidRDefault="00000000">
      <w:pPr>
        <w:spacing w:before="160" w:after="60"/>
      </w:pPr>
      <w:r>
        <w:rPr>
          <w:b/>
          <w:color w:val="163A5F"/>
          <w:sz w:val="25"/>
        </w:rPr>
        <w:t>2.2 Coherent tail‑risk measures and the fragility of CVaR optimisation</w:t>
      </w:r>
    </w:p>
    <w:p w14:paraId="0B28454B" w14:textId="4E277751" w:rsidR="00480A68" w:rsidRDefault="00000000" w:rsidP="001F36DE">
      <w:pPr>
        <w:spacing w:after="120"/>
        <w:ind w:firstLine="720"/>
      </w:pPr>
      <w:r>
        <w:rPr>
          <w:color w:val="222830"/>
        </w:rPr>
        <w:t xml:space="preserve">The axiomatics of coherent risk measures (Artzner, Delbaen, Eber &amp; Heath, 1999) motivated CVaR / expected shortfall, which is coherent and, for discrete scenarios, optimisable as a linear program via the Rockafellar–Uryasev representation (Rockafellar &amp; Uryasev, 2000, 2001; Pflug, 2000; Mansini, Ogryczak &amp; Speranza, 2007). Crucially, </w:t>
      </w:r>
      <w:r w:rsidRPr="00CA7485">
        <w:rPr>
          <w:bCs/>
          <w:color w:val="222830"/>
        </w:rPr>
        <w:t>CVaR optimisation is coherent but fragile</w:t>
      </w:r>
      <w:r>
        <w:rPr>
          <w:color w:val="222830"/>
        </w:rPr>
        <w:t xml:space="preserve">: because the estimate uses only tail scenarios, optimal CVaR portfolios are highly sensitive to estimation error, which optimisation magnifies and heavier tails worsen (Lim, Shanthikumar &amp; Vahn, 2011); robustified variants only partially repair this (Gotoh, Takeda &amp; Yamamoto, 2013; Nakagawa, Kawahara &amp; Ito, 2021). This is the theoretical justification for using the posterior‑predictive CVaR primarily as a </w:t>
      </w:r>
      <w:r w:rsidRPr="001F36DE">
        <w:rPr>
          <w:iCs/>
          <w:color w:val="222830"/>
        </w:rPr>
        <w:t>forecast/ timing</w:t>
      </w:r>
      <w:r>
        <w:rPr>
          <w:color w:val="222830"/>
        </w:rPr>
        <w:t xml:space="preserve"> signal rather than as the engine of cross‑sectional weight selection.</w:t>
      </w:r>
    </w:p>
    <w:p w14:paraId="22F6F7FC" w14:textId="77777777" w:rsidR="00480A68" w:rsidRDefault="00000000">
      <w:pPr>
        <w:spacing w:before="160" w:after="60"/>
      </w:pPr>
      <w:r>
        <w:rPr>
          <w:b/>
          <w:color w:val="163A5F"/>
          <w:sz w:val="25"/>
        </w:rPr>
        <w:t>2.3 Risk timing: volatility‑managed portfolios and their out‑of‑sample fragility</w:t>
      </w:r>
    </w:p>
    <w:p w14:paraId="779438B0" w14:textId="455E3B2D" w:rsidR="00480A68" w:rsidRDefault="00000000" w:rsidP="001F36DE">
      <w:pPr>
        <w:spacing w:after="120"/>
        <w:ind w:firstLine="720"/>
      </w:pPr>
      <w:r>
        <w:rPr>
          <w:color w:val="222830"/>
        </w:rPr>
        <w:t xml:space="preserve">Moreira &amp; Muir (2017) show that scaling exposure inversely to recent realized variance raises factor Sharpe ratios, because volatility is more forecastable than the premium. The result is contested out of sample: Cederburg et al. (2020) find the implied real‑time rules generally do not beat the unmanaged portfolios, owing to structural instability; refinements that survive better include </w:t>
      </w:r>
      <w:r w:rsidRPr="00C6678F">
        <w:rPr>
          <w:bCs/>
          <w:color w:val="222830"/>
        </w:rPr>
        <w:t>downside</w:t>
      </w:r>
      <w:r>
        <w:rPr>
          <w:color w:val="222830"/>
        </w:rPr>
        <w:t xml:space="preserve">‑ volatility scaling (Wang, Yan &amp; Zheng, 2021) and conditional multifactor formulations (DeMiguel et al., 2024). This motivates asking whether a </w:t>
      </w:r>
      <w:r>
        <w:rPr>
          <w:i/>
          <w:color w:val="222830"/>
        </w:rPr>
        <w:t>different kind</w:t>
      </w:r>
      <w:r>
        <w:rPr>
          <w:color w:val="222830"/>
        </w:rPr>
        <w:t xml:space="preserve"> of risk signal </w:t>
      </w:r>
      <w:r w:rsidR="00C6678F">
        <w:rPr>
          <w:color w:val="222830"/>
        </w:rPr>
        <w:t>-</w:t>
      </w:r>
      <w:r>
        <w:rPr>
          <w:color w:val="222830"/>
        </w:rPr>
        <w:t xml:space="preserve"> forward and tail‑focused </w:t>
      </w:r>
      <w:r w:rsidR="00C6678F">
        <w:rPr>
          <w:color w:val="222830"/>
        </w:rPr>
        <w:t>-</w:t>
      </w:r>
      <w:r>
        <w:rPr>
          <w:color w:val="222830"/>
        </w:rPr>
        <w:t xml:space="preserve"> adds information to backward variance.</w:t>
      </w:r>
    </w:p>
    <w:p w14:paraId="0C4FB658" w14:textId="77777777" w:rsidR="00480A68" w:rsidRDefault="00000000">
      <w:pPr>
        <w:spacing w:before="160" w:after="60"/>
      </w:pPr>
      <w:r>
        <w:rPr>
          <w:b/>
          <w:color w:val="163A5F"/>
          <w:sz w:val="25"/>
        </w:rPr>
        <w:t>2.4 Forward‑looking risk forecasting is mature and not option‑dependent</w:t>
      </w:r>
    </w:p>
    <w:p w14:paraId="691311ED" w14:textId="511FD0E7" w:rsidR="00480A68" w:rsidRDefault="00000000" w:rsidP="00C6678F">
      <w:pPr>
        <w:spacing w:after="120"/>
        <w:ind w:firstLine="720"/>
      </w:pPr>
      <w:r>
        <w:rPr>
          <w:color w:val="222830"/>
        </w:rPr>
        <w:t xml:space="preserve">We emphasise </w:t>
      </w:r>
      <w:r w:rsidR="00C6678F">
        <w:rPr>
          <w:color w:val="222830"/>
        </w:rPr>
        <w:t>-</w:t>
      </w:r>
      <w:r>
        <w:rPr>
          <w:color w:val="222830"/>
        </w:rPr>
        <w:t xml:space="preserve"> correcting a common framing </w:t>
      </w:r>
      <w:r w:rsidR="00C6678F">
        <w:rPr>
          <w:color w:val="222830"/>
        </w:rPr>
        <w:t>-</w:t>
      </w:r>
      <w:r>
        <w:rPr>
          <w:color w:val="222830"/>
        </w:rPr>
        <w:t xml:space="preserve"> that forward, model‑based tail‑risk forecasting is a large mature literature that does </w:t>
      </w:r>
      <w:r w:rsidRPr="00C6678F">
        <w:rPr>
          <w:bCs/>
          <w:color w:val="222830"/>
        </w:rPr>
        <w:t>not</w:t>
      </w:r>
      <w:r>
        <w:rPr>
          <w:color w:val="222830"/>
        </w:rPr>
        <w:t xml:space="preserve"> require options. Joint VaR/ES is forecast via asymmetric‑Laplace / ES‑CAViaR scoring (Taylor, 2019), MIDAS (Le, 2020), and GARCH‑EVT / dynamic semiparametric quantile models. Option‑implied information </w:t>
      </w:r>
      <w:r>
        <w:rPr>
          <w:i/>
          <w:color w:val="222830"/>
        </w:rPr>
        <w:t>can</w:t>
      </w:r>
      <w:r>
        <w:rPr>
          <w:color w:val="222830"/>
        </w:rPr>
        <w:t xml:space="preserve"> time risk (Kostakis, Panigirtzoglou &amp; Skiadopoulos, 2011; Kita &amp; Tu, </w:t>
      </w:r>
      <w:r>
        <w:rPr>
          <w:color w:val="222830"/>
        </w:rPr>
        <w:lastRenderedPageBreak/>
        <w:t xml:space="preserve">2023; Bianchi, Tassinari &amp; Fabozzi, 2018), but Lyócsa et al. (2024) find implied volatility is largely </w:t>
      </w:r>
      <w:r>
        <w:rPr>
          <w:i/>
          <w:color w:val="222830"/>
        </w:rPr>
        <w:t>irrelevant</w:t>
      </w:r>
      <w:r>
        <w:rPr>
          <w:color w:val="222830"/>
        </w:rPr>
        <w:t xml:space="preserve"> for ES forecasting relative to econometric models. </w:t>
      </w:r>
      <w:r w:rsidRPr="00C6678F">
        <w:rPr>
          <w:bCs/>
          <w:color w:val="222830"/>
        </w:rPr>
        <w:t>Hence "forward" and "options‑free" are established properties, not contributions of this paper.</w:t>
      </w:r>
      <w:r>
        <w:rPr>
          <w:color w:val="222830"/>
        </w:rPr>
        <w:t xml:space="preserve"> Our forward signal is distinguished only by being a </w:t>
      </w:r>
      <w:r>
        <w:rPr>
          <w:i/>
          <w:color w:val="222830"/>
        </w:rPr>
        <w:t>Bayesian posterior‑predictive</w:t>
      </w:r>
      <w:r>
        <w:rPr>
          <w:color w:val="222830"/>
        </w:rPr>
        <w:t xml:space="preserve"> CVaR of the </w:t>
      </w:r>
      <w:r>
        <w:rPr>
          <w:i/>
          <w:color w:val="222830"/>
        </w:rPr>
        <w:t>held portfolio</w:t>
      </w:r>
      <w:r>
        <w:rPr>
          <w:color w:val="222830"/>
        </w:rPr>
        <w:t xml:space="preserve">, integrating parameter uncertainty (Bauder et al., 2018; Bodnar et al., 2022), used for </w:t>
      </w:r>
      <w:r>
        <w:rPr>
          <w:i/>
          <w:color w:val="222830"/>
        </w:rPr>
        <w:t>timing</w:t>
      </w:r>
      <w:r>
        <w:rPr>
          <w:color w:val="222830"/>
        </w:rPr>
        <w:t>.</w:t>
      </w:r>
    </w:p>
    <w:p w14:paraId="1BA3A7A3" w14:textId="77777777" w:rsidR="00480A68" w:rsidRDefault="00000000">
      <w:pPr>
        <w:spacing w:before="160" w:after="60"/>
      </w:pPr>
      <w:r>
        <w:rPr>
          <w:b/>
          <w:color w:val="163A5F"/>
          <w:sz w:val="25"/>
        </w:rPr>
        <w:t>2.5 Tail‑risk timing, forecast combination, and the closest prior art</w:t>
      </w:r>
    </w:p>
    <w:p w14:paraId="1B383F70" w14:textId="41AF6890" w:rsidR="00480A68" w:rsidRDefault="00000000" w:rsidP="00C6678F">
      <w:pPr>
        <w:spacing w:after="120"/>
        <w:ind w:firstLine="720"/>
      </w:pPr>
      <w:r>
        <w:rPr>
          <w:color w:val="222830"/>
        </w:rPr>
        <w:t xml:space="preserve">A recent literature times a tail measure directly and is the immediate predecessor of this study. </w:t>
      </w:r>
      <w:r>
        <w:rPr>
          <w:b/>
          <w:color w:val="222830"/>
        </w:rPr>
        <w:t>Rickenberg (2020)</w:t>
      </w:r>
      <w:r>
        <w:rPr>
          <w:color w:val="222830"/>
        </w:rPr>
        <w:t xml:space="preserve"> shows downside/CVaR </w:t>
      </w:r>
      <w:r>
        <w:rPr>
          <w:i/>
          <w:color w:val="222830"/>
        </w:rPr>
        <w:t>targeting</w:t>
      </w:r>
      <w:r>
        <w:rPr>
          <w:color w:val="222830"/>
        </w:rPr>
        <w:t xml:space="preserve"> outperforms volatility targeting on Sharpe, drawdown, and utility, and that </w:t>
      </w:r>
      <w:r>
        <w:rPr>
          <w:b/>
          <w:color w:val="222830"/>
        </w:rPr>
        <w:t>switching</w:t>
      </w:r>
      <w:r>
        <w:rPr>
          <w:color w:val="222830"/>
        </w:rPr>
        <w:t xml:space="preserve"> between volatility‑ and CVaR‑targeting by regime improves results — establishing forward CVaR‑based exposure timing and a </w:t>
      </w:r>
      <w:r>
        <w:rPr>
          <w:i/>
          <w:color w:val="222830"/>
        </w:rPr>
        <w:t>conditional blend</w:t>
      </w:r>
      <w:r>
        <w:rPr>
          <w:color w:val="222830"/>
        </w:rPr>
        <w:t xml:space="preserve"> of the two, on a single risky asset using EVT/GARCH tail forecasts. </w:t>
      </w:r>
      <w:r>
        <w:rPr>
          <w:b/>
          <w:color w:val="222830"/>
        </w:rPr>
        <w:t>De Nicolò (2023)</w:t>
      </w:r>
      <w:r>
        <w:rPr>
          <w:color w:val="222830"/>
        </w:rPr>
        <w:t xml:space="preserve"> constructs </w:t>
      </w:r>
      <w:r>
        <w:rPr>
          <w:b/>
          <w:color w:val="222830"/>
        </w:rPr>
        <w:t>tail‑risk‑managed</w:t>
      </w:r>
      <w:r>
        <w:rPr>
          <w:color w:val="222830"/>
        </w:rPr>
        <w:t xml:space="preserve"> portfolios whose factor exposures scale with forecast VaR‑violation probabilities (a frequentist Logit forecaster) and shows they beat both buy‑and‑hold and Moreira–Muir volatility‑managed portfolios net of costs </w:t>
      </w:r>
      <w:r w:rsidR="00C6678F">
        <w:rPr>
          <w:color w:val="222830"/>
        </w:rPr>
        <w:t>-</w:t>
      </w:r>
      <w:r>
        <w:rPr>
          <w:color w:val="222830"/>
        </w:rPr>
        <w:t xml:space="preserve"> establishing a forward, options‑free tail timer benchmarked head‑to‑head against Moreira–Muir, with volatility management treated as a </w:t>
      </w:r>
      <w:r>
        <w:rPr>
          <w:b/>
          <w:color w:val="222830"/>
        </w:rPr>
        <w:t>competing</w:t>
      </w:r>
      <w:r>
        <w:rPr>
          <w:color w:val="222830"/>
        </w:rPr>
        <w:t xml:space="preserve"> benchmark. </w:t>
      </w:r>
      <w:r>
        <w:rPr>
          <w:b/>
          <w:color w:val="222830"/>
        </w:rPr>
        <w:t>Happersberger, Lohre &amp; Nolte (2020)</w:t>
      </w:r>
      <w:r>
        <w:rPr>
          <w:color w:val="222830"/>
        </w:rPr>
        <w:t xml:space="preserve"> show that </w:t>
      </w:r>
      <w:r>
        <w:rPr>
          <w:b/>
          <w:color w:val="222830"/>
        </w:rPr>
        <w:t>combining</w:t>
      </w:r>
      <w:r>
        <w:rPr>
          <w:color w:val="222830"/>
        </w:rPr>
        <w:t xml:space="preserve"> expected‑shortfall </w:t>
      </w:r>
      <w:r>
        <w:rPr>
          <w:i/>
          <w:color w:val="222830"/>
        </w:rPr>
        <w:t>forecasts</w:t>
      </w:r>
      <w:r>
        <w:rPr>
          <w:color w:val="222830"/>
        </w:rPr>
        <w:t xml:space="preserve"> dominates standalone forecasts within a tail‑protection overlay. </w:t>
      </w:r>
      <w:r>
        <w:rPr>
          <w:b/>
          <w:color w:val="222830"/>
        </w:rPr>
        <w:t>Schwalbach &amp; Auret (2023)</w:t>
      </w:r>
      <w:r>
        <w:rPr>
          <w:color w:val="222830"/>
        </w:rPr>
        <w:t xml:space="preserve"> show two complementary defensive overlays (option hedging and trend‑following) outperform either alone, using traded options and trend rather than a tail forecast and realized vol. Finally, </w:t>
      </w:r>
      <w:r>
        <w:rPr>
          <w:b/>
          <w:color w:val="222830"/>
        </w:rPr>
        <w:t>Bodnar et al. (2022)</w:t>
      </w:r>
      <w:r>
        <w:rPr>
          <w:color w:val="222830"/>
        </w:rPr>
        <w:t xml:space="preserve"> derive VaR/CVaR‑optimal weights from the </w:t>
      </w:r>
      <w:r>
        <w:rPr>
          <w:b/>
          <w:color w:val="222830"/>
        </w:rPr>
        <w:t>posterior‑predictive</w:t>
      </w:r>
      <w:r>
        <w:rPr>
          <w:color w:val="222830"/>
        </w:rPr>
        <w:t xml:space="preserve"> distribution but for </w:t>
      </w:r>
      <w:r>
        <w:rPr>
          <w:i/>
          <w:color w:val="222830"/>
        </w:rPr>
        <w:t>static allocation</w:t>
      </w:r>
      <w:r>
        <w:rPr>
          <w:color w:val="222830"/>
        </w:rPr>
        <w:t>, not timing.</w:t>
      </w:r>
      <w:r w:rsidR="00C6678F">
        <w:rPr>
          <w:color w:val="222830"/>
        </w:rPr>
        <w:t xml:space="preserve"> </w:t>
      </w:r>
      <w:r>
        <w:rPr>
          <w:color w:val="222830"/>
        </w:rPr>
        <w:t>These papers occupy most of the "forward tail timing vs realized‑vol timing" ground; our contribution is stated narrowly against them.</w:t>
      </w:r>
    </w:p>
    <w:p w14:paraId="57E66FF2" w14:textId="77777777" w:rsidR="00480A68" w:rsidRDefault="00000000">
      <w:pPr>
        <w:spacing w:before="160" w:after="60"/>
      </w:pPr>
      <w:r>
        <w:rPr>
          <w:b/>
          <w:color w:val="163A5F"/>
          <w:sz w:val="25"/>
        </w:rPr>
        <w:t>2.6 Out‑of‑sample inference and the multiple‑testing problem</w:t>
      </w:r>
    </w:p>
    <w:p w14:paraId="3E6182F6" w14:textId="4ADBE10A" w:rsidR="00480A68" w:rsidRPr="002309CF" w:rsidRDefault="00000000" w:rsidP="00C6678F">
      <w:pPr>
        <w:spacing w:after="120"/>
        <w:ind w:firstLine="720"/>
      </w:pPr>
      <w:r w:rsidRPr="002309CF">
        <w:rPr>
          <w:color w:val="222830"/>
        </w:rPr>
        <w:t>Backtested performance is inflated by selection over trials. We adopt the Deflated Sharpe Ratio, which corrects the observed Sharpe for the number of configurations tried, non‑normality, and sample length (Bailey &amp; López de Prado, 2014), within the broader multiple‑testing programme (Harvey, Liu &amp; Zhu, 2016; Suhonen, Lennkh &amp; Perez, 2017; Wiecki et al., 2016), together with paired stationary‑bootstrap tests. We deflate over the strategy‑selection trials from which the reported strategy was chosen (overlay forms, target levels, and combination rules), excluding the na</w:t>
      </w:r>
      <w:r w:rsidR="00C6678F" w:rsidRPr="002309CF">
        <w:rPr>
          <w:color w:val="222830"/>
        </w:rPr>
        <w:t>i</w:t>
      </w:r>
      <w:r w:rsidRPr="002309CF">
        <w:rPr>
          <w:color w:val="222830"/>
        </w:rPr>
        <w:t>ve/Markowitz benchmarks.</w:t>
      </w:r>
    </w:p>
    <w:p w14:paraId="3DE9EE5C" w14:textId="77777777" w:rsidR="00480A68" w:rsidRDefault="00480A68"/>
    <w:p w14:paraId="526A14D7" w14:textId="77777777" w:rsidR="00480A68" w:rsidRDefault="00000000">
      <w:pPr>
        <w:spacing w:before="280" w:after="80"/>
      </w:pPr>
      <w:r>
        <w:rPr>
          <w:b/>
          <w:color w:val="163A5F"/>
          <w:sz w:val="30"/>
        </w:rPr>
        <w:t>3. Research gap</w:t>
      </w:r>
    </w:p>
    <w:p w14:paraId="4AAE58A4" w14:textId="77777777" w:rsidR="00480A68" w:rsidRDefault="00000000">
      <w:pPr>
        <w:spacing w:after="120"/>
      </w:pPr>
      <w:r>
        <w:rPr>
          <w:color w:val="222830"/>
        </w:rPr>
        <w:t>The three relevant literatures are adjacent but leave a specific space unoccupied:</w:t>
      </w:r>
    </w:p>
    <w:p w14:paraId="099E95F3" w14:textId="53E18C9D" w:rsidR="00480A68" w:rsidRDefault="00000000" w:rsidP="00C6678F">
      <w:pPr>
        <w:pStyle w:val="ListNumber"/>
        <w:spacing w:after="120"/>
      </w:pPr>
      <w:r w:rsidRPr="00C6678F">
        <w:rPr>
          <w:b/>
          <w:color w:val="222830"/>
        </w:rPr>
        <w:t>Volatility timing</w:t>
      </w:r>
      <w:r w:rsidRPr="00C6678F">
        <w:rPr>
          <w:color w:val="222830"/>
        </w:rPr>
        <w:t xml:space="preserve"> is backward</w:t>
      </w:r>
      <w:r w:rsidRPr="00C6678F">
        <w:rPr>
          <w:rFonts w:ascii="Cambria Math" w:hAnsi="Cambria Math" w:cs="Cambria Math"/>
          <w:color w:val="222830"/>
        </w:rPr>
        <w:t>‑</w:t>
      </w:r>
      <w:r w:rsidRPr="00C6678F">
        <w:rPr>
          <w:color w:val="222830"/>
        </w:rPr>
        <w:t>looking and fragile out of sample (Moreira &amp; Muir, 2017; Cederburg et al., 2020).</w:t>
      </w:r>
    </w:p>
    <w:p w14:paraId="131B208E" w14:textId="74F90294" w:rsidR="00480A68" w:rsidRDefault="00000000" w:rsidP="00C6678F">
      <w:pPr>
        <w:pStyle w:val="ListNumber"/>
        <w:spacing w:after="120"/>
      </w:pPr>
      <w:r w:rsidRPr="00C6678F">
        <w:rPr>
          <w:b/>
          <w:color w:val="222830"/>
        </w:rPr>
        <w:t>Forward tail</w:t>
      </w:r>
      <w:r w:rsidRPr="00C6678F">
        <w:rPr>
          <w:rFonts w:ascii="Cambria Math" w:hAnsi="Cambria Math" w:cs="Cambria Math"/>
          <w:b/>
          <w:color w:val="222830"/>
        </w:rPr>
        <w:t>‑</w:t>
      </w:r>
      <w:r w:rsidRPr="00C6678F">
        <w:rPr>
          <w:b/>
          <w:color w:val="222830"/>
        </w:rPr>
        <w:t>risk timing</w:t>
      </w:r>
      <w:r w:rsidRPr="00C6678F">
        <w:rPr>
          <w:color w:val="222830"/>
        </w:rPr>
        <w:t xml:space="preserve"> exists, but in prior work it is </w:t>
      </w:r>
      <w:r w:rsidRPr="00C6678F">
        <w:rPr>
          <w:i/>
          <w:color w:val="222830"/>
        </w:rPr>
        <w:t>frequentist</w:t>
      </w:r>
      <w:r w:rsidRPr="00C6678F">
        <w:rPr>
          <w:color w:val="222830"/>
        </w:rPr>
        <w:t xml:space="preserve"> (Logit on </w:t>
      </w:r>
      <w:proofErr w:type="spellStart"/>
      <w:r w:rsidRPr="00C6678F">
        <w:rPr>
          <w:color w:val="222830"/>
        </w:rPr>
        <w:t>VaR</w:t>
      </w:r>
      <w:proofErr w:type="spellEnd"/>
      <w:r w:rsidRPr="00C6678F">
        <w:rPr>
          <w:rFonts w:ascii="Cambria Math" w:hAnsi="Cambria Math" w:cs="Cambria Math"/>
          <w:color w:val="222830"/>
        </w:rPr>
        <w:t>‑</w:t>
      </w:r>
      <w:r w:rsidRPr="00C6678F">
        <w:rPr>
          <w:color w:val="222830"/>
        </w:rPr>
        <w:t xml:space="preserve">violation probabilities — De Nicolò, 2023; EVT/GARCH CVaR targets — Rickenberg, 2020), is applied to </w:t>
      </w:r>
      <w:r w:rsidRPr="00C6678F">
        <w:rPr>
          <w:i/>
          <w:color w:val="222830"/>
        </w:rPr>
        <w:t>factors</w:t>
      </w:r>
      <w:r w:rsidRPr="00C6678F">
        <w:rPr>
          <w:color w:val="222830"/>
        </w:rPr>
        <w:t xml:space="preserve">    or a </w:t>
      </w:r>
      <w:r w:rsidRPr="00C6678F">
        <w:rPr>
          <w:i/>
          <w:color w:val="222830"/>
        </w:rPr>
        <w:t>single asset</w:t>
      </w:r>
      <w:r w:rsidRPr="00C6678F">
        <w:rPr>
          <w:color w:val="222830"/>
        </w:rPr>
        <w:t xml:space="preserve">, and treats volatility management as a </w:t>
      </w:r>
      <w:r w:rsidRPr="00C6678F">
        <w:rPr>
          <w:i/>
          <w:color w:val="222830"/>
        </w:rPr>
        <w:t>competing benchmark</w:t>
      </w:r>
      <w:r w:rsidRPr="00C6678F">
        <w:rPr>
          <w:color w:val="222830"/>
        </w:rPr>
        <w:t xml:space="preserve"> or a </w:t>
      </w:r>
      <w:r w:rsidRPr="00C6678F">
        <w:rPr>
          <w:i/>
          <w:color w:val="222830"/>
        </w:rPr>
        <w:t>regime    switch</w:t>
      </w:r>
      <w:r w:rsidRPr="00C6678F">
        <w:rPr>
          <w:color w:val="222830"/>
        </w:rPr>
        <w:t xml:space="preserve"> rather than a </w:t>
      </w:r>
      <w:r w:rsidRPr="00C6678F">
        <w:rPr>
          <w:i/>
          <w:color w:val="222830"/>
        </w:rPr>
        <w:t>complement</w:t>
      </w:r>
      <w:r w:rsidRPr="00C6678F">
        <w:rPr>
          <w:color w:val="222830"/>
        </w:rPr>
        <w:t>.</w:t>
      </w:r>
    </w:p>
    <w:p w14:paraId="6A531270" w14:textId="47B438D5" w:rsidR="00480A68" w:rsidRDefault="00000000" w:rsidP="00C6678F">
      <w:pPr>
        <w:pStyle w:val="ListNumber"/>
        <w:spacing w:after="120"/>
      </w:pPr>
      <w:r w:rsidRPr="00C6678F">
        <w:rPr>
          <w:b/>
          <w:color w:val="222830"/>
        </w:rPr>
        <w:t>Posterior</w:t>
      </w:r>
      <w:r w:rsidRPr="00C6678F">
        <w:rPr>
          <w:rFonts w:ascii="Cambria Math" w:hAnsi="Cambria Math" w:cs="Cambria Math"/>
          <w:b/>
          <w:color w:val="222830"/>
        </w:rPr>
        <w:t>‑</w:t>
      </w:r>
      <w:r w:rsidRPr="00C6678F">
        <w:rPr>
          <w:b/>
          <w:color w:val="222830"/>
        </w:rPr>
        <w:t>predictive CVaR</w:t>
      </w:r>
      <w:r w:rsidRPr="00C6678F">
        <w:rPr>
          <w:color w:val="222830"/>
        </w:rPr>
        <w:t xml:space="preserve"> is used only for </w:t>
      </w:r>
      <w:r w:rsidRPr="00C6678F">
        <w:rPr>
          <w:i/>
          <w:color w:val="222830"/>
        </w:rPr>
        <w:t>static allocation</w:t>
      </w:r>
      <w:r w:rsidRPr="00C6678F">
        <w:rPr>
          <w:color w:val="222830"/>
        </w:rPr>
        <w:t xml:space="preserve"> (Bodnar et al., 2022)</w:t>
      </w:r>
    </w:p>
    <w:p w14:paraId="0FF7397E" w14:textId="334C1AD7" w:rsidR="00480A68" w:rsidRDefault="00000000">
      <w:pPr>
        <w:spacing w:before="80" w:after="80"/>
        <w:ind w:left="432"/>
      </w:pPr>
      <w:r>
        <w:rPr>
          <w:b/>
          <w:i/>
          <w:color w:val="163A5F"/>
        </w:rPr>
        <w:lastRenderedPageBreak/>
        <w:t>The gap.</w:t>
      </w:r>
      <w:r>
        <w:rPr>
          <w:i/>
          <w:color w:val="163A5F"/>
        </w:rPr>
        <w:t xml:space="preserve"> No prior study uses a </w:t>
      </w:r>
      <w:r>
        <w:rPr>
          <w:b/>
          <w:i/>
          <w:color w:val="163A5F"/>
        </w:rPr>
        <w:t>Bayesian posterior‑predictive CVaR of the held portfolio, model‑consistent with its allocation constraint, as a forward exposure timer</w:t>
      </w:r>
      <w:r>
        <w:rPr>
          <w:i/>
          <w:color w:val="163A5F"/>
        </w:rPr>
        <w:t xml:space="preserve">, nor tests whether such a forward tail timer is </w:t>
      </w:r>
      <w:r>
        <w:rPr>
          <w:b/>
          <w:i/>
          <w:color w:val="163A5F"/>
        </w:rPr>
        <w:t>complementary</w:t>
      </w:r>
      <w:r>
        <w:rPr>
          <w:i/>
          <w:color w:val="163A5F"/>
        </w:rPr>
        <w:t xml:space="preserve"> to backward realized‑volatility timing such that their </w:t>
      </w:r>
      <w:r>
        <w:rPr>
          <w:b/>
          <w:i/>
          <w:color w:val="163A5F"/>
        </w:rPr>
        <w:t>multiplicative combination</w:t>
      </w:r>
      <w:r>
        <w:rPr>
          <w:i/>
          <w:color w:val="163A5F"/>
        </w:rPr>
        <w:t xml:space="preserve"> dominates either alone on a broad long‑only ETF cross‑section.</w:t>
      </w:r>
    </w:p>
    <w:p w14:paraId="1A655258" w14:textId="6D7E58AB" w:rsidR="00480A68" w:rsidRDefault="00000000">
      <w:pPr>
        <w:spacing w:before="160" w:after="60"/>
      </w:pPr>
      <w:r>
        <w:rPr>
          <w:b/>
          <w:color w:val="163A5F"/>
          <w:sz w:val="25"/>
        </w:rPr>
        <w:t xml:space="preserve">3.1 Relation to the closest prior </w:t>
      </w:r>
      <w:r w:rsidR="00C6678F">
        <w:rPr>
          <w:b/>
          <w:color w:val="163A5F"/>
          <w:sz w:val="25"/>
        </w:rPr>
        <w:t>work</w:t>
      </w:r>
    </w:p>
    <w:tbl>
      <w:tblPr>
        <w:tblStyle w:val="PlainTable2"/>
        <w:tblW w:w="0" w:type="auto"/>
        <w:tblLook w:val="04A0" w:firstRow="1" w:lastRow="0" w:firstColumn="1" w:lastColumn="0" w:noHBand="0" w:noVBand="1"/>
      </w:tblPr>
      <w:tblGrid>
        <w:gridCol w:w="3120"/>
        <w:gridCol w:w="3120"/>
        <w:gridCol w:w="3120"/>
      </w:tblGrid>
      <w:tr w:rsidR="00480A68" w14:paraId="21C088CE" w14:textId="77777777" w:rsidTr="00B32C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C14BCF5" w14:textId="77777777" w:rsidR="00480A68" w:rsidRPr="00B32C69" w:rsidRDefault="00000000">
            <w:r w:rsidRPr="00B32C69">
              <w:rPr>
                <w:sz w:val="19"/>
              </w:rPr>
              <w:t>Prior work</w:t>
            </w:r>
          </w:p>
        </w:tc>
        <w:tc>
          <w:tcPr>
            <w:tcW w:w="3120" w:type="dxa"/>
          </w:tcPr>
          <w:p w14:paraId="02A1C552" w14:textId="77777777" w:rsidR="00480A68" w:rsidRPr="00B32C69" w:rsidRDefault="00000000">
            <w:pPr>
              <w:cnfStyle w:val="100000000000" w:firstRow="1" w:lastRow="0" w:firstColumn="0" w:lastColumn="0" w:oddVBand="0" w:evenVBand="0" w:oddHBand="0" w:evenHBand="0" w:firstRowFirstColumn="0" w:firstRowLastColumn="0" w:lastRowFirstColumn="0" w:lastRowLastColumn="0"/>
            </w:pPr>
            <w:r w:rsidRPr="00B32C69">
              <w:rPr>
                <w:sz w:val="19"/>
              </w:rPr>
              <w:t>What it establishes</w:t>
            </w:r>
          </w:p>
        </w:tc>
        <w:tc>
          <w:tcPr>
            <w:tcW w:w="3120" w:type="dxa"/>
          </w:tcPr>
          <w:p w14:paraId="131B84C1" w14:textId="5FBD053C" w:rsidR="00480A68" w:rsidRPr="00B32C69" w:rsidRDefault="00FA6540">
            <w:pPr>
              <w:cnfStyle w:val="100000000000" w:firstRow="1" w:lastRow="0" w:firstColumn="0" w:lastColumn="0" w:oddVBand="0" w:evenVBand="0" w:oddHBand="0" w:evenHBand="0" w:firstRowFirstColumn="0" w:firstRowLastColumn="0" w:lastRowFirstColumn="0" w:lastRowLastColumn="0"/>
            </w:pPr>
            <w:r w:rsidRPr="00B32C69">
              <w:rPr>
                <w:b w:val="0"/>
                <w:sz w:val="19"/>
              </w:rPr>
              <w:t>Significance for this study</w:t>
            </w:r>
          </w:p>
        </w:tc>
      </w:tr>
      <w:tr w:rsidR="00480A68" w14:paraId="4A599717" w14:textId="77777777" w:rsidTr="00B32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24D0327" w14:textId="456CA58A" w:rsidR="00480A68" w:rsidRPr="002309CF" w:rsidRDefault="00000000">
            <w:pPr>
              <w:rPr>
                <w:bCs w:val="0"/>
              </w:rPr>
            </w:pPr>
            <w:r w:rsidRPr="002309CF">
              <w:rPr>
                <w:bCs w:val="0"/>
                <w:color w:val="222830"/>
                <w:sz w:val="18"/>
              </w:rPr>
              <w:t xml:space="preserve">De </w:t>
            </w:r>
            <w:proofErr w:type="spellStart"/>
            <w:r w:rsidRPr="002309CF">
              <w:rPr>
                <w:bCs w:val="0"/>
                <w:color w:val="222830"/>
                <w:sz w:val="18"/>
              </w:rPr>
              <w:t>Nicolò</w:t>
            </w:r>
            <w:proofErr w:type="spellEnd"/>
            <w:r w:rsidRPr="002309CF">
              <w:rPr>
                <w:bCs w:val="0"/>
                <w:color w:val="222830"/>
                <w:sz w:val="18"/>
              </w:rPr>
              <w:t xml:space="preserve"> (2023) </w:t>
            </w:r>
            <w:r w:rsidR="00FA6540" w:rsidRPr="002309CF">
              <w:rPr>
                <w:bCs w:val="0"/>
                <w:color w:val="222830"/>
                <w:sz w:val="18"/>
              </w:rPr>
              <w:t>-</w:t>
            </w:r>
            <w:r w:rsidRPr="002309CF">
              <w:rPr>
                <w:bCs w:val="0"/>
                <w:color w:val="222830"/>
                <w:sz w:val="18"/>
              </w:rPr>
              <w:t xml:space="preserve"> Tail</w:t>
            </w:r>
            <w:r w:rsidRPr="002309CF">
              <w:rPr>
                <w:rFonts w:ascii="Cambria Math" w:hAnsi="Cambria Math" w:cs="Cambria Math"/>
                <w:bCs w:val="0"/>
                <w:color w:val="222830"/>
                <w:sz w:val="18"/>
              </w:rPr>
              <w:t>‑</w:t>
            </w:r>
            <w:r w:rsidRPr="002309CF">
              <w:rPr>
                <w:bCs w:val="0"/>
                <w:color w:val="222830"/>
                <w:sz w:val="18"/>
              </w:rPr>
              <w:t>Risk</w:t>
            </w:r>
            <w:r w:rsidRPr="002309CF">
              <w:rPr>
                <w:rFonts w:ascii="Cambria Math" w:hAnsi="Cambria Math" w:cs="Cambria Math"/>
                <w:bCs w:val="0"/>
                <w:color w:val="222830"/>
                <w:sz w:val="18"/>
              </w:rPr>
              <w:t>‑</w:t>
            </w:r>
            <w:r w:rsidRPr="002309CF">
              <w:rPr>
                <w:bCs w:val="0"/>
                <w:color w:val="222830"/>
                <w:sz w:val="18"/>
              </w:rPr>
              <w:t>Managed Portfolios</w:t>
            </w:r>
          </w:p>
        </w:tc>
        <w:tc>
          <w:tcPr>
            <w:tcW w:w="3120" w:type="dxa"/>
          </w:tcPr>
          <w:p w14:paraId="0F7ED17A" w14:textId="77777777" w:rsidR="00480A68" w:rsidRPr="002309CF" w:rsidRDefault="00000000">
            <w:pPr>
              <w:cnfStyle w:val="000000100000" w:firstRow="0" w:lastRow="0" w:firstColumn="0" w:lastColumn="0" w:oddVBand="0" w:evenVBand="0" w:oddHBand="1" w:evenHBand="0" w:firstRowFirstColumn="0" w:firstRowLastColumn="0" w:lastRowFirstColumn="0" w:lastRowLastColumn="0"/>
              <w:rPr>
                <w:bCs/>
              </w:rPr>
            </w:pPr>
            <w:r w:rsidRPr="002309CF">
              <w:rPr>
                <w:bCs/>
                <w:color w:val="222830"/>
                <w:sz w:val="18"/>
              </w:rPr>
              <w:t>Forward, options</w:t>
            </w:r>
            <w:r w:rsidRPr="002309CF">
              <w:rPr>
                <w:rFonts w:ascii="Cambria Math" w:hAnsi="Cambria Math" w:cs="Cambria Math"/>
                <w:bCs/>
                <w:color w:val="222830"/>
                <w:sz w:val="18"/>
              </w:rPr>
              <w:t>‑</w:t>
            </w:r>
            <w:r w:rsidRPr="002309CF">
              <w:rPr>
                <w:bCs/>
                <w:color w:val="222830"/>
                <w:sz w:val="18"/>
              </w:rPr>
              <w:t>free tail timer (Logit VaR</w:t>
            </w:r>
            <w:r w:rsidRPr="002309CF">
              <w:rPr>
                <w:rFonts w:ascii="Cambria Math" w:hAnsi="Cambria Math" w:cs="Cambria Math"/>
                <w:bCs/>
                <w:color w:val="222830"/>
                <w:sz w:val="18"/>
              </w:rPr>
              <w:t>‑</w:t>
            </w:r>
            <w:r w:rsidRPr="002309CF">
              <w:rPr>
                <w:bCs/>
                <w:color w:val="222830"/>
                <w:sz w:val="18"/>
              </w:rPr>
              <w:t>violation), beats Moreira</w:t>
            </w:r>
            <w:r w:rsidRPr="002309CF">
              <w:rPr>
                <w:rFonts w:cs="Calibri"/>
                <w:bCs/>
                <w:color w:val="222830"/>
                <w:sz w:val="18"/>
              </w:rPr>
              <w:t>–</w:t>
            </w:r>
            <w:r w:rsidRPr="002309CF">
              <w:rPr>
                <w:bCs/>
                <w:color w:val="222830"/>
                <w:sz w:val="18"/>
              </w:rPr>
              <w:t>Muir on factors</w:t>
            </w:r>
          </w:p>
        </w:tc>
        <w:tc>
          <w:tcPr>
            <w:tcW w:w="3120" w:type="dxa"/>
          </w:tcPr>
          <w:p w14:paraId="0F36F4CA" w14:textId="77777777" w:rsidR="00480A68" w:rsidRPr="002309CF" w:rsidRDefault="00000000">
            <w:pPr>
              <w:cnfStyle w:val="000000100000" w:firstRow="0" w:lastRow="0" w:firstColumn="0" w:lastColumn="0" w:oddVBand="0" w:evenVBand="0" w:oddHBand="1" w:evenHBand="0" w:firstRowFirstColumn="0" w:firstRowLastColumn="0" w:lastRowFirstColumn="0" w:lastRowLastColumn="0"/>
              <w:rPr>
                <w:bCs/>
              </w:rPr>
            </w:pPr>
            <w:r w:rsidRPr="002309CF">
              <w:rPr>
                <w:bCs/>
                <w:color w:val="222830"/>
                <w:sz w:val="18"/>
              </w:rPr>
              <w:t>Frequentist Logit vs Bayesian posterior</w:t>
            </w:r>
            <w:r w:rsidRPr="002309CF">
              <w:rPr>
                <w:rFonts w:ascii="Cambria Math" w:hAnsi="Cambria Math" w:cs="Cambria Math"/>
                <w:bCs/>
                <w:color w:val="222830"/>
                <w:sz w:val="18"/>
              </w:rPr>
              <w:t>‑</w:t>
            </w:r>
            <w:r w:rsidRPr="002309CF">
              <w:rPr>
                <w:bCs/>
                <w:color w:val="222830"/>
                <w:sz w:val="18"/>
              </w:rPr>
              <w:t>predictive; factor exposures vs long</w:t>
            </w:r>
            <w:r w:rsidRPr="002309CF">
              <w:rPr>
                <w:rFonts w:ascii="Cambria Math" w:hAnsi="Cambria Math" w:cs="Cambria Math"/>
                <w:bCs/>
                <w:color w:val="222830"/>
                <w:sz w:val="18"/>
              </w:rPr>
              <w:t>‑</w:t>
            </w:r>
            <w:r w:rsidRPr="002309CF">
              <w:rPr>
                <w:bCs/>
                <w:color w:val="222830"/>
                <w:sz w:val="18"/>
              </w:rPr>
              <w:t>only ETF book; vol</w:t>
            </w:r>
            <w:r w:rsidRPr="002309CF">
              <w:rPr>
                <w:rFonts w:ascii="Cambria Math" w:hAnsi="Cambria Math" w:cs="Cambria Math"/>
                <w:bCs/>
                <w:color w:val="222830"/>
                <w:sz w:val="18"/>
              </w:rPr>
              <w:t>‑</w:t>
            </w:r>
            <w:r w:rsidRPr="002309CF">
              <w:rPr>
                <w:bCs/>
                <w:color w:val="222830"/>
                <w:sz w:val="18"/>
              </w:rPr>
              <w:t>management competed, not combined</w:t>
            </w:r>
          </w:p>
        </w:tc>
      </w:tr>
      <w:tr w:rsidR="00480A68" w14:paraId="0CB91AE6" w14:textId="77777777" w:rsidTr="00B32C69">
        <w:tc>
          <w:tcPr>
            <w:cnfStyle w:val="001000000000" w:firstRow="0" w:lastRow="0" w:firstColumn="1" w:lastColumn="0" w:oddVBand="0" w:evenVBand="0" w:oddHBand="0" w:evenHBand="0" w:firstRowFirstColumn="0" w:firstRowLastColumn="0" w:lastRowFirstColumn="0" w:lastRowLastColumn="0"/>
            <w:tcW w:w="3120" w:type="dxa"/>
          </w:tcPr>
          <w:p w14:paraId="6A061F8D" w14:textId="4593E297" w:rsidR="00480A68" w:rsidRPr="002309CF" w:rsidRDefault="00000000">
            <w:pPr>
              <w:rPr>
                <w:bCs w:val="0"/>
              </w:rPr>
            </w:pPr>
            <w:r w:rsidRPr="002309CF">
              <w:rPr>
                <w:bCs w:val="0"/>
                <w:color w:val="222830"/>
                <w:sz w:val="18"/>
              </w:rPr>
              <w:t xml:space="preserve">Rickenberg (2020) </w:t>
            </w:r>
            <w:r w:rsidR="00FA6540" w:rsidRPr="002309CF">
              <w:rPr>
                <w:bCs w:val="0"/>
                <w:color w:val="222830"/>
                <w:sz w:val="18"/>
              </w:rPr>
              <w:t>-</w:t>
            </w:r>
            <w:r w:rsidRPr="002309CF">
              <w:rPr>
                <w:bCs w:val="0"/>
                <w:color w:val="222830"/>
                <w:sz w:val="18"/>
              </w:rPr>
              <w:t xml:space="preserve"> Target </w:t>
            </w:r>
            <w:proofErr w:type="spellStart"/>
            <w:r w:rsidRPr="002309CF">
              <w:rPr>
                <w:bCs w:val="0"/>
                <w:color w:val="222830"/>
                <w:sz w:val="18"/>
              </w:rPr>
              <w:t>VaR</w:t>
            </w:r>
            <w:proofErr w:type="spellEnd"/>
            <w:r w:rsidRPr="002309CF">
              <w:rPr>
                <w:bCs w:val="0"/>
                <w:color w:val="222830"/>
                <w:sz w:val="18"/>
              </w:rPr>
              <w:t>/CVaR</w:t>
            </w:r>
          </w:p>
        </w:tc>
        <w:tc>
          <w:tcPr>
            <w:tcW w:w="3120" w:type="dxa"/>
          </w:tcPr>
          <w:p w14:paraId="07F54808" w14:textId="77777777" w:rsidR="00480A68" w:rsidRPr="002309CF" w:rsidRDefault="00000000">
            <w:pPr>
              <w:cnfStyle w:val="000000000000" w:firstRow="0" w:lastRow="0" w:firstColumn="0" w:lastColumn="0" w:oddVBand="0" w:evenVBand="0" w:oddHBand="0" w:evenHBand="0" w:firstRowFirstColumn="0" w:firstRowLastColumn="0" w:lastRowFirstColumn="0" w:lastRowLastColumn="0"/>
              <w:rPr>
                <w:bCs/>
              </w:rPr>
            </w:pPr>
            <w:r w:rsidRPr="002309CF">
              <w:rPr>
                <w:bCs/>
                <w:color w:val="222830"/>
                <w:sz w:val="18"/>
              </w:rPr>
              <w:t>CVaR targeting &gt; vol targeting; regime switch between them</w:t>
            </w:r>
          </w:p>
        </w:tc>
        <w:tc>
          <w:tcPr>
            <w:tcW w:w="3120" w:type="dxa"/>
          </w:tcPr>
          <w:p w14:paraId="67D90C48" w14:textId="77777777" w:rsidR="00480A68" w:rsidRPr="002309CF" w:rsidRDefault="00000000">
            <w:pPr>
              <w:cnfStyle w:val="000000000000" w:firstRow="0" w:lastRow="0" w:firstColumn="0" w:lastColumn="0" w:oddVBand="0" w:evenVBand="0" w:oddHBand="0" w:evenHBand="0" w:firstRowFirstColumn="0" w:firstRowLastColumn="0" w:lastRowFirstColumn="0" w:lastRowLastColumn="0"/>
              <w:rPr>
                <w:bCs/>
              </w:rPr>
            </w:pPr>
            <w:r w:rsidRPr="002309CF">
              <w:rPr>
                <w:bCs/>
                <w:color w:val="222830"/>
                <w:sz w:val="18"/>
              </w:rPr>
              <w:t>EVT single asset vs multi</w:t>
            </w:r>
            <w:r w:rsidRPr="002309CF">
              <w:rPr>
                <w:rFonts w:ascii="Cambria Math" w:hAnsi="Cambria Math" w:cs="Cambria Math"/>
                <w:bCs/>
                <w:color w:val="222830"/>
                <w:sz w:val="18"/>
              </w:rPr>
              <w:t>‑</w:t>
            </w:r>
            <w:r w:rsidRPr="002309CF">
              <w:rPr>
                <w:bCs/>
                <w:color w:val="222830"/>
                <w:sz w:val="18"/>
              </w:rPr>
              <w:t>asset posterior</w:t>
            </w:r>
            <w:r w:rsidRPr="002309CF">
              <w:rPr>
                <w:rFonts w:ascii="Cambria Math" w:hAnsi="Cambria Math" w:cs="Cambria Math"/>
                <w:bCs/>
                <w:color w:val="222830"/>
                <w:sz w:val="18"/>
              </w:rPr>
              <w:t>‑</w:t>
            </w:r>
            <w:r w:rsidRPr="002309CF">
              <w:rPr>
                <w:bCs/>
                <w:color w:val="222830"/>
                <w:sz w:val="18"/>
              </w:rPr>
              <w:t>predictive; regime switch vs multiplicative product of de</w:t>
            </w:r>
            <w:r w:rsidRPr="002309CF">
              <w:rPr>
                <w:rFonts w:ascii="Cambria Math" w:hAnsi="Cambria Math" w:cs="Cambria Math"/>
                <w:bCs/>
                <w:color w:val="222830"/>
                <w:sz w:val="18"/>
              </w:rPr>
              <w:t>‑</w:t>
            </w:r>
            <w:r w:rsidRPr="002309CF">
              <w:rPr>
                <w:bCs/>
                <w:color w:val="222830"/>
                <w:sz w:val="18"/>
              </w:rPr>
              <w:t>risk fractions</w:t>
            </w:r>
          </w:p>
        </w:tc>
      </w:tr>
      <w:tr w:rsidR="00480A68" w14:paraId="254AEC5A" w14:textId="77777777" w:rsidTr="00B32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4499CE2" w14:textId="77777777" w:rsidR="00480A68" w:rsidRPr="002309CF" w:rsidRDefault="00000000">
            <w:pPr>
              <w:rPr>
                <w:bCs w:val="0"/>
              </w:rPr>
            </w:pPr>
            <w:r w:rsidRPr="002309CF">
              <w:rPr>
                <w:bCs w:val="0"/>
                <w:color w:val="222830"/>
                <w:sz w:val="18"/>
              </w:rPr>
              <w:t>Happersberger et al. (2020)</w:t>
            </w:r>
          </w:p>
        </w:tc>
        <w:tc>
          <w:tcPr>
            <w:tcW w:w="3120" w:type="dxa"/>
          </w:tcPr>
          <w:p w14:paraId="07144DD7" w14:textId="77777777" w:rsidR="00480A68" w:rsidRPr="002309CF" w:rsidRDefault="00000000">
            <w:pPr>
              <w:cnfStyle w:val="000000100000" w:firstRow="0" w:lastRow="0" w:firstColumn="0" w:lastColumn="0" w:oddVBand="0" w:evenVBand="0" w:oddHBand="1" w:evenHBand="0" w:firstRowFirstColumn="0" w:firstRowLastColumn="0" w:lastRowFirstColumn="0" w:lastRowLastColumn="0"/>
              <w:rPr>
                <w:bCs/>
              </w:rPr>
            </w:pPr>
            <w:r w:rsidRPr="002309CF">
              <w:rPr>
                <w:bCs/>
                <w:color w:val="222830"/>
                <w:sz w:val="18"/>
              </w:rPr>
              <w:t>Combining ES forecasts dominates standalone</w:t>
            </w:r>
          </w:p>
        </w:tc>
        <w:tc>
          <w:tcPr>
            <w:tcW w:w="3120" w:type="dxa"/>
          </w:tcPr>
          <w:p w14:paraId="30FAEC60" w14:textId="77777777" w:rsidR="00480A68" w:rsidRPr="002309CF" w:rsidRDefault="00000000">
            <w:pPr>
              <w:cnfStyle w:val="000000100000" w:firstRow="0" w:lastRow="0" w:firstColumn="0" w:lastColumn="0" w:oddVBand="0" w:evenVBand="0" w:oddHBand="1" w:evenHBand="0" w:firstRowFirstColumn="0" w:firstRowLastColumn="0" w:lastRowFirstColumn="0" w:lastRowLastColumn="0"/>
              <w:rPr>
                <w:bCs/>
              </w:rPr>
            </w:pPr>
            <w:r w:rsidRPr="002309CF">
              <w:rPr>
                <w:bCs/>
                <w:color w:val="222830"/>
                <w:sz w:val="18"/>
              </w:rPr>
              <w:t xml:space="preserve">Combines </w:t>
            </w:r>
            <w:r w:rsidRPr="002309CF">
              <w:rPr>
                <w:bCs/>
                <w:i/>
                <w:color w:val="222830"/>
                <w:sz w:val="18"/>
              </w:rPr>
              <w:t>risk forecasts</w:t>
            </w:r>
            <w:r w:rsidRPr="002309CF">
              <w:rPr>
                <w:bCs/>
                <w:color w:val="222830"/>
                <w:sz w:val="18"/>
              </w:rPr>
              <w:t>; we combine a forward tail timer with a backward vol timer (two exposure scalers of different provenance)</w:t>
            </w:r>
          </w:p>
        </w:tc>
      </w:tr>
      <w:tr w:rsidR="00480A68" w14:paraId="11502D38" w14:textId="77777777" w:rsidTr="00B32C69">
        <w:tc>
          <w:tcPr>
            <w:cnfStyle w:val="001000000000" w:firstRow="0" w:lastRow="0" w:firstColumn="1" w:lastColumn="0" w:oddVBand="0" w:evenVBand="0" w:oddHBand="0" w:evenHBand="0" w:firstRowFirstColumn="0" w:firstRowLastColumn="0" w:lastRowFirstColumn="0" w:lastRowLastColumn="0"/>
            <w:tcW w:w="3120" w:type="dxa"/>
          </w:tcPr>
          <w:p w14:paraId="465A0B7E" w14:textId="77777777" w:rsidR="00480A68" w:rsidRPr="002309CF" w:rsidRDefault="00000000">
            <w:pPr>
              <w:rPr>
                <w:bCs w:val="0"/>
              </w:rPr>
            </w:pPr>
            <w:r w:rsidRPr="002309CF">
              <w:rPr>
                <w:bCs w:val="0"/>
                <w:color w:val="222830"/>
                <w:sz w:val="18"/>
              </w:rPr>
              <w:t>Bodnar et al. (2022)</w:t>
            </w:r>
          </w:p>
        </w:tc>
        <w:tc>
          <w:tcPr>
            <w:tcW w:w="3120" w:type="dxa"/>
          </w:tcPr>
          <w:p w14:paraId="0777AF9A" w14:textId="77777777" w:rsidR="00480A68" w:rsidRPr="002309CF" w:rsidRDefault="00000000">
            <w:pPr>
              <w:cnfStyle w:val="000000000000" w:firstRow="0" w:lastRow="0" w:firstColumn="0" w:lastColumn="0" w:oddVBand="0" w:evenVBand="0" w:oddHBand="0" w:evenHBand="0" w:firstRowFirstColumn="0" w:firstRowLastColumn="0" w:lastRowFirstColumn="0" w:lastRowLastColumn="0"/>
              <w:rPr>
                <w:bCs/>
              </w:rPr>
            </w:pPr>
            <w:r w:rsidRPr="002309CF">
              <w:rPr>
                <w:bCs/>
                <w:color w:val="222830"/>
                <w:sz w:val="18"/>
              </w:rPr>
              <w:t>Posterior</w:t>
            </w:r>
            <w:r w:rsidRPr="002309CF">
              <w:rPr>
                <w:rFonts w:ascii="Cambria Math" w:hAnsi="Cambria Math" w:cs="Cambria Math"/>
                <w:bCs/>
                <w:color w:val="222830"/>
                <w:sz w:val="18"/>
              </w:rPr>
              <w:t>‑</w:t>
            </w:r>
            <w:r w:rsidRPr="002309CF">
              <w:rPr>
                <w:bCs/>
                <w:color w:val="222830"/>
                <w:sz w:val="18"/>
              </w:rPr>
              <w:t>predictive VaR/CVaR allocation</w:t>
            </w:r>
          </w:p>
        </w:tc>
        <w:tc>
          <w:tcPr>
            <w:tcW w:w="3120" w:type="dxa"/>
          </w:tcPr>
          <w:p w14:paraId="15985DB9" w14:textId="77777777" w:rsidR="00480A68" w:rsidRPr="002309CF" w:rsidRDefault="00000000">
            <w:pPr>
              <w:cnfStyle w:val="000000000000" w:firstRow="0" w:lastRow="0" w:firstColumn="0" w:lastColumn="0" w:oddVBand="0" w:evenVBand="0" w:oddHBand="0" w:evenHBand="0" w:firstRowFirstColumn="0" w:firstRowLastColumn="0" w:lastRowFirstColumn="0" w:lastRowLastColumn="0"/>
              <w:rPr>
                <w:bCs/>
              </w:rPr>
            </w:pPr>
            <w:r w:rsidRPr="002309CF">
              <w:rPr>
                <w:bCs/>
                <w:color w:val="222830"/>
                <w:sz w:val="18"/>
              </w:rPr>
              <w:t>Static allocation only; we use posterior</w:t>
            </w:r>
            <w:r w:rsidRPr="002309CF">
              <w:rPr>
                <w:rFonts w:ascii="Cambria Math" w:hAnsi="Cambria Math" w:cs="Cambria Math"/>
                <w:bCs/>
                <w:color w:val="222830"/>
                <w:sz w:val="18"/>
              </w:rPr>
              <w:t>‑</w:t>
            </w:r>
            <w:r w:rsidRPr="002309CF">
              <w:rPr>
                <w:bCs/>
                <w:color w:val="222830"/>
                <w:sz w:val="18"/>
              </w:rPr>
              <w:t>predictive CVaR for dynamic timing</w:t>
            </w:r>
          </w:p>
        </w:tc>
      </w:tr>
      <w:tr w:rsidR="00480A68" w14:paraId="10CA7AF3" w14:textId="77777777" w:rsidTr="00B32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BE37ADC" w14:textId="77777777" w:rsidR="00480A68" w:rsidRPr="002309CF" w:rsidRDefault="00000000">
            <w:pPr>
              <w:rPr>
                <w:bCs w:val="0"/>
              </w:rPr>
            </w:pPr>
            <w:r w:rsidRPr="002309CF">
              <w:rPr>
                <w:bCs w:val="0"/>
                <w:color w:val="222830"/>
                <w:sz w:val="18"/>
              </w:rPr>
              <w:t>Moreira &amp; Muir (2017); Cederburg et al. (2020)</w:t>
            </w:r>
          </w:p>
        </w:tc>
        <w:tc>
          <w:tcPr>
            <w:tcW w:w="3120" w:type="dxa"/>
          </w:tcPr>
          <w:p w14:paraId="70ED28A1" w14:textId="77777777" w:rsidR="00480A68" w:rsidRPr="002309CF" w:rsidRDefault="00000000">
            <w:pPr>
              <w:cnfStyle w:val="000000100000" w:firstRow="0" w:lastRow="0" w:firstColumn="0" w:lastColumn="0" w:oddVBand="0" w:evenVBand="0" w:oddHBand="1" w:evenHBand="0" w:firstRowFirstColumn="0" w:firstRowLastColumn="0" w:lastRowFirstColumn="0" w:lastRowLastColumn="0"/>
              <w:rPr>
                <w:bCs/>
              </w:rPr>
            </w:pPr>
            <w:r w:rsidRPr="002309CF">
              <w:rPr>
                <w:bCs/>
                <w:color w:val="222830"/>
                <w:sz w:val="18"/>
              </w:rPr>
              <w:t>Realized</w:t>
            </w:r>
            <w:r w:rsidRPr="002309CF">
              <w:rPr>
                <w:rFonts w:ascii="Cambria Math" w:hAnsi="Cambria Math" w:cs="Cambria Math"/>
                <w:bCs/>
                <w:color w:val="222830"/>
                <w:sz w:val="18"/>
              </w:rPr>
              <w:t>‑</w:t>
            </w:r>
            <w:r w:rsidRPr="002309CF">
              <w:rPr>
                <w:bCs/>
                <w:color w:val="222830"/>
                <w:sz w:val="18"/>
              </w:rPr>
              <w:t>vol timing; OOS fragility</w:t>
            </w:r>
          </w:p>
        </w:tc>
        <w:tc>
          <w:tcPr>
            <w:tcW w:w="3120" w:type="dxa"/>
          </w:tcPr>
          <w:p w14:paraId="553C991B" w14:textId="77777777" w:rsidR="00480A68" w:rsidRPr="002309CF" w:rsidRDefault="00000000">
            <w:pPr>
              <w:cnfStyle w:val="000000100000" w:firstRow="0" w:lastRow="0" w:firstColumn="0" w:lastColumn="0" w:oddVBand="0" w:evenVBand="0" w:oddHBand="1" w:evenHBand="0" w:firstRowFirstColumn="0" w:firstRowLastColumn="0" w:lastRowFirstColumn="0" w:lastRowLastColumn="0"/>
              <w:rPr>
                <w:bCs/>
              </w:rPr>
            </w:pPr>
            <w:r w:rsidRPr="002309CF">
              <w:rPr>
                <w:bCs/>
                <w:color w:val="222830"/>
                <w:sz w:val="18"/>
              </w:rPr>
              <w:t>We add a forward, complementary signal and test the combination</w:t>
            </w:r>
          </w:p>
        </w:tc>
      </w:tr>
    </w:tbl>
    <w:p w14:paraId="42DB8376" w14:textId="77777777" w:rsidR="00480A68" w:rsidRDefault="00480A68"/>
    <w:p w14:paraId="7A4F0EC5" w14:textId="717EB106" w:rsidR="00480A68" w:rsidRDefault="00000000">
      <w:pPr>
        <w:spacing w:after="120"/>
      </w:pPr>
      <w:r>
        <w:rPr>
          <w:color w:val="222830"/>
        </w:rPr>
        <w:t xml:space="preserve">We therefore re‑state model‑consistency as a </w:t>
      </w:r>
      <w:r w:rsidRPr="00FA6540">
        <w:rPr>
          <w:bCs/>
          <w:color w:val="222830"/>
        </w:rPr>
        <w:t>coherent design principle (the same posterior‑predictive scenarios define the constraint and the timer), and we rest the empirical contribution on complementarity and combination.</w:t>
      </w:r>
    </w:p>
    <w:p w14:paraId="45F691A7" w14:textId="77777777" w:rsidR="00480A68" w:rsidRDefault="00480A68"/>
    <w:p w14:paraId="1F3E97B3" w14:textId="77777777" w:rsidR="00480A68" w:rsidRDefault="00000000">
      <w:pPr>
        <w:spacing w:before="280" w:after="80"/>
      </w:pPr>
      <w:r>
        <w:rPr>
          <w:b/>
          <w:color w:val="163A5F"/>
          <w:sz w:val="30"/>
        </w:rPr>
        <w:t>4. Research questions and hypotheses</w:t>
      </w:r>
    </w:p>
    <w:p w14:paraId="7DF165B4" w14:textId="77777777" w:rsidR="00626563" w:rsidRPr="00626563" w:rsidRDefault="00000000" w:rsidP="00626563">
      <w:pPr>
        <w:pStyle w:val="ListBullet"/>
        <w:spacing w:after="120"/>
      </w:pPr>
      <w:r w:rsidRPr="00626563">
        <w:rPr>
          <w:b/>
          <w:color w:val="222830"/>
        </w:rPr>
        <w:t>RQ1 (signal validity).</w:t>
      </w:r>
      <w:r w:rsidRPr="00626563">
        <w:rPr>
          <w:color w:val="222830"/>
        </w:rPr>
        <w:t xml:space="preserve"> Is the forward, model</w:t>
      </w:r>
      <w:r w:rsidRPr="00626563">
        <w:rPr>
          <w:rFonts w:ascii="Cambria Math" w:hAnsi="Cambria Math" w:cs="Cambria Math"/>
          <w:color w:val="222830"/>
        </w:rPr>
        <w:t>‑</w:t>
      </w:r>
      <w:r w:rsidRPr="00626563">
        <w:rPr>
          <w:color w:val="222830"/>
        </w:rPr>
        <w:t>implied posterior</w:t>
      </w:r>
      <w:r w:rsidRPr="00626563">
        <w:rPr>
          <w:rFonts w:ascii="Cambria Math" w:hAnsi="Cambria Math" w:cs="Cambria Math"/>
          <w:color w:val="222830"/>
        </w:rPr>
        <w:t>‑</w:t>
      </w:r>
      <w:r w:rsidRPr="00626563">
        <w:rPr>
          <w:color w:val="222830"/>
        </w:rPr>
        <w:t xml:space="preserve">predictive CVaR of the held portfolio a </w:t>
      </w:r>
      <w:r w:rsidRPr="00626563">
        <w:rPr>
          <w:i/>
          <w:color w:val="222830"/>
        </w:rPr>
        <w:t>causal, informative</w:t>
      </w:r>
      <w:r w:rsidRPr="00626563">
        <w:rPr>
          <w:color w:val="222830"/>
        </w:rPr>
        <w:t xml:space="preserve"> predictor of subsequent realized losses?</w:t>
      </w:r>
    </w:p>
    <w:p w14:paraId="76BC23B6" w14:textId="2AB2E75E" w:rsidR="00626563" w:rsidRDefault="00000000" w:rsidP="00626563">
      <w:pPr>
        <w:pStyle w:val="ListBullet"/>
        <w:numPr>
          <w:ilvl w:val="0"/>
          <w:numId w:val="0"/>
        </w:numPr>
        <w:spacing w:after="120"/>
        <w:rPr>
          <w:color w:val="222830"/>
        </w:rPr>
      </w:pPr>
      <w:r w:rsidRPr="00626563">
        <w:rPr>
          <w:i/>
          <w:color w:val="222830"/>
        </w:rPr>
        <w:t>H1:</w:t>
      </w:r>
      <w:r w:rsidRPr="00626563">
        <w:rPr>
          <w:color w:val="222830"/>
        </w:rPr>
        <w:t xml:space="preserve"> CVaR_model,t is positively associated with next</w:t>
      </w:r>
      <w:r w:rsidRPr="00626563">
        <w:rPr>
          <w:rFonts w:ascii="Cambria Math" w:hAnsi="Cambria Math" w:cs="Cambria Math"/>
          <w:color w:val="222830"/>
        </w:rPr>
        <w:t>‑</w:t>
      </w:r>
      <w:r w:rsidRPr="00626563">
        <w:rPr>
          <w:color w:val="222830"/>
        </w:rPr>
        <w:t>period realized loss.</w:t>
      </w:r>
    </w:p>
    <w:p w14:paraId="64FF8A08" w14:textId="77777777" w:rsidR="00626563" w:rsidRPr="00626563" w:rsidRDefault="00626563" w:rsidP="00626563">
      <w:pPr>
        <w:pStyle w:val="ListBullet"/>
        <w:numPr>
          <w:ilvl w:val="0"/>
          <w:numId w:val="0"/>
        </w:numPr>
        <w:spacing w:after="120"/>
        <w:rPr>
          <w:color w:val="222830"/>
        </w:rPr>
      </w:pPr>
    </w:p>
    <w:p w14:paraId="254411AE" w14:textId="77777777" w:rsidR="00626563" w:rsidRPr="00626563" w:rsidRDefault="00000000" w:rsidP="00626563">
      <w:pPr>
        <w:pStyle w:val="ListBullet"/>
        <w:spacing w:after="120"/>
      </w:pPr>
      <w:r w:rsidRPr="00626563">
        <w:rPr>
          <w:b/>
          <w:color w:val="222830"/>
        </w:rPr>
        <w:t xml:space="preserve">RQ2 (the core </w:t>
      </w:r>
      <w:r w:rsidR="00626563" w:rsidRPr="00626563">
        <w:rPr>
          <w:b/>
          <w:color w:val="222830"/>
        </w:rPr>
        <w:t>-</w:t>
      </w:r>
      <w:r w:rsidRPr="00626563">
        <w:rPr>
          <w:b/>
          <w:color w:val="222830"/>
        </w:rPr>
        <w:t xml:space="preserve"> complementarity).</w:t>
      </w:r>
      <w:r w:rsidRPr="00626563">
        <w:rPr>
          <w:color w:val="222830"/>
        </w:rPr>
        <w:t xml:space="preserve"> Is the forward tail timer </w:t>
      </w:r>
      <w:r w:rsidRPr="00626563">
        <w:rPr>
          <w:b/>
          <w:color w:val="222830"/>
        </w:rPr>
        <w:t>complementary</w:t>
      </w:r>
      <w:r w:rsidRPr="00626563">
        <w:rPr>
          <w:color w:val="222830"/>
        </w:rPr>
        <w:t xml:space="preserve"> to backward  realized</w:t>
      </w:r>
      <w:r w:rsidRPr="00626563">
        <w:rPr>
          <w:rFonts w:ascii="Cambria Math" w:hAnsi="Cambria Math" w:cs="Cambria Math"/>
          <w:color w:val="222830"/>
        </w:rPr>
        <w:t>‑</w:t>
      </w:r>
      <w:r w:rsidRPr="00626563">
        <w:rPr>
          <w:color w:val="222830"/>
        </w:rPr>
        <w:t>volatility timing, and does each, alone, improve risk</w:t>
      </w:r>
      <w:r w:rsidRPr="00626563">
        <w:rPr>
          <w:rFonts w:ascii="Cambria Math" w:hAnsi="Cambria Math" w:cs="Cambria Math"/>
          <w:color w:val="222830"/>
        </w:rPr>
        <w:t>‑</w:t>
      </w:r>
      <w:r w:rsidRPr="00626563">
        <w:rPr>
          <w:color w:val="222830"/>
        </w:rPr>
        <w:t xml:space="preserve">adjusted performance over the unmanaged   book? </w:t>
      </w:r>
    </w:p>
    <w:p w14:paraId="6EF4FB93" w14:textId="77777777" w:rsidR="00626563" w:rsidRDefault="00000000" w:rsidP="00626563">
      <w:pPr>
        <w:pStyle w:val="ListBullet"/>
        <w:numPr>
          <w:ilvl w:val="0"/>
          <w:numId w:val="0"/>
        </w:numPr>
        <w:spacing w:after="120"/>
        <w:rPr>
          <w:color w:val="222830"/>
        </w:rPr>
      </w:pPr>
      <w:r w:rsidRPr="00626563">
        <w:rPr>
          <w:i/>
          <w:color w:val="222830"/>
        </w:rPr>
        <w:t>H2a:</w:t>
      </w:r>
      <w:r w:rsidRPr="00626563">
        <w:rPr>
          <w:color w:val="222830"/>
        </w:rPr>
        <w:t xml:space="preserve"> each overlay raises risk</w:t>
      </w:r>
      <w:r w:rsidRPr="00626563">
        <w:rPr>
          <w:rFonts w:ascii="Cambria Math" w:hAnsi="Cambria Math" w:cs="Cambria Math"/>
          <w:color w:val="222830"/>
        </w:rPr>
        <w:t>‑</w:t>
      </w:r>
      <w:r w:rsidRPr="00626563">
        <w:rPr>
          <w:color w:val="222830"/>
        </w:rPr>
        <w:t xml:space="preserve">adjusted performance; </w:t>
      </w:r>
    </w:p>
    <w:p w14:paraId="09258C0D" w14:textId="77777777" w:rsidR="00626563" w:rsidRDefault="00000000" w:rsidP="00626563">
      <w:pPr>
        <w:pStyle w:val="ListBullet"/>
        <w:numPr>
          <w:ilvl w:val="0"/>
          <w:numId w:val="0"/>
        </w:numPr>
        <w:spacing w:after="120"/>
        <w:rPr>
          <w:color w:val="222830"/>
        </w:rPr>
      </w:pPr>
      <w:r w:rsidRPr="00626563">
        <w:rPr>
          <w:i/>
          <w:color w:val="222830"/>
        </w:rPr>
        <w:t>H2b:</w:t>
      </w:r>
      <w:r w:rsidRPr="00626563">
        <w:rPr>
          <w:color w:val="222830"/>
        </w:rPr>
        <w:t xml:space="preserve"> the two implied exposure paths are weakly correlated (distinct information); </w:t>
      </w:r>
    </w:p>
    <w:p w14:paraId="74078E03" w14:textId="2688D517" w:rsidR="00480A68" w:rsidRDefault="00000000" w:rsidP="00626563">
      <w:pPr>
        <w:pStyle w:val="ListBullet"/>
        <w:numPr>
          <w:ilvl w:val="0"/>
          <w:numId w:val="0"/>
        </w:numPr>
        <w:spacing w:after="120"/>
        <w:rPr>
          <w:color w:val="222830"/>
        </w:rPr>
      </w:pPr>
      <w:r w:rsidRPr="00626563">
        <w:rPr>
          <w:i/>
          <w:color w:val="222830"/>
        </w:rPr>
        <w:t>H2c:</w:t>
      </w:r>
      <w:r w:rsidRPr="00626563">
        <w:rPr>
          <w:color w:val="222830"/>
        </w:rPr>
        <w:t xml:space="preserve"> the forward signal alone need </w:t>
      </w:r>
      <w:r w:rsidRPr="00626563">
        <w:rPr>
          <w:b/>
          <w:color w:val="222830"/>
        </w:rPr>
        <w:t>not</w:t>
      </w:r>
      <w:r w:rsidRPr="00626563">
        <w:rPr>
          <w:color w:val="222830"/>
        </w:rPr>
        <w:t xml:space="preserve"> beat realized</w:t>
      </w:r>
      <w:r w:rsidR="00626563">
        <w:rPr>
          <w:color w:val="222830"/>
        </w:rPr>
        <w:t xml:space="preserve"> </w:t>
      </w:r>
      <w:r w:rsidRPr="00626563">
        <w:rPr>
          <w:color w:val="222830"/>
        </w:rPr>
        <w:t>vol</w:t>
      </w:r>
    </w:p>
    <w:p w14:paraId="08F31723" w14:textId="77777777" w:rsidR="00626563" w:rsidRDefault="00626563" w:rsidP="00626563">
      <w:pPr>
        <w:pStyle w:val="ListBullet"/>
        <w:numPr>
          <w:ilvl w:val="0"/>
          <w:numId w:val="0"/>
        </w:numPr>
        <w:spacing w:after="120"/>
      </w:pPr>
    </w:p>
    <w:p w14:paraId="5E99C12C" w14:textId="77777777" w:rsidR="00626563" w:rsidRPr="00626563" w:rsidRDefault="00000000" w:rsidP="00626563">
      <w:pPr>
        <w:pStyle w:val="ListBullet"/>
        <w:spacing w:after="120"/>
      </w:pPr>
      <w:r w:rsidRPr="00626563">
        <w:rPr>
          <w:b/>
          <w:color w:val="222830"/>
        </w:rPr>
        <w:t>RQ3 (combination &amp; outperformance).</w:t>
      </w:r>
      <w:r w:rsidRPr="00626563">
        <w:rPr>
          <w:color w:val="222830"/>
        </w:rPr>
        <w:t xml:space="preserve"> Does the </w:t>
      </w:r>
      <w:r w:rsidRPr="00626563">
        <w:rPr>
          <w:b/>
          <w:color w:val="222830"/>
        </w:rPr>
        <w:t>multiplicative combination</w:t>
      </w:r>
      <w:r w:rsidRPr="00626563">
        <w:rPr>
          <w:color w:val="222830"/>
        </w:rPr>
        <w:t xml:space="preserve"> (de</w:t>
      </w:r>
      <w:r w:rsidRPr="00626563">
        <w:rPr>
          <w:rFonts w:ascii="Cambria Math" w:hAnsi="Cambria Math" w:cs="Cambria Math"/>
          <w:color w:val="222830"/>
        </w:rPr>
        <w:t>‑</w:t>
      </w:r>
      <w:r w:rsidRPr="00626563">
        <w:rPr>
          <w:color w:val="222830"/>
        </w:rPr>
        <w:t>risk when either</w:t>
      </w:r>
      <w:r w:rsidR="00626563">
        <w:rPr>
          <w:color w:val="222830"/>
        </w:rPr>
        <w:t xml:space="preserve"> </w:t>
      </w:r>
      <w:r w:rsidRPr="00626563">
        <w:rPr>
          <w:color w:val="222830"/>
        </w:rPr>
        <w:t>flags) dominate (</w:t>
      </w:r>
      <w:proofErr w:type="spellStart"/>
      <w:r w:rsidRPr="00626563">
        <w:rPr>
          <w:color w:val="222830"/>
        </w:rPr>
        <w:t>i</w:t>
      </w:r>
      <w:proofErr w:type="spellEnd"/>
      <w:r w:rsidRPr="00626563">
        <w:rPr>
          <w:color w:val="222830"/>
        </w:rPr>
        <w:t>) each signal alone, (ii) 1/N, and (iii) optimised Markowitz, out of sample?</w:t>
      </w:r>
    </w:p>
    <w:p w14:paraId="0B788F1A" w14:textId="1F2D9405" w:rsidR="00480A68" w:rsidRDefault="00000000" w:rsidP="00626563">
      <w:pPr>
        <w:pStyle w:val="ListBullet"/>
        <w:numPr>
          <w:ilvl w:val="0"/>
          <w:numId w:val="0"/>
        </w:numPr>
        <w:spacing w:after="120"/>
        <w:rPr>
          <w:color w:val="222830"/>
        </w:rPr>
      </w:pPr>
      <w:r w:rsidRPr="00626563">
        <w:rPr>
          <w:i/>
          <w:color w:val="222830"/>
        </w:rPr>
        <w:lastRenderedPageBreak/>
        <w:t>H3:</w:t>
      </w:r>
      <w:r w:rsidRPr="00626563">
        <w:rPr>
          <w:color w:val="222830"/>
        </w:rPr>
        <w:t xml:space="preserve"> the combination attains the highest Sharpe, Sortino, and Calmar and the shallowest drawdown; the   improvement is </w:t>
      </w:r>
      <w:r w:rsidRPr="00626563">
        <w:rPr>
          <w:b/>
          <w:color w:val="222830"/>
        </w:rPr>
        <w:t>statistically significant on drawdown / downside metrics</w:t>
      </w:r>
      <w:r w:rsidRPr="00626563">
        <w:rPr>
          <w:color w:val="222830"/>
        </w:rPr>
        <w:t xml:space="preserve"> and on a Deflated</w:t>
      </w:r>
      <w:r w:rsidRPr="00626563">
        <w:rPr>
          <w:rFonts w:ascii="Cambria Math" w:hAnsi="Cambria Math" w:cs="Cambria Math"/>
          <w:color w:val="222830"/>
        </w:rPr>
        <w:t>‑</w:t>
      </w:r>
      <w:r w:rsidRPr="00626563">
        <w:rPr>
          <w:color w:val="222830"/>
        </w:rPr>
        <w:t xml:space="preserve">Sharpe basis, while the </w:t>
      </w:r>
      <w:r w:rsidRPr="00626563">
        <w:rPr>
          <w:b/>
          <w:color w:val="222830"/>
        </w:rPr>
        <w:t>Sharpe</w:t>
      </w:r>
      <w:r w:rsidRPr="00626563">
        <w:rPr>
          <w:rFonts w:ascii="Cambria Math" w:hAnsi="Cambria Math" w:cs="Cambria Math"/>
          <w:b/>
          <w:color w:val="222830"/>
        </w:rPr>
        <w:t>‑</w:t>
      </w:r>
      <w:r w:rsidRPr="00626563">
        <w:rPr>
          <w:b/>
          <w:color w:val="222830"/>
        </w:rPr>
        <w:t>level</w:t>
      </w:r>
      <w:r w:rsidRPr="00626563">
        <w:rPr>
          <w:color w:val="222830"/>
        </w:rPr>
        <w:t xml:space="preserve"> improvement over the realized</w:t>
      </w:r>
      <w:r w:rsidRPr="00626563">
        <w:rPr>
          <w:rFonts w:ascii="Cambria Math" w:hAnsi="Cambria Math" w:cs="Cambria Math"/>
          <w:color w:val="222830"/>
        </w:rPr>
        <w:t>‑</w:t>
      </w:r>
      <w:r w:rsidRPr="00626563">
        <w:rPr>
          <w:color w:val="222830"/>
        </w:rPr>
        <w:t xml:space="preserve">volatility overlay is positive but, on this short sample, </w:t>
      </w:r>
      <w:r w:rsidRPr="00626563">
        <w:rPr>
          <w:b/>
          <w:color w:val="222830"/>
        </w:rPr>
        <w:t>not</w:t>
      </w:r>
      <w:r w:rsidRPr="00626563">
        <w:rPr>
          <w:color w:val="222830"/>
        </w:rPr>
        <w:t xml:space="preserve"> decisively significant </w:t>
      </w:r>
      <w:r w:rsidR="00626563">
        <w:rPr>
          <w:color w:val="222830"/>
        </w:rPr>
        <w:t>-</w:t>
      </w:r>
      <w:r w:rsidRPr="00626563">
        <w:rPr>
          <w:color w:val="222830"/>
        </w:rPr>
        <w:t xml:space="preserve"> i.e. the combination's edge is primarily one of </w:t>
      </w:r>
      <w:r w:rsidRPr="00626563">
        <w:rPr>
          <w:i/>
          <w:color w:val="222830"/>
        </w:rPr>
        <w:t>downside risk control</w:t>
      </w:r>
      <w:r w:rsidRPr="00626563">
        <w:rPr>
          <w:color w:val="222830"/>
        </w:rPr>
        <w:t>.</w:t>
      </w:r>
    </w:p>
    <w:p w14:paraId="7EC31FC1" w14:textId="77777777" w:rsidR="00626563" w:rsidRDefault="00626563" w:rsidP="00626563">
      <w:pPr>
        <w:pStyle w:val="ListBullet"/>
        <w:numPr>
          <w:ilvl w:val="0"/>
          <w:numId w:val="0"/>
        </w:numPr>
        <w:spacing w:after="120"/>
      </w:pPr>
    </w:p>
    <w:p w14:paraId="2D85C971" w14:textId="77777777" w:rsidR="00626563" w:rsidRPr="00626563" w:rsidRDefault="00000000" w:rsidP="00626563">
      <w:pPr>
        <w:pStyle w:val="ListBullet"/>
      </w:pPr>
      <w:r>
        <w:rPr>
          <w:b/>
          <w:color w:val="222830"/>
        </w:rPr>
        <w:t>RQ4 (decomposition).</w:t>
      </w:r>
      <w:r>
        <w:rPr>
          <w:color w:val="222830"/>
        </w:rPr>
        <w:t xml:space="preserve"> How much of performance is </w:t>
      </w:r>
      <w:r>
        <w:rPr>
          <w:b/>
          <w:color w:val="222830"/>
        </w:rPr>
        <w:t>allocation</w:t>
      </w:r>
      <w:r>
        <w:rPr>
          <w:color w:val="222830"/>
        </w:rPr>
        <w:t xml:space="preserve"> (selection) versus </w:t>
      </w:r>
      <w:r>
        <w:rPr>
          <w:b/>
          <w:color w:val="222830"/>
        </w:rPr>
        <w:t>timing</w:t>
      </w:r>
      <w:r>
        <w:rPr>
          <w:color w:val="222830"/>
        </w:rPr>
        <w:t>?</w:t>
      </w:r>
    </w:p>
    <w:p w14:paraId="19E05B79" w14:textId="3EFDE6A3" w:rsidR="00480A68" w:rsidRDefault="00000000" w:rsidP="00626563">
      <w:pPr>
        <w:pStyle w:val="ListBullet"/>
        <w:numPr>
          <w:ilvl w:val="0"/>
          <w:numId w:val="0"/>
        </w:numPr>
      </w:pPr>
      <w:r w:rsidRPr="00626563">
        <w:rPr>
          <w:i/>
          <w:color w:val="222830"/>
        </w:rPr>
        <w:t>H4:</w:t>
      </w:r>
      <w:r w:rsidRPr="00626563">
        <w:rPr>
          <w:color w:val="222830"/>
        </w:rPr>
        <w:t xml:space="preserve"> the allocator's selection is not reliably distinguishable from 1/N; the incremental performance   is attributable to the risk</w:t>
      </w:r>
      <w:r w:rsidRPr="00626563">
        <w:rPr>
          <w:rFonts w:ascii="Cambria Math" w:hAnsi="Cambria Math" w:cs="Cambria Math"/>
          <w:color w:val="222830"/>
        </w:rPr>
        <w:t>‑</w:t>
      </w:r>
      <w:r w:rsidRPr="00626563">
        <w:rPr>
          <w:color w:val="222830"/>
        </w:rPr>
        <w:t>timing overlay.</w:t>
      </w:r>
    </w:p>
    <w:p w14:paraId="4F21DE37" w14:textId="77777777" w:rsidR="00480A68" w:rsidRDefault="00480A68"/>
    <w:p w14:paraId="6156B2BA" w14:textId="77777777" w:rsidR="00480A68" w:rsidRDefault="00000000">
      <w:pPr>
        <w:spacing w:before="280" w:after="80"/>
      </w:pPr>
      <w:r>
        <w:rPr>
          <w:b/>
          <w:color w:val="163A5F"/>
          <w:sz w:val="30"/>
        </w:rPr>
        <w:t>5. Methodology and research design</w:t>
      </w:r>
    </w:p>
    <w:p w14:paraId="5613861A" w14:textId="009FF64B" w:rsidR="00480A68" w:rsidRDefault="00000000" w:rsidP="00626563">
      <w:pPr>
        <w:spacing w:after="120"/>
        <w:ind w:firstLine="720"/>
      </w:pPr>
      <w:r>
        <w:rPr>
          <w:color w:val="222830"/>
        </w:rPr>
        <w:t xml:space="preserve">Monthly, walk‑forward out‑of‑sample </w:t>
      </w:r>
      <w:proofErr w:type="spellStart"/>
      <w:r>
        <w:rPr>
          <w:color w:val="222830"/>
        </w:rPr>
        <w:t>backtest</w:t>
      </w:r>
      <w:proofErr w:type="spellEnd"/>
      <w:r>
        <w:rPr>
          <w:color w:val="222830"/>
        </w:rPr>
        <w:t xml:space="preserve"> over a liquidity‑screened U.S.‑ETF universe (≈220 names/month), 2019–2025 (83 months), long‑only. </w:t>
      </w:r>
    </w:p>
    <w:p w14:paraId="460C68F0" w14:textId="77777777" w:rsidR="00480A68" w:rsidRDefault="00000000">
      <w:pPr>
        <w:spacing w:before="160" w:after="60"/>
      </w:pPr>
      <w:r>
        <w:rPr>
          <w:b/>
          <w:color w:val="163A5F"/>
          <w:sz w:val="25"/>
        </w:rPr>
        <w:t>5.1 Data and universe</w:t>
      </w:r>
    </w:p>
    <w:p w14:paraId="6522A2B1" w14:textId="77777777" w:rsidR="00480A68" w:rsidRDefault="00000000" w:rsidP="00626563">
      <w:pPr>
        <w:spacing w:after="120"/>
        <w:ind w:firstLine="720"/>
        <w:rPr>
          <w:color w:val="222830"/>
        </w:rPr>
      </w:pPr>
      <w:r w:rsidRPr="00626563">
        <w:rPr>
          <w:color w:val="222830"/>
        </w:rPr>
        <w:t>The study uses daily total‑return series for U.S.‑listed exchange‑traded funds (ETFs), with daily opening/closing prices and share volumes, over 2016–2025; the three‑year burn‑in yields an out‑of‑sample window of 83 months, 2019–2025. Returns are point‑in‑time, the investable universe is re‑screened each month, and the strategy rebalances on the first business day of every month. Over the out‑of‑sample window the screen admits a median of 242 ETFs per month (range 211–254), rising from 211 in early 2019 to ≈240 by 2025 as more funds accumulate sufficient trading history (Figure 1).</w:t>
      </w:r>
    </w:p>
    <w:p w14:paraId="50E332C6" w14:textId="77777777" w:rsidR="00626563" w:rsidRPr="00626563" w:rsidRDefault="00626563" w:rsidP="00626563">
      <w:pPr>
        <w:spacing w:after="120"/>
        <w:ind w:firstLine="720"/>
      </w:pPr>
    </w:p>
    <w:p w14:paraId="7CC84287" w14:textId="77777777" w:rsidR="00480A68" w:rsidRDefault="00000000">
      <w:pPr>
        <w:jc w:val="center"/>
      </w:pPr>
      <w:r>
        <w:rPr>
          <w:noProof/>
        </w:rPr>
        <w:drawing>
          <wp:inline distT="0" distB="0" distL="0" distR="0" wp14:anchorId="60078DF4" wp14:editId="1CDDC19A">
            <wp:extent cx="5669280" cy="23421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universe_eligible_count.png"/>
                    <pic:cNvPicPr/>
                  </pic:nvPicPr>
                  <pic:blipFill>
                    <a:blip r:embed="rId6"/>
                    <a:stretch>
                      <a:fillRect/>
                    </a:stretch>
                  </pic:blipFill>
                  <pic:spPr>
                    <a:xfrm>
                      <a:off x="0" y="0"/>
                      <a:ext cx="5669280" cy="2342188"/>
                    </a:xfrm>
                    <a:prstGeom prst="rect">
                      <a:avLst/>
                    </a:prstGeom>
                  </pic:spPr>
                </pic:pic>
              </a:graphicData>
            </a:graphic>
          </wp:inline>
        </w:drawing>
      </w:r>
    </w:p>
    <w:p w14:paraId="29AD3A44" w14:textId="33B88D7F" w:rsidR="00480A68" w:rsidRDefault="00000000">
      <w:pPr>
        <w:spacing w:after="120"/>
        <w:rPr>
          <w:i/>
          <w:color w:val="222830"/>
        </w:rPr>
      </w:pPr>
      <w:r>
        <w:rPr>
          <w:i/>
          <w:color w:val="222830"/>
        </w:rPr>
        <w:t xml:space="preserve">Figure 1. Number of eligible ETFs per month over the </w:t>
      </w:r>
      <w:proofErr w:type="spellStart"/>
      <w:r>
        <w:rPr>
          <w:i/>
          <w:color w:val="222830"/>
        </w:rPr>
        <w:t>backtest</w:t>
      </w:r>
      <w:proofErr w:type="spellEnd"/>
      <w:r>
        <w:rPr>
          <w:i/>
          <w:color w:val="222830"/>
        </w:rPr>
        <w:t xml:space="preserve"> (liquidity and history</w:t>
      </w:r>
      <w:r w:rsidR="00270D7C" w:rsidRPr="00270D7C">
        <w:rPr>
          <w:i/>
          <w:color w:val="222830"/>
          <w:lang w:val="en-GB"/>
        </w:rPr>
        <w:t xml:space="preserve"> </w:t>
      </w:r>
      <w:r>
        <w:rPr>
          <w:i/>
          <w:color w:val="222830"/>
        </w:rPr>
        <w:t>screened universe).</w:t>
      </w:r>
    </w:p>
    <w:p w14:paraId="54175C37" w14:textId="77777777" w:rsidR="00626563" w:rsidRDefault="00626563">
      <w:pPr>
        <w:spacing w:after="120"/>
      </w:pPr>
    </w:p>
    <w:p w14:paraId="62091864" w14:textId="77777777" w:rsidR="00626563" w:rsidRDefault="00000000">
      <w:pPr>
        <w:spacing w:after="120"/>
        <w:rPr>
          <w:b/>
          <w:color w:val="163A5F"/>
          <w:sz w:val="25"/>
        </w:rPr>
      </w:pPr>
      <w:r w:rsidRPr="00626563">
        <w:rPr>
          <w:b/>
          <w:color w:val="163A5F"/>
          <w:sz w:val="25"/>
        </w:rPr>
        <w:t>Filtering procedure</w:t>
      </w:r>
    </w:p>
    <w:p w14:paraId="40B2212A" w14:textId="1FE8F45F" w:rsidR="00626563" w:rsidRDefault="00000000" w:rsidP="00626563">
      <w:pPr>
        <w:spacing w:after="120"/>
        <w:ind w:firstLine="720"/>
        <w:rPr>
          <w:color w:val="222830"/>
        </w:rPr>
      </w:pPr>
      <w:r>
        <w:rPr>
          <w:color w:val="222830"/>
        </w:rPr>
        <w:t>The eligible universe is built by a causal liquidity</w:t>
      </w:r>
      <w:r w:rsidR="00626563">
        <w:rPr>
          <w:color w:val="222830"/>
        </w:rPr>
        <w:t xml:space="preserve"> </w:t>
      </w:r>
      <w:r>
        <w:rPr>
          <w:color w:val="222830"/>
        </w:rPr>
        <w:t>and</w:t>
      </w:r>
      <w:r w:rsidR="00626563">
        <w:rPr>
          <w:color w:val="222830"/>
        </w:rPr>
        <w:t xml:space="preserve"> </w:t>
      </w:r>
      <w:r>
        <w:rPr>
          <w:color w:val="222830"/>
        </w:rPr>
        <w:t>history screen applied each month. For every ETF a daily dollar‑volume proxy is formed as the mid‑price times share volume</w:t>
      </w:r>
      <w:r w:rsidR="00446A58">
        <w:rPr>
          <w:color w:val="222830"/>
        </w:rPr>
        <w:t>.</w:t>
      </w:r>
    </w:p>
    <w:p w14:paraId="32BE635B" w14:textId="17D35009" w:rsidR="00131A4B" w:rsidRPr="00131A4B" w:rsidRDefault="00131A4B" w:rsidP="00626563">
      <w:pPr>
        <w:spacing w:after="120"/>
        <w:ind w:firstLine="720"/>
        <w:rPr>
          <w:color w:val="222830"/>
        </w:rPr>
      </w:pPr>
    </w:p>
    <w:p w14:paraId="5EA7415A" w14:textId="77777777" w:rsidR="00131A4B" w:rsidRPr="00131A4B" w:rsidRDefault="00131A4B" w:rsidP="00626563">
      <w:pPr>
        <w:spacing w:after="120"/>
        <w:ind w:firstLine="720"/>
        <w:rPr>
          <w:color w:val="222830"/>
        </w:rPr>
      </w:pPr>
    </w:p>
    <w:p w14:paraId="646C16C0" w14:textId="77777777" w:rsidR="00446A58" w:rsidRDefault="00446A58" w:rsidP="00446A58">
      <w:pPr>
        <w:jc w:val="cente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ADV</m:t>
                      </m:r>
                    </m:e>
                  </m:box>
                </m:e>
                <m:sub>
                  <m:r>
                    <w:rPr>
                      <w:rFonts w:ascii="Cambria Math" w:hAnsi="Cambria Math"/>
                    </w:rPr>
                    <m:t>t</m:t>
                  </m:r>
                </m:sub>
              </m:sSub>
              <m:r>
                <m:rPr>
                  <m:sty m:val="p"/>
                </m:rPr>
                <w:rPr>
                  <w:rFonts w:ascii="Cambria Math" w:hAnsi="Cambria Math"/>
                </w:rPr>
                <m:t>=</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sSubSup>
                                    <m:sSubSupPr>
                                      <m:ctrlPr>
                                        <w:rPr>
                                          <w:rFonts w:ascii="Cambria Math" w:hAnsi="Cambria Math"/>
                                        </w:rPr>
                                      </m:ctrlPr>
                                    </m:sSubSupPr>
                                    <m:e>
                                      <m:r>
                                        <w:rPr>
                                          <w:rFonts w:ascii="Cambria Math" w:hAnsi="Cambria Math"/>
                                        </w:rPr>
                                        <m:t>P</m:t>
                                      </m:r>
                                    </m:e>
                                    <m:sub>
                                      <m:r>
                                        <w:rPr>
                                          <w:rFonts w:ascii="Cambria Math" w:hAnsi="Cambria Math"/>
                                        </w:rPr>
                                        <m:t>t</m:t>
                                      </m:r>
                                    </m:sub>
                                    <m:sup>
                                      <m:box>
                                        <m:boxPr>
                                          <m:ctrlPr>
                                            <w:rPr>
                                              <w:rFonts w:ascii="Cambria Math" w:hAnsi="Cambria Math"/>
                                            </w:rPr>
                                          </m:ctrlPr>
                                        </m:boxPr>
                                        <m:e>
                                          <m:box>
                                            <m:boxPr>
                                              <m:ctrlPr>
                                                <w:rPr>
                                                  <w:rFonts w:ascii="Cambria Math" w:hAnsi="Cambria Math"/>
                                                </w:rPr>
                                              </m:ctrlPr>
                                            </m:boxPr>
                                            <m:e>
                                              <m:r>
                                                <m:rPr>
                                                  <m:sty m:val="p"/>
                                                </m:rPr>
                                                <w:rPr>
                                                  <w:rFonts w:ascii="Cambria Math" w:hAnsi="Cambria Math"/>
                                                </w:rPr>
                                                <m:t>open</m:t>
                                              </m:r>
                                            </m:e>
                                          </m:box>
                                        </m:e>
                                      </m:box>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box>
                                        <m:boxPr>
                                          <m:ctrlPr>
                                            <w:rPr>
                                              <w:rFonts w:ascii="Cambria Math" w:hAnsi="Cambria Math"/>
                                            </w:rPr>
                                          </m:ctrlPr>
                                        </m:boxPr>
                                        <m:e>
                                          <m:box>
                                            <m:boxPr>
                                              <m:ctrlPr>
                                                <w:rPr>
                                                  <w:rFonts w:ascii="Cambria Math" w:hAnsi="Cambria Math"/>
                                                </w:rPr>
                                              </m:ctrlPr>
                                            </m:boxPr>
                                            <m:e>
                                              <m:r>
                                                <m:rPr>
                                                  <m:sty m:val="p"/>
                                                </m:rPr>
                                                <w:rPr>
                                                  <w:rFonts w:ascii="Cambria Math" w:hAnsi="Cambria Math"/>
                                                </w:rPr>
                                                <m:t>close</m:t>
                                              </m:r>
                                            </m:e>
                                          </m:box>
                                        </m:e>
                                      </m:box>
                                    </m:sup>
                                  </m:sSubSup>
                                </m:e>
                              </m:box>
                            </m:num>
                            <m:den>
                              <m:box>
                                <m:boxPr>
                                  <m:ctrlPr>
                                    <w:rPr>
                                      <w:rFonts w:ascii="Cambria Math" w:hAnsi="Cambria Math"/>
                                    </w:rPr>
                                  </m:ctrlPr>
                                </m:boxPr>
                                <m:e>
                                  <m:r>
                                    <m:rPr>
                                      <m:sty m:val="p"/>
                                    </m:rPr>
                                    <w:rPr>
                                      <w:rFonts w:ascii="Cambria Math" w:hAnsi="Cambria Math"/>
                                    </w:rPr>
                                    <m:t>2</m:t>
                                  </m:r>
                                </m:e>
                              </m:box>
                            </m:den>
                          </m:f>
                        </m:e>
                      </m:box>
                    </m:e>
                  </m:d>
                </m:e>
              </m:box>
              <m:sSub>
                <m:sSubPr>
                  <m:ctrlPr>
                    <w:rPr>
                      <w:rFonts w:ascii="Cambria Math" w:hAnsi="Cambria Math"/>
                    </w:rPr>
                  </m:ctrlPr>
                </m:sSubPr>
                <m:e>
                  <m:r>
                    <w:rPr>
                      <w:rFonts w:ascii="Cambria Math" w:hAnsi="Cambria Math"/>
                    </w:rPr>
                    <m:t>V</m:t>
                  </m:r>
                </m:e>
                <m:sub>
                  <m:r>
                    <w:rPr>
                      <w:rFonts w:ascii="Cambria Math" w:hAnsi="Cambria Math"/>
                    </w:rPr>
                    <m:t>t</m:t>
                  </m:r>
                </m:sub>
              </m:sSub>
            </m:e>
          </m:box>
        </m:oMath>
      </m:oMathPara>
    </w:p>
    <w:p w14:paraId="0B0AF0DE" w14:textId="77777777" w:rsidR="00446A58" w:rsidRDefault="00131A4B" w:rsidP="00131A4B">
      <w:pPr>
        <w:spacing w:after="120"/>
        <w:ind w:firstLine="720"/>
        <w:rPr>
          <w:color w:val="222830"/>
        </w:rPr>
      </w:pPr>
      <w:r>
        <w:rPr>
          <w:color w:val="222830"/>
          <w:lang w:val="en-GB"/>
        </w:rPr>
        <w:t>This proxy is then</w:t>
      </w:r>
      <w:r w:rsidR="00000000">
        <w:rPr>
          <w:color w:val="222830"/>
        </w:rPr>
        <w:t xml:space="preserve"> summed within each U.S. business month to a monthly dollar volume. </w:t>
      </w:r>
    </w:p>
    <w:p w14:paraId="7F399068" w14:textId="77777777" w:rsidR="00446A58" w:rsidRDefault="00446A58" w:rsidP="00446A58">
      <w:pPr>
        <w:jc w:val="cente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MDV</m:t>
                      </m:r>
                    </m:e>
                  </m:box>
                </m:e>
                <m:sub>
                  <m:box>
                    <m:boxPr>
                      <m:ctrlPr>
                        <w:rPr>
                          <w:rFonts w:ascii="Cambria Math" w:hAnsi="Cambria Math"/>
                        </w:rPr>
                      </m:ctrlPr>
                    </m:boxPr>
                    <m:e>
                      <m:r>
                        <w:rPr>
                          <w:rFonts w:ascii="Cambria Math" w:hAnsi="Cambria Math"/>
                        </w:rPr>
                        <m:t>i</m:t>
                      </m:r>
                      <m:r>
                        <m:rPr>
                          <m:sty m:val="p"/>
                        </m:rPr>
                        <w:rPr>
                          <w:rFonts w:ascii="Cambria Math" w:hAnsi="Cambria Math"/>
                        </w:rPr>
                        <m:t>,</m:t>
                      </m:r>
                      <m:r>
                        <w:rPr>
                          <w:rFonts w:ascii="Cambria Math" w:hAnsi="Cambria Math"/>
                        </w:rPr>
                        <m:t>m</m:t>
                      </m:r>
                    </m:e>
                  </m:box>
                </m:sub>
              </m:sSub>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m</m:t>
                      </m:r>
                    </m:e>
                  </m:box>
                </m:sub>
                <m:sup/>
                <m:e>
                  <m:sSub>
                    <m:sSubPr>
                      <m:ctrlPr>
                        <w:rPr>
                          <w:rFonts w:ascii="Cambria Math" w:hAnsi="Cambria Math"/>
                        </w:rPr>
                      </m:ctrlPr>
                    </m:sSubPr>
                    <m:e>
                      <m:box>
                        <m:boxPr>
                          <m:ctrlPr>
                            <w:rPr>
                              <w:rFonts w:ascii="Cambria Math" w:hAnsi="Cambria Math"/>
                            </w:rPr>
                          </m:ctrlPr>
                        </m:boxPr>
                        <m:e>
                          <m:r>
                            <m:rPr>
                              <m:sty m:val="p"/>
                            </m:rPr>
                            <w:rPr>
                              <w:rFonts w:ascii="Cambria Math" w:hAnsi="Cambria Math"/>
                            </w:rPr>
                            <m:t>ADV</m:t>
                          </m:r>
                        </m:e>
                      </m:box>
                    </m:e>
                    <m:sub>
                      <m:box>
                        <m:boxPr>
                          <m:ctrlPr>
                            <w:rPr>
                              <w:rFonts w:ascii="Cambria Math" w:hAnsi="Cambria Math"/>
                            </w:rPr>
                          </m:ctrlPr>
                        </m:boxPr>
                        <m:e>
                          <m:r>
                            <w:rPr>
                              <w:rFonts w:ascii="Cambria Math" w:hAnsi="Cambria Math"/>
                            </w:rPr>
                            <m:t>i</m:t>
                          </m:r>
                          <m:r>
                            <m:rPr>
                              <m:sty m:val="p"/>
                            </m:rPr>
                            <w:rPr>
                              <w:rFonts w:ascii="Cambria Math" w:hAnsi="Cambria Math"/>
                            </w:rPr>
                            <m:t>,</m:t>
                          </m:r>
                          <m:r>
                            <w:rPr>
                              <w:rFonts w:ascii="Cambria Math" w:hAnsi="Cambria Math"/>
                            </w:rPr>
                            <m:t>t</m:t>
                          </m:r>
                        </m:e>
                      </m:box>
                    </m:sub>
                  </m:sSub>
                </m:e>
              </m:nary>
            </m:e>
          </m:box>
        </m:oMath>
      </m:oMathPara>
    </w:p>
    <w:p w14:paraId="1DEAB353" w14:textId="77777777" w:rsidR="00446A58" w:rsidRDefault="00446A58" w:rsidP="00131A4B">
      <w:pPr>
        <w:spacing w:after="120"/>
        <w:ind w:firstLine="720"/>
        <w:rPr>
          <w:color w:val="222830"/>
        </w:rPr>
      </w:pPr>
    </w:p>
    <w:p w14:paraId="75A11B0A" w14:textId="5EC13EEB" w:rsidR="00480A68" w:rsidRPr="00131A4B" w:rsidRDefault="00000000" w:rsidP="00131A4B">
      <w:pPr>
        <w:spacing w:after="120"/>
        <w:ind w:firstLine="720"/>
        <w:rPr>
          <w:color w:val="222830"/>
          <w:lang w:val="en-GB"/>
        </w:rPr>
      </w:pPr>
      <w:r>
        <w:rPr>
          <w:color w:val="222830"/>
        </w:rPr>
        <w:t xml:space="preserve">An ETF is eligible in month </w:t>
      </w:r>
      <w:r>
        <w:rPr>
          <w:i/>
          <w:color w:val="222830"/>
        </w:rPr>
        <w:t>t</w:t>
      </w:r>
      <w:r>
        <w:rPr>
          <w:color w:val="222830"/>
        </w:rPr>
        <w:t xml:space="preserve"> only if </w:t>
      </w:r>
      <w:r>
        <w:rPr>
          <w:b/>
          <w:color w:val="222830"/>
        </w:rPr>
        <w:t>both</w:t>
      </w:r>
      <w:r>
        <w:rPr>
          <w:color w:val="222830"/>
        </w:rPr>
        <w:t xml:space="preserve"> conditions hold: (i) a </w:t>
      </w:r>
      <w:r>
        <w:rPr>
          <w:b/>
          <w:color w:val="222830"/>
        </w:rPr>
        <w:t>continuous‑history</w:t>
      </w:r>
      <w:r>
        <w:rPr>
          <w:color w:val="222830"/>
        </w:rPr>
        <w:t xml:space="preserve"> requirement </w:t>
      </w:r>
      <w:r w:rsidR="00446A58">
        <w:rPr>
          <w:color w:val="222830"/>
        </w:rPr>
        <w:t>-</w:t>
      </w:r>
      <w:r>
        <w:rPr>
          <w:color w:val="222830"/>
        </w:rPr>
        <w:t xml:space="preserve"> the fund must have traded in each of the trailing 36 months, guaranteeing at least three years of data to match the estimation lookback; and (ii) a </w:t>
      </w:r>
      <w:r>
        <w:rPr>
          <w:b/>
          <w:color w:val="222830"/>
        </w:rPr>
        <w:t>liquidity</w:t>
      </w:r>
      <w:r>
        <w:rPr>
          <w:color w:val="222830"/>
        </w:rPr>
        <w:t xml:space="preserve"> requirement </w:t>
      </w:r>
      <w:r w:rsidR="00446A58">
        <w:rPr>
          <w:color w:val="222830"/>
        </w:rPr>
        <w:t>-</w:t>
      </w:r>
      <w:r>
        <w:rPr>
          <w:color w:val="222830"/>
        </w:rPr>
        <w:t xml:space="preserve"> the fund's 36‑month rolling‑mean monthly dollar volume, expressed as a </w:t>
      </w:r>
      <w:r>
        <w:rPr>
          <w:i/>
          <w:color w:val="222830"/>
        </w:rPr>
        <w:t>share</w:t>
      </w:r>
      <w:r>
        <w:rPr>
          <w:color w:val="222830"/>
        </w:rPr>
        <w:t xml:space="preserve"> of the aggregate dollar volume across all funds must exceed a threshold of 0.005% of market dollar volume. The threshold is calibrated to retain </w:t>
      </w:r>
      <w:r w:rsidR="00626563">
        <w:rPr>
          <w:color w:val="222830"/>
        </w:rPr>
        <w:t xml:space="preserve">approximately </w:t>
      </w:r>
      <w:r>
        <w:rPr>
          <w:color w:val="222830"/>
        </w:rPr>
        <w:t>220 most liquid, established funds</w:t>
      </w:r>
      <w:r w:rsidR="00626563">
        <w:rPr>
          <w:color w:val="222830"/>
        </w:rPr>
        <w:t>.</w:t>
      </w:r>
      <w:r>
        <w:rPr>
          <w:color w:val="222830"/>
        </w:rPr>
        <w:t xml:space="preserve"> </w:t>
      </w:r>
    </w:p>
    <w:p w14:paraId="409754C1" w14:textId="11EC4C7B" w:rsidR="00480A68" w:rsidRDefault="00000000">
      <w:pPr>
        <w:spacing w:before="160" w:after="60"/>
      </w:pPr>
      <w:r>
        <w:rPr>
          <w:b/>
          <w:color w:val="163A5F"/>
          <w:sz w:val="25"/>
        </w:rPr>
        <w:t xml:space="preserve">5.2 Bayesian posterior‑predictive scenario engine </w:t>
      </w:r>
    </w:p>
    <w:p w14:paraId="2492671B" w14:textId="77777777" w:rsidR="00446A58" w:rsidRDefault="00000000" w:rsidP="00626563">
      <w:pPr>
        <w:spacing w:after="120"/>
        <w:ind w:firstLine="720"/>
        <w:rPr>
          <w:color w:val="222830"/>
        </w:rPr>
      </w:pPr>
      <w:r>
        <w:rPr>
          <w:color w:val="222830"/>
        </w:rPr>
        <w:t xml:space="preserve">Each month, on a rolling three‑year window, the model produces an </w:t>
      </w:r>
      <w:r>
        <w:rPr>
          <w:rFonts w:ascii="Consolas" w:hAnsi="Consolas"/>
          <w:color w:val="163A5F"/>
          <w:sz w:val="20"/>
        </w:rPr>
        <w:t>(S × N)</w:t>
      </w:r>
      <w:r>
        <w:rPr>
          <w:color w:val="222830"/>
        </w:rPr>
        <w:t xml:space="preserve"> matrix of </w:t>
      </w:r>
      <w:r>
        <w:rPr>
          <w:rFonts w:ascii="Consolas" w:hAnsi="Consolas"/>
          <w:color w:val="163A5F"/>
          <w:sz w:val="20"/>
        </w:rPr>
        <w:t>S = 1000</w:t>
      </w:r>
      <w:r>
        <w:rPr>
          <w:color w:val="222830"/>
        </w:rPr>
        <w:t xml:space="preserve"> distinct next‑period scenarios</w:t>
      </w:r>
      <w:r w:rsidR="00446A58">
        <w:rPr>
          <w:color w:val="222830"/>
        </w:rPr>
        <w:t>.</w:t>
      </w:r>
    </w:p>
    <w:p w14:paraId="1D856A04" w14:textId="77777777" w:rsidR="00446A58" w:rsidRDefault="00446A58" w:rsidP="00446A58">
      <w:pPr>
        <w:jc w:val="center"/>
      </w:pPr>
      <m:oMathPara>
        <m:oMath>
          <m:box>
            <m:boxPr>
              <m:ctrlPr>
                <w:rPr>
                  <w:rFonts w:ascii="Cambria Math" w:hAnsi="Cambria Math"/>
                </w:rPr>
              </m:ctrlPr>
            </m:boxPr>
            <m:e>
              <m:r>
                <w:rPr>
                  <w:rFonts w:ascii="Cambria Math" w:hAnsi="Cambria Math"/>
                </w:rPr>
                <m:t>R</m:t>
              </m:r>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b"/>
                        </m:rPr>
                        <w:rPr>
                          <w:rFonts w:ascii="Cambria Math" w:hAnsi="Cambria Math"/>
                        </w:rPr>
                        <m:t>1</m:t>
                      </m:r>
                    </m:e>
                  </m:box>
                </m:e>
                <m:sub>
                  <m:r>
                    <w:rPr>
                      <w:rFonts w:ascii="Cambria Math" w:hAnsi="Cambria Math"/>
                    </w:rPr>
                    <m:t>S</m:t>
                  </m:r>
                </m:sub>
              </m:sSub>
              <m:r>
                <w:rPr>
                  <w:rFonts w:ascii="Cambria Math" w:hAnsi="Cambria Math"/>
                </w:rPr>
                <m:t xml:space="preserve"> </m:t>
              </m:r>
              <m:sSubSup>
                <m:sSubSupPr>
                  <m:ctrlPr>
                    <w:rPr>
                      <w:rFonts w:ascii="Cambria Math" w:hAnsi="Cambria Math"/>
                    </w:rPr>
                  </m:ctrlPr>
                </m:sSubSupPr>
                <m:e>
                  <m:r>
                    <w:rPr>
                      <w:rFonts w:ascii="Cambria Math" w:hAnsi="Cambria Math"/>
                    </w:rPr>
                    <m:t>μ</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post</m:t>
                          </m:r>
                        </m:e>
                      </m:box>
                    </m:e>
                  </m:box>
                </m:sub>
                <m:sup>
                  <m:box>
                    <m:boxPr>
                      <m:ctrlPr>
                        <w:rPr>
                          <w:rFonts w:ascii="Cambria Math" w:hAnsi="Cambria Math"/>
                        </w:rPr>
                      </m:ctrlPr>
                    </m:boxPr>
                    <m:e>
                      <m:r>
                        <m:rPr>
                          <m:sty m:val="p"/>
                        </m:rPr>
                        <w:rPr>
                          <w:rFonts w:ascii="Cambria Math" w:hAnsi="Cambria Math"/>
                        </w:rPr>
                        <m:t>⊤</m:t>
                      </m:r>
                    </m:e>
                  </m:box>
                </m:sup>
              </m:sSubSup>
              <m:r>
                <m:rPr>
                  <m:sty m:val="p"/>
                </m:rPr>
                <w:rPr>
                  <w:rFonts w:ascii="Cambria Math" w:hAnsi="Cambria Math"/>
                </w:rPr>
                <m:t>+</m:t>
              </m:r>
              <m:r>
                <w:rPr>
                  <w:rFonts w:ascii="Cambria Math" w:hAnsi="Cambria Math"/>
                </w:rPr>
                <m:t>Z</m:t>
              </m:r>
              <m:sSup>
                <m:sSupPr>
                  <m:ctrlPr>
                    <w:rPr>
                      <w:rFonts w:ascii="Cambria Math" w:hAnsi="Cambria Math"/>
                    </w:rPr>
                  </m:ctrlPr>
                </m:sSupPr>
                <m:e>
                  <m:r>
                    <w:rPr>
                      <w:rFonts w:ascii="Cambria Math" w:hAnsi="Cambria Math"/>
                    </w:rPr>
                    <m:t>L</m:t>
                  </m:r>
                </m:e>
                <m:sup>
                  <m:box>
                    <m:boxPr>
                      <m:ctrlPr>
                        <w:rPr>
                          <w:rFonts w:ascii="Cambria Math" w:hAnsi="Cambria Math"/>
                        </w:rPr>
                      </m:ctrlPr>
                    </m:boxPr>
                    <m:e>
                      <m:r>
                        <m:rPr>
                          <m:sty m:val="p"/>
                        </m:rPr>
                        <w:rPr>
                          <w:rFonts w:ascii="Cambria Math" w:hAnsi="Cambria Math"/>
                        </w:rPr>
                        <m:t>⊤</m:t>
                      </m:r>
                    </m:e>
                  </m:box>
                </m:sup>
              </m:sSup>
            </m:e>
          </m:box>
        </m:oMath>
      </m:oMathPara>
    </w:p>
    <w:p w14:paraId="089B4F5A" w14:textId="4B7B4692" w:rsidR="00480A68" w:rsidRPr="00446A58" w:rsidRDefault="00000000" w:rsidP="00446A58">
      <w:pPr>
        <w:rPr>
          <w:color w:val="222830"/>
        </w:rPr>
      </w:pPr>
      <w:r w:rsidRPr="00446A58">
        <w:rPr>
          <w:color w:val="222830"/>
        </w:rPr>
        <w:t xml:space="preserve"> </w:t>
      </w:r>
      <w:proofErr w:type="spellStart"/>
      <w:r w:rsidRPr="00446A58">
        <w:rPr>
          <w:rFonts w:ascii="Consolas" w:hAnsi="Consolas"/>
          <w:color w:val="163A5F"/>
          <w:sz w:val="20"/>
        </w:rPr>
        <w:t>μ_post</w:t>
      </w:r>
      <w:proofErr w:type="spellEnd"/>
      <w:r w:rsidRPr="00446A58">
        <w:rPr>
          <w:color w:val="222830"/>
        </w:rPr>
        <w:t xml:space="preserve"> </w:t>
      </w:r>
      <w:r w:rsidR="00446A58" w:rsidRPr="00446A58">
        <w:rPr>
          <w:color w:val="222830"/>
        </w:rPr>
        <w:t xml:space="preserve">is </w:t>
      </w:r>
      <w:r w:rsidRPr="00446A58">
        <w:rPr>
          <w:color w:val="222830"/>
        </w:rPr>
        <w:t>a per</w:t>
      </w:r>
      <w:r w:rsidRPr="00446A58">
        <w:rPr>
          <w:rFonts w:ascii="Cambria Math" w:hAnsi="Cambria Math" w:cs="Cambria Math"/>
          <w:color w:val="222830"/>
        </w:rPr>
        <w:t>‑</w:t>
      </w:r>
      <w:r w:rsidRPr="00446A58">
        <w:rPr>
          <w:color w:val="222830"/>
        </w:rPr>
        <w:t>ETF posterior mean under a horseshoe prior (Carvalho, Polson &amp; Scott, 2010) plus a cross</w:t>
      </w:r>
      <w:r w:rsidRPr="00446A58">
        <w:rPr>
          <w:rFonts w:ascii="Cambria Math" w:hAnsi="Cambria Math" w:cs="Cambria Math"/>
          <w:color w:val="222830"/>
        </w:rPr>
        <w:t>‑</w:t>
      </w:r>
      <w:r w:rsidRPr="00446A58">
        <w:rPr>
          <w:color w:val="222830"/>
        </w:rPr>
        <w:t xml:space="preserve">sectional momentum tilt, and </w:t>
      </w:r>
      <m:oMath>
        <m:box>
          <m:boxPr>
            <m:ctrlPr>
              <w:rPr>
                <w:rFonts w:ascii="Cambria Math" w:hAnsi="Cambria Math"/>
              </w:rPr>
            </m:ctrlPr>
          </m:boxPr>
          <m:e>
            <m:r>
              <w:rPr>
                <w:rFonts w:ascii="Cambria Math" w:hAnsi="Cambria Math"/>
              </w:rPr>
              <m:t>L</m:t>
            </m:r>
            <m:sSup>
              <m:sSupPr>
                <m:ctrlPr>
                  <w:rPr>
                    <w:rFonts w:ascii="Cambria Math" w:hAnsi="Cambria Math"/>
                  </w:rPr>
                </m:ctrlPr>
              </m:sSupPr>
              <m:e>
                <m:r>
                  <w:rPr>
                    <w:rFonts w:ascii="Cambria Math" w:hAnsi="Cambria Math"/>
                  </w:rPr>
                  <m:t>L</m:t>
                </m:r>
              </m:e>
              <m:sup>
                <m:box>
                  <m:boxPr>
                    <m:ctrlPr>
                      <w:rPr>
                        <w:rFonts w:ascii="Cambria Math" w:hAnsi="Cambria Math"/>
                      </w:rPr>
                    </m:ctrlPr>
                  </m:boxPr>
                  <m:e>
                    <m:r>
                      <m:rPr>
                        <m:sty m:val="p"/>
                      </m:rPr>
                      <w:rPr>
                        <w:rFonts w:ascii="Cambria Math" w:hAnsi="Cambria Math"/>
                      </w:rPr>
                      <m:t>⊤</m:t>
                    </m:r>
                  </m:e>
                </m:box>
              </m:sup>
            </m:sSup>
            <m:r>
              <m:rPr>
                <m:sty m:val="p"/>
              </m:rPr>
              <w:rPr>
                <w:rFonts w:ascii="Cambria Math" w:hAnsi="Cambria Math"/>
              </w:rPr>
              <m:t>=</m:t>
            </m:r>
            <m:r>
              <w:rPr>
                <w:rFonts w:ascii="Cambria Math" w:hAnsi="Cambria Math"/>
              </w:rPr>
              <m:t>Σ</m:t>
            </m:r>
          </m:e>
        </m:box>
        <m:r>
          <w:rPr>
            <w:rFonts w:ascii="Cambria Math" w:hAnsi="Cambria Math"/>
          </w:rPr>
          <m:t xml:space="preserve"> </m:t>
        </m:r>
      </m:oMath>
      <w:r w:rsidRPr="00446A58">
        <w:rPr>
          <w:color w:val="222830"/>
        </w:rPr>
        <w:t xml:space="preserve">the Cholesky factor of the Ledoit–Wolf covariance (Ledoit &amp; Wolf, 2004). </w:t>
      </w:r>
    </w:p>
    <w:p w14:paraId="0B3958EB" w14:textId="470513D4" w:rsidR="00517998" w:rsidRPr="00446A58" w:rsidRDefault="00517998" w:rsidP="00446A58">
      <w:pPr>
        <w:spacing w:after="120"/>
        <w:ind w:firstLine="720"/>
        <w:rPr>
          <w:color w:val="222830"/>
          <w:lang w:val="en-GB"/>
        </w:rPr>
      </w:pPr>
      <w:r w:rsidRPr="00446A58">
        <w:rPr>
          <w:color w:val="222830"/>
          <w:lang w:val="en-GB"/>
        </w:rPr>
        <w:t xml:space="preserve">The allocator's risk constraint is a CVaR (expected shortfall) </w:t>
      </w:r>
      <w:r w:rsidR="00446A58" w:rsidRPr="00446A58">
        <w:rPr>
          <w:color w:val="222830"/>
          <w:lang w:val="en-GB"/>
        </w:rPr>
        <w:t>-</w:t>
      </w:r>
      <w:r w:rsidRPr="00446A58">
        <w:rPr>
          <w:color w:val="222830"/>
          <w:lang w:val="en-GB"/>
        </w:rPr>
        <w:t xml:space="preserve"> an average over the worst tail of outcomes. A tail measure is only defined relative to a distribution of next-period returns, not a point forecast. The engine therefore produces, each month, a Monte-Carlo sample of S = 1000 plausible next-month return vectors for the N eligible ETFs. The empirical </w:t>
      </w:r>
      <w:r w:rsidRPr="00446A58">
        <w:rPr>
          <w:color w:val="222830"/>
          <w:lang w:val="ru-RU"/>
        </w:rPr>
        <w:t>α</w:t>
      </w:r>
      <w:r w:rsidRPr="00446A58">
        <w:rPr>
          <w:color w:val="222830"/>
          <w:lang w:val="en-GB"/>
        </w:rPr>
        <w:t xml:space="preserve">-tail of the portfolio's returns across those S scenarios is what makes CVaR estimable and the constraint meaningful. (This is also why the rows must be distinct: if all rows were identical, the </w:t>
      </w:r>
      <w:r w:rsidRPr="00446A58">
        <w:rPr>
          <w:color w:val="222830"/>
          <w:lang w:val="ru-RU"/>
        </w:rPr>
        <w:t>α</w:t>
      </w:r>
      <w:r w:rsidRPr="00446A58">
        <w:rPr>
          <w:color w:val="222830"/>
          <w:lang w:val="en-GB"/>
        </w:rPr>
        <w:t>-tail would equal the mean and "CVaR" would collapse to expected return — the degenerate case the fix removed.)</w:t>
      </w:r>
    </w:p>
    <w:p w14:paraId="687A378B" w14:textId="65B19FD9" w:rsidR="00517998" w:rsidRPr="00446A58" w:rsidRDefault="00517998" w:rsidP="00517998">
      <w:pPr>
        <w:spacing w:after="120"/>
        <w:rPr>
          <w:color w:val="222830"/>
          <w:lang w:val="en-GB"/>
        </w:rPr>
      </w:pPr>
      <w:r w:rsidRPr="00565D58">
        <w:rPr>
          <w:color w:val="222830"/>
          <w:lang w:val="en-GB"/>
        </w:rPr>
        <w:t xml:space="preserve">The </w:t>
      </w:r>
      <w:r w:rsidR="00565D58" w:rsidRPr="00565D58">
        <w:rPr>
          <w:color w:val="222830"/>
          <w:lang w:val="en-GB"/>
        </w:rPr>
        <w:t>posterior predictive scenario set</w:t>
      </w:r>
      <w:r w:rsidR="00565D58">
        <w:rPr>
          <w:b/>
          <w:bCs/>
          <w:color w:val="222830"/>
          <w:lang w:val="en-GB"/>
        </w:rPr>
        <w:t xml:space="preserve"> </w:t>
      </w:r>
      <w:r w:rsidRPr="00446A58">
        <w:rPr>
          <w:color w:val="222830"/>
          <w:lang w:val="en-GB"/>
        </w:rPr>
        <w:t>is the forward, model-implied distribution that does double duty: it defines the allocation constraint and it is the object whose tail we later read off as the forward timing signal (CVaR of the held book).</w:t>
      </w:r>
    </w:p>
    <w:p w14:paraId="33AC94D2" w14:textId="2B6981C3" w:rsidR="00A31411" w:rsidRPr="00A31411" w:rsidRDefault="00A31411" w:rsidP="00A31411">
      <w:pPr>
        <w:spacing w:after="120"/>
        <w:rPr>
          <w:b/>
          <w:bCs/>
          <w:color w:val="222830"/>
        </w:rPr>
      </w:pPr>
      <w:r w:rsidRPr="00A31411">
        <w:rPr>
          <w:b/>
          <w:bCs/>
          <w:color w:val="222830"/>
        </w:rPr>
        <w:t xml:space="preserve">Step 1 </w:t>
      </w:r>
      <w:r w:rsidR="005F2963">
        <w:rPr>
          <w:b/>
          <w:bCs/>
          <w:color w:val="222830"/>
        </w:rPr>
        <w:t>T</w:t>
      </w:r>
      <w:r w:rsidRPr="00A31411">
        <w:rPr>
          <w:b/>
          <w:bCs/>
          <w:color w:val="222830"/>
        </w:rPr>
        <w:t xml:space="preserve">he per-ETF predictive mean </w:t>
      </w:r>
      <w:proofErr w:type="spellStart"/>
      <w:r w:rsidRPr="00A31411">
        <w:rPr>
          <w:b/>
          <w:bCs/>
          <w:color w:val="222830"/>
        </w:rPr>
        <w:t>μ_post</w:t>
      </w:r>
      <w:proofErr w:type="spellEnd"/>
    </w:p>
    <w:p w14:paraId="7ED6106E" w14:textId="77777777" w:rsidR="00A31411" w:rsidRPr="00A31411" w:rsidRDefault="00A31411" w:rsidP="00A31411">
      <w:pPr>
        <w:spacing w:after="120"/>
        <w:rPr>
          <w:color w:val="222830"/>
        </w:rPr>
      </w:pPr>
      <w:r w:rsidRPr="00A31411">
        <w:rPr>
          <w:color w:val="222830"/>
        </w:rPr>
        <w:t xml:space="preserve">For each ETF </w:t>
      </w:r>
      <w:proofErr w:type="spellStart"/>
      <w:r w:rsidRPr="00A31411">
        <w:rPr>
          <w:color w:val="222830"/>
        </w:rPr>
        <w:t>i</w:t>
      </w:r>
      <w:proofErr w:type="spellEnd"/>
      <w:r w:rsidRPr="00A31411">
        <w:rPr>
          <w:color w:val="222830"/>
        </w:rPr>
        <w:t>, on the rolling window of T ≈ 756 daily returns r_{</w:t>
      </w:r>
      <w:proofErr w:type="spellStart"/>
      <w:r w:rsidRPr="00A31411">
        <w:rPr>
          <w:color w:val="222830"/>
        </w:rPr>
        <w:t>i,t</w:t>
      </w:r>
      <w:proofErr w:type="spellEnd"/>
      <w:r w:rsidRPr="00A31411">
        <w:rPr>
          <w:color w:val="222830"/>
        </w:rPr>
        <w:t>}, three quantities are combined.</w:t>
      </w:r>
    </w:p>
    <w:p w14:paraId="7337FD8E" w14:textId="11751C67" w:rsidR="001D6CD7" w:rsidRPr="001D6CD7" w:rsidRDefault="00A31411" w:rsidP="001D6CD7">
      <w:pPr>
        <w:pStyle w:val="ListParagraph"/>
        <w:numPr>
          <w:ilvl w:val="0"/>
          <w:numId w:val="12"/>
        </w:numPr>
        <w:spacing w:after="120"/>
        <w:rPr>
          <w:color w:val="222830"/>
        </w:rPr>
      </w:pPr>
      <w:r w:rsidRPr="001D6CD7">
        <w:rPr>
          <w:color w:val="222830"/>
        </w:rPr>
        <w:t>Sample mean and a per-ETF prior</w:t>
      </w:r>
    </w:p>
    <w:p w14:paraId="75414B7C" w14:textId="16AFD982" w:rsidR="00A31411" w:rsidRPr="001D6CD7" w:rsidRDefault="00A31411" w:rsidP="001D6CD7">
      <w:pPr>
        <w:spacing w:after="120"/>
        <w:rPr>
          <w:color w:val="222830"/>
        </w:rPr>
      </w:pPr>
      <w:r w:rsidRPr="001D6CD7">
        <w:rPr>
          <w:color w:val="222830"/>
        </w:rPr>
        <w:lastRenderedPageBreak/>
        <w:t>The data estimate is the window mean; the prior is each ETF's own EWMA-of-returns mean (not a single global grand mean), so the shrinkage target preserves cross-sectional information:</w:t>
      </w:r>
    </w:p>
    <w:p w14:paraId="110545DA" w14:textId="77777777" w:rsidR="001D6CD7" w:rsidRDefault="001D6CD7" w:rsidP="001D6CD7">
      <w:pPr>
        <w:jc w:val="center"/>
      </w:pPr>
      <m:oMathPara>
        <m:oMath>
          <m:box>
            <m:boxPr>
              <m:ctrlPr>
                <w:rPr>
                  <w:rFonts w:ascii="Cambria Math" w:hAnsi="Cambria Math"/>
                </w:rPr>
              </m:ctrlPr>
            </m:boxPr>
            <m:e>
              <m:sSubSup>
                <m:sSubSupPr>
                  <m:ctrlPr>
                    <w:rPr>
                      <w:rFonts w:ascii="Cambria Math" w:hAnsi="Cambria Math"/>
                    </w:rPr>
                  </m:ctrlPr>
                </m:sSubSupPr>
                <m:e>
                  <m:acc>
                    <m:accPr>
                      <m:chr m:val="ˆ"/>
                      <m:ctrlPr>
                        <w:rPr>
                          <w:rFonts w:ascii="Cambria Math" w:hAnsi="Cambria Math"/>
                        </w:rPr>
                      </m:ctrlPr>
                    </m:accPr>
                    <m:e>
                      <m:box>
                        <m:boxPr>
                          <m:ctrlPr>
                            <w:rPr>
                              <w:rFonts w:ascii="Cambria Math" w:hAnsi="Cambria Math"/>
                            </w:rPr>
                          </m:ctrlPr>
                        </m:boxPr>
                        <m:e>
                          <m:r>
                            <w:rPr>
                              <w:rFonts w:ascii="Cambria Math" w:hAnsi="Cambria Math"/>
                            </w:rPr>
                            <m:t>μ</m:t>
                          </m:r>
                        </m:e>
                      </m:box>
                    </m:e>
                  </m:acc>
                </m:e>
                <m:sub>
                  <m:r>
                    <w:rPr>
                      <w:rFonts w:ascii="Cambria Math" w:hAnsi="Cambria Math"/>
                    </w:rPr>
                    <m:t>i</m:t>
                  </m:r>
                </m:sub>
                <m:sup>
                  <m:box>
                    <m:boxPr>
                      <m:ctrlPr>
                        <w:rPr>
                          <w:rFonts w:ascii="Cambria Math" w:hAnsi="Cambria Math"/>
                        </w:rPr>
                      </m:ctrlPr>
                    </m:boxPr>
                    <m:e>
                      <m:box>
                        <m:boxPr>
                          <m:ctrlPr>
                            <w:rPr>
                              <w:rFonts w:ascii="Cambria Math" w:hAnsi="Cambria Math"/>
                            </w:rPr>
                          </m:ctrlPr>
                        </m:boxPr>
                        <m:e>
                          <m:r>
                            <m:rPr>
                              <m:sty m:val="p"/>
                            </m:rPr>
                            <w:rPr>
                              <w:rFonts w:ascii="Cambria Math" w:hAnsi="Cambria Math"/>
                            </w:rPr>
                            <m:t>sm</m:t>
                          </m:r>
                        </m:e>
                      </m:box>
                    </m:e>
                  </m:box>
                </m:sup>
              </m:sSubSup>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T</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t</m:t>
                      </m:r>
                      <m:r>
                        <m:rPr>
                          <m:sty m:val="p"/>
                        </m:rPr>
                        <w:rPr>
                          <w:rFonts w:ascii="Cambria Math" w:hAnsi="Cambria Math"/>
                        </w:rPr>
                        <m:t>=1</m:t>
                      </m:r>
                    </m:e>
                  </m:box>
                </m:sub>
                <m:sup>
                  <m:box>
                    <m:boxPr>
                      <m:ctrlPr>
                        <w:rPr>
                          <w:rFonts w:ascii="Cambria Math" w:hAnsi="Cambria Math"/>
                        </w:rPr>
                      </m:ctrlPr>
                    </m:boxPr>
                    <m:e>
                      <m:r>
                        <w:rPr>
                          <w:rFonts w:ascii="Cambria Math" w:hAnsi="Cambria Math"/>
                        </w:rPr>
                        <m:t>T</m:t>
                      </m:r>
                    </m:e>
                  </m:box>
                </m:sup>
                <m:e>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i</m:t>
                          </m:r>
                          <m:r>
                            <m:rPr>
                              <m:sty m:val="p"/>
                            </m:rPr>
                            <w:rPr>
                              <w:rFonts w:ascii="Cambria Math" w:hAnsi="Cambria Math"/>
                            </w:rPr>
                            <m:t>,</m:t>
                          </m:r>
                          <m:r>
                            <w:rPr>
                              <w:rFonts w:ascii="Cambria Math" w:hAnsi="Cambria Math"/>
                            </w:rPr>
                            <m:t>t</m:t>
                          </m:r>
                        </m:e>
                      </m:box>
                    </m:sub>
                  </m:sSub>
                </m:e>
              </m:nary>
            </m:e>
          </m:box>
        </m:oMath>
      </m:oMathPara>
    </w:p>
    <w:p w14:paraId="1255731F" w14:textId="77777777" w:rsidR="001D6CD7" w:rsidRDefault="001D6CD7" w:rsidP="001D6CD7">
      <w:pPr>
        <w:jc w:val="center"/>
      </w:pPr>
      <m:oMathPara>
        <m:oMath>
          <m:box>
            <m:boxPr>
              <m:ctrlPr>
                <w:rPr>
                  <w:rFonts w:ascii="Cambria Math" w:hAnsi="Cambria Math"/>
                </w:rPr>
              </m:ctrlPr>
            </m:boxPr>
            <m:e>
              <m:sSubSup>
                <m:sSubSupPr>
                  <m:ctrlPr>
                    <w:rPr>
                      <w:rFonts w:ascii="Cambria Math" w:hAnsi="Cambria Math"/>
                    </w:rPr>
                  </m:ctrlPr>
                </m:sSubSupPr>
                <m:e>
                  <m:r>
                    <w:rPr>
                      <w:rFonts w:ascii="Cambria Math" w:hAnsi="Cambria Math"/>
                    </w:rPr>
                    <m:t>m</m:t>
                  </m:r>
                </m:e>
                <m:sub>
                  <m:r>
                    <w:rPr>
                      <w:rFonts w:ascii="Cambria Math" w:hAnsi="Cambria Math"/>
                    </w:rPr>
                    <m:t>i</m:t>
                  </m:r>
                </m:sub>
                <m:sup>
                  <m:box>
                    <m:boxPr>
                      <m:ctrlPr>
                        <w:rPr>
                          <w:rFonts w:ascii="Cambria Math" w:hAnsi="Cambria Math"/>
                        </w:rPr>
                      </m:ctrlPr>
                    </m:boxPr>
                    <m:e>
                      <m:r>
                        <m:rPr>
                          <m:sty m:val="p"/>
                        </m:rPr>
                        <w:rPr>
                          <w:rFonts w:ascii="Cambria Math" w:hAnsi="Cambria Math"/>
                        </w:rPr>
                        <m:t>0</m:t>
                      </m:r>
                    </m:e>
                  </m:box>
                </m:sup>
              </m:sSubSup>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T</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t</m:t>
                      </m:r>
                      <m:r>
                        <m:rPr>
                          <m:sty m:val="p"/>
                        </m:rPr>
                        <w:rPr>
                          <w:rFonts w:ascii="Cambria Math" w:hAnsi="Cambria Math"/>
                        </w:rPr>
                        <m:t>=1</m:t>
                      </m:r>
                    </m:e>
                  </m:box>
                </m:sub>
                <m:sup>
                  <m:box>
                    <m:boxPr>
                      <m:ctrlPr>
                        <w:rPr>
                          <w:rFonts w:ascii="Cambria Math" w:hAnsi="Cambria Math"/>
                        </w:rPr>
                      </m:ctrlPr>
                    </m:boxPr>
                    <m:e>
                      <m:r>
                        <w:rPr>
                          <w:rFonts w:ascii="Cambria Math" w:hAnsi="Cambria Math"/>
                        </w:rPr>
                        <m:t>T</m:t>
                      </m:r>
                    </m:e>
                  </m:box>
                </m:sup>
                <m:e>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r</m:t>
                              </m:r>
                            </m:e>
                          </m:box>
                        </m:e>
                      </m:acc>
                    </m:e>
                    <m:sub>
                      <m:box>
                        <m:boxPr>
                          <m:ctrlPr>
                            <w:rPr>
                              <w:rFonts w:ascii="Cambria Math" w:hAnsi="Cambria Math"/>
                            </w:rPr>
                          </m:ctrlPr>
                        </m:boxPr>
                        <m:e>
                          <m:r>
                            <w:rPr>
                              <w:rFonts w:ascii="Cambria Math" w:hAnsi="Cambria Math"/>
                            </w:rPr>
                            <m:t>i</m:t>
                          </m:r>
                          <m:r>
                            <m:rPr>
                              <m:sty m:val="p"/>
                            </m:rPr>
                            <w:rPr>
                              <w:rFonts w:ascii="Cambria Math" w:hAnsi="Cambria Math"/>
                            </w:rPr>
                            <m:t>,</m:t>
                          </m:r>
                          <m:r>
                            <w:rPr>
                              <w:rFonts w:ascii="Cambria Math" w:hAnsi="Cambria Math"/>
                            </w:rPr>
                            <m:t>t</m:t>
                          </m:r>
                        </m:e>
                      </m:box>
                    </m:sub>
                  </m:sSub>
                </m:e>
              </m:nary>
            </m:e>
          </m:box>
        </m:oMath>
      </m:oMathPara>
    </w:p>
    <w:p w14:paraId="63BFDAF6" w14:textId="77777777" w:rsidR="00A31411" w:rsidRPr="00A31411" w:rsidRDefault="00A31411" w:rsidP="00A31411">
      <w:pPr>
        <w:spacing w:after="120"/>
        <w:rPr>
          <w:color w:val="222830"/>
        </w:rPr>
      </w:pPr>
    </w:p>
    <w:p w14:paraId="523FF4AB" w14:textId="77777777" w:rsidR="00A31411" w:rsidRPr="00A31411" w:rsidRDefault="00A31411" w:rsidP="00A31411">
      <w:pPr>
        <w:spacing w:after="120"/>
        <w:rPr>
          <w:color w:val="222830"/>
        </w:rPr>
      </w:pPr>
      <w:r w:rsidRPr="00A31411">
        <w:rPr>
          <w:color w:val="222830"/>
        </w:rPr>
        <w:t>where r̃_{</w:t>
      </w:r>
      <w:proofErr w:type="spellStart"/>
      <w:r w:rsidRPr="00A31411">
        <w:rPr>
          <w:color w:val="222830"/>
        </w:rPr>
        <w:t>i,t</w:t>
      </w:r>
      <w:proofErr w:type="spellEnd"/>
      <w:r w:rsidRPr="00A31411">
        <w:rPr>
          <w:color w:val="222830"/>
        </w:rPr>
        <w:t>} is the EWMA-smoothed return series.</w:t>
      </w:r>
    </w:p>
    <w:p w14:paraId="7A9A3423" w14:textId="77777777" w:rsidR="00A31411" w:rsidRPr="00A31411" w:rsidRDefault="00A31411" w:rsidP="00A31411">
      <w:pPr>
        <w:spacing w:after="120"/>
        <w:rPr>
          <w:color w:val="222830"/>
        </w:rPr>
      </w:pPr>
    </w:p>
    <w:p w14:paraId="18C1A396" w14:textId="57AD7DEB" w:rsidR="001D6CD7" w:rsidRPr="001D6CD7" w:rsidRDefault="00A31411" w:rsidP="001D6CD7">
      <w:pPr>
        <w:pStyle w:val="ListParagraph"/>
        <w:numPr>
          <w:ilvl w:val="0"/>
          <w:numId w:val="12"/>
        </w:numPr>
        <w:spacing w:after="120"/>
        <w:rPr>
          <w:color w:val="222830"/>
        </w:rPr>
      </w:pPr>
      <w:r w:rsidRPr="001D6CD7">
        <w:rPr>
          <w:color w:val="222830"/>
        </w:rPr>
        <w:t>Horseshoe-style adaptive shrinkage</w:t>
      </w:r>
    </w:p>
    <w:p w14:paraId="0AE920D0" w14:textId="69CA59AB" w:rsidR="00A31411" w:rsidRPr="00A31411" w:rsidRDefault="00A31411" w:rsidP="00A31411">
      <w:pPr>
        <w:spacing w:after="120"/>
        <w:rPr>
          <w:color w:val="222830"/>
        </w:rPr>
      </w:pPr>
      <w:r w:rsidRPr="001D6CD7">
        <w:rPr>
          <w:color w:val="222830"/>
        </w:rPr>
        <w:t xml:space="preserve">The horseshoe prior (Carvalho, Polson &amp; Scott, 2010) places heavy-tailed half-Cauchy priors on a global scale τ and local scales </w:t>
      </w:r>
      <w:proofErr w:type="spellStart"/>
      <w:r w:rsidRPr="001D6CD7">
        <w:rPr>
          <w:color w:val="222830"/>
        </w:rPr>
        <w:t>λ_i</w:t>
      </w:r>
      <w:proofErr w:type="spellEnd"/>
      <w:r w:rsidRPr="001D6CD7">
        <w:rPr>
          <w:color w:val="222830"/>
        </w:rPr>
        <w:t xml:space="preserve">; their product governs how much each coefficient is shrunk. We draw these scales and form a per-ETF shrinkage weight </w:t>
      </w:r>
      <w:proofErr w:type="spellStart"/>
      <w:r w:rsidRPr="001D6CD7">
        <w:rPr>
          <w:color w:val="222830"/>
        </w:rPr>
        <w:t>κ_i</w:t>
      </w:r>
      <w:proofErr w:type="spellEnd"/>
      <w:r w:rsidRPr="001D6CD7">
        <w:rPr>
          <w:color w:val="222830"/>
        </w:rPr>
        <w:t xml:space="preserve"> </w:t>
      </w:r>
      <w:r w:rsidRPr="001D6CD7">
        <w:rPr>
          <w:rFonts w:ascii="Cambria Math" w:hAnsi="Cambria Math" w:cs="Cambria Math"/>
          <w:color w:val="222830"/>
        </w:rPr>
        <w:t>∈</w:t>
      </w:r>
      <w:r w:rsidRPr="001D6CD7">
        <w:rPr>
          <w:color w:val="222830"/>
        </w:rPr>
        <w:t xml:space="preserve"> (0,1) (the weight on the data), floored at </w:t>
      </w:r>
      <w:proofErr w:type="spellStart"/>
      <w:r w:rsidRPr="001D6CD7">
        <w:rPr>
          <w:rFonts w:cs="Calibri"/>
          <w:color w:val="222830"/>
        </w:rPr>
        <w:t>κ</w:t>
      </w:r>
      <w:r w:rsidRPr="001D6CD7">
        <w:rPr>
          <w:color w:val="222830"/>
        </w:rPr>
        <w:t>_min</w:t>
      </w:r>
      <w:proofErr w:type="spellEnd"/>
      <w:r w:rsidRPr="001D6CD7">
        <w:rPr>
          <w:color w:val="222830"/>
        </w:rPr>
        <w:t xml:space="preserve"> = 0.5 so genuine cross-sectional signal is not over-shrunk:</w:t>
      </w:r>
    </w:p>
    <w:p w14:paraId="5F9EC814" w14:textId="77777777" w:rsidR="001D6CD7" w:rsidRDefault="001D6CD7" w:rsidP="001D6CD7">
      <w:pPr>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cr m:val="script"/>
                            </m:rPr>
                            <w:rPr>
                              <w:rFonts w:ascii="Cambria Math" w:hAnsi="Cambria Math"/>
                            </w:rPr>
                            <m:t>C</m:t>
                          </m:r>
                          <m:r>
                            <m:rPr>
                              <m:sty m:val="p"/>
                            </m:rPr>
                            <w:rPr>
                              <w:rFonts w:ascii="Cambria Math" w:hAnsi="Cambria Math"/>
                            </w:rPr>
                            <m:t>(0,1)</m:t>
                          </m:r>
                        </m:e>
                      </m:box>
                    </m:e>
                  </m:d>
                </m:e>
              </m:box>
              <m:r>
                <m:rPr>
                  <m:sty m:val="p"/>
                </m:rPr>
                <w:rPr>
                  <w:rFonts w:ascii="Cambria Math" w:hAnsi="Cambria Math"/>
                </w:rPr>
                <m:t>,</m:t>
              </m:r>
              <m:r>
                <w:rPr>
                  <w:rFonts w:ascii="Cambria Math" w:hAnsi="Cambria Math"/>
                </w:rPr>
                <m:t xml:space="preserve"> </m:t>
              </m:r>
              <m:box>
                <m:boxPr>
                  <m:ctrlPr>
                    <w:rPr>
                      <w:rFonts w:ascii="Cambria Math" w:hAnsi="Cambria Math"/>
                    </w:rPr>
                  </m:ctrlPr>
                </m:boxPr>
                <m:e>
                  <m:r>
                    <m:rPr>
                      <m:sty m:val="p"/>
                    </m:rPr>
                    <w:rPr>
                      <w:rFonts w:ascii="Cambria Math" w:hAnsi="Cambria Math"/>
                    </w:rPr>
                    <m:t>clipped</m:t>
                  </m:r>
                  <m:r>
                    <m:rPr>
                      <m:nor/>
                    </m:rPr>
                    <m:t> </m:t>
                  </m:r>
                  <m:r>
                    <m:rPr>
                      <m:sty m:val="p"/>
                    </m:rPr>
                    <w:rPr>
                      <w:rFonts w:ascii="Cambria Math" w:hAnsi="Cambria Math"/>
                    </w:rPr>
                    <m:t>to</m:t>
                  </m:r>
                </m:e>
              </m:box>
              <m:r>
                <w:rPr>
                  <w:rFonts w:ascii="Cambria Math" w:hAnsi="Cambria Math"/>
                </w:rPr>
                <m:t xml:space="preserve"> </m:t>
              </m:r>
              <m:r>
                <m:rPr>
                  <m:sty m:val="p"/>
                </m:rPr>
                <w:rPr>
                  <w:rFonts w:ascii="Cambria Math" w:hAnsi="Cambria Math"/>
                </w:rPr>
                <m:t>[0.01,5]</m:t>
              </m:r>
            </m:e>
          </m:box>
        </m:oMath>
      </m:oMathPara>
    </w:p>
    <w:p w14:paraId="696E9256" w14:textId="77777777" w:rsidR="001D6CD7" w:rsidRDefault="001D6CD7" w:rsidP="001D6CD7">
      <w:pPr>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κ</m:t>
                  </m:r>
                </m:e>
                <m:sub>
                  <m:r>
                    <w:rPr>
                      <w:rFonts w:ascii="Cambria Math" w:hAnsi="Cambria Math"/>
                    </w:rPr>
                    <m:t>i</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clip</m:t>
                  </m:r>
                </m:e>
              </m:box>
              <m:r>
                <w:rPr>
                  <w:rFonts w:ascii="Cambria Math" w:hAnsi="Cambria Math"/>
                </w:rPr>
                <m:t xml:space="preserve"> </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i</m:t>
                                      </m:r>
                                    </m:sub>
                                  </m:sSub>
                                  <m:sSub>
                                    <m:sSubPr>
                                      <m:ctrlPr>
                                        <w:rPr>
                                          <w:rFonts w:ascii="Cambria Math" w:hAnsi="Cambria Math"/>
                                        </w:rPr>
                                      </m:ctrlPr>
                                    </m:sSubPr>
                                    <m:e>
                                      <m:r>
                                        <w:rPr>
                                          <w:rFonts w:ascii="Cambria Math" w:hAnsi="Cambria Math"/>
                                        </w:rPr>
                                        <m:t>λ</m:t>
                                      </m:r>
                                    </m:e>
                                    <m:sub>
                                      <m:r>
                                        <w:rPr>
                                          <w:rFonts w:ascii="Cambria Math" w:hAnsi="Cambria Math"/>
                                        </w:rPr>
                                        <m:t>i</m:t>
                                      </m:r>
                                    </m:sub>
                                  </m:sSub>
                                </m:e>
                              </m:box>
                            </m:num>
                            <m:den>
                              <m:box>
                                <m:boxPr>
                                  <m:ctrlPr>
                                    <w:rPr>
                                      <w:rFonts w:ascii="Cambria Math" w:hAnsi="Cambria Math"/>
                                    </w:rPr>
                                  </m:ctrlPr>
                                </m:boxPr>
                                <m:e>
                                  <m:r>
                                    <m:rPr>
                                      <m:sty m:val="p"/>
                                    </m:rPr>
                                    <w:rPr>
                                      <w:rFonts w:ascii="Cambria Math" w:hAnsi="Cambria Math"/>
                                    </w:rPr>
                                    <m:t>1+</m:t>
                                  </m:r>
                                  <m:sSub>
                                    <m:sSubPr>
                                      <m:ctrlPr>
                                        <w:rPr>
                                          <w:rFonts w:ascii="Cambria Math" w:hAnsi="Cambria Math"/>
                                        </w:rPr>
                                      </m:ctrlPr>
                                    </m:sSubPr>
                                    <m:e>
                                      <m:r>
                                        <w:rPr>
                                          <w:rFonts w:ascii="Cambria Math" w:hAnsi="Cambria Math"/>
                                        </w:rPr>
                                        <m:t>τ</m:t>
                                      </m:r>
                                    </m:e>
                                    <m:sub>
                                      <m:r>
                                        <w:rPr>
                                          <w:rFonts w:ascii="Cambria Math" w:hAnsi="Cambria Math"/>
                                        </w:rPr>
                                        <m:t>i</m:t>
                                      </m:r>
                                    </m:sub>
                                  </m:sSub>
                                  <m:sSub>
                                    <m:sSubPr>
                                      <m:ctrlPr>
                                        <w:rPr>
                                          <w:rFonts w:ascii="Cambria Math" w:hAnsi="Cambria Math"/>
                                        </w:rPr>
                                      </m:ctrlPr>
                                    </m:sSubPr>
                                    <m:e>
                                      <m:r>
                                        <w:rPr>
                                          <w:rFonts w:ascii="Cambria Math" w:hAnsi="Cambria Math"/>
                                        </w:rPr>
                                        <m:t>λ</m:t>
                                      </m:r>
                                    </m:e>
                                    <m:sub>
                                      <m:r>
                                        <w:rPr>
                                          <w:rFonts w:ascii="Cambria Math" w:hAnsi="Cambria Math"/>
                                        </w:rPr>
                                        <m:t>i</m:t>
                                      </m:r>
                                    </m:sub>
                                  </m:sSub>
                                </m:e>
                              </m:box>
                            </m:den>
                          </m:f>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κ</m:t>
                              </m:r>
                            </m:e>
                            <m:sub>
                              <m:box>
                                <m:boxPr>
                                  <m:ctrlPr>
                                    <w:rPr>
                                      <w:rFonts w:ascii="Cambria Math" w:hAnsi="Cambria Math"/>
                                    </w:rPr>
                                  </m:ctrlPr>
                                </m:boxPr>
                                <m:e>
                                  <m:r>
                                    <m:rPr>
                                      <m:sty m:val="p"/>
                                    </m:rPr>
                                    <w:rPr>
                                      <w:rFonts w:ascii="Cambria Math" w:hAnsi="Cambria Math"/>
                                    </w:rPr>
                                    <m:t>min</m:t>
                                  </m:r>
                                </m:e>
                              </m:box>
                            </m:sub>
                          </m:sSub>
                          <m:r>
                            <m:rPr>
                              <m:sty m:val="p"/>
                            </m:rPr>
                            <w:rPr>
                              <w:rFonts w:ascii="Cambria Math" w:hAnsi="Cambria Math"/>
                            </w:rPr>
                            <m:t>,</m:t>
                          </m:r>
                          <m:r>
                            <w:rPr>
                              <w:rFonts w:ascii="Cambria Math" w:hAnsi="Cambria Math"/>
                            </w:rPr>
                            <m:t xml:space="preserve"> </m:t>
                          </m:r>
                          <m:r>
                            <m:rPr>
                              <m:sty m:val="p"/>
                            </m:rPr>
                            <w:rPr>
                              <w:rFonts w:ascii="Cambria Math" w:hAnsi="Cambria Math"/>
                            </w:rPr>
                            <m:t>1</m:t>
                          </m:r>
                        </m:e>
                      </m:box>
                    </m:e>
                  </m:d>
                </m:e>
              </m:box>
            </m:e>
          </m:box>
        </m:oMath>
      </m:oMathPara>
    </w:p>
    <w:p w14:paraId="51F0DCBC" w14:textId="77777777" w:rsidR="001D6CD7" w:rsidRDefault="001D6CD7" w:rsidP="001D6CD7">
      <w:pPr>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κ</m:t>
                  </m:r>
                </m:e>
                <m:sub>
                  <m:box>
                    <m:boxPr>
                      <m:ctrlPr>
                        <w:rPr>
                          <w:rFonts w:ascii="Cambria Math" w:hAnsi="Cambria Math"/>
                        </w:rPr>
                      </m:ctrlPr>
                    </m:boxPr>
                    <m:e>
                      <m:r>
                        <m:rPr>
                          <m:sty m:val="p"/>
                        </m:rPr>
                        <w:rPr>
                          <w:rFonts w:ascii="Cambria Math" w:hAnsi="Cambria Math"/>
                        </w:rPr>
                        <m:t>min</m:t>
                      </m:r>
                    </m:e>
                  </m:box>
                </m:sub>
              </m:sSub>
              <m:r>
                <m:rPr>
                  <m:sty m:val="p"/>
                </m:rPr>
                <w:rPr>
                  <w:rFonts w:ascii="Cambria Math" w:hAnsi="Cambria Math"/>
                </w:rPr>
                <m:t>=0.5</m:t>
              </m:r>
            </m:e>
          </m:box>
        </m:oMath>
      </m:oMathPara>
    </w:p>
    <w:p w14:paraId="2050FCEE" w14:textId="77777777" w:rsidR="001D6CD7" w:rsidRDefault="001D6CD7" w:rsidP="001D6CD7">
      <w:pPr>
        <w:jc w:val="center"/>
      </w:pPr>
      <m:oMathPara>
        <m:oMath>
          <m:box>
            <m:boxPr>
              <m:ctrlPr>
                <w:rPr>
                  <w:rFonts w:ascii="Cambria Math" w:hAnsi="Cambria Math"/>
                </w:rPr>
              </m:ctrlPr>
            </m:boxPr>
            <m:e>
              <m:sSubSup>
                <m:sSubSupPr>
                  <m:ctrlPr>
                    <w:rPr>
                      <w:rFonts w:ascii="Cambria Math" w:hAnsi="Cambria Math"/>
                    </w:rPr>
                  </m:ctrlPr>
                </m:sSubSupPr>
                <m:e>
                  <m:acc>
                    <m:accPr>
                      <m:chr m:val="ˆ"/>
                      <m:ctrlPr>
                        <w:rPr>
                          <w:rFonts w:ascii="Cambria Math" w:hAnsi="Cambria Math"/>
                        </w:rPr>
                      </m:ctrlPr>
                    </m:accPr>
                    <m:e>
                      <m:box>
                        <m:boxPr>
                          <m:ctrlPr>
                            <w:rPr>
                              <w:rFonts w:ascii="Cambria Math" w:hAnsi="Cambria Math"/>
                            </w:rPr>
                          </m:ctrlPr>
                        </m:boxPr>
                        <m:e>
                          <m:r>
                            <w:rPr>
                              <w:rFonts w:ascii="Cambria Math" w:hAnsi="Cambria Math"/>
                            </w:rPr>
                            <m:t>μ</m:t>
                          </m:r>
                        </m:e>
                      </m:box>
                    </m:e>
                  </m:acc>
                </m:e>
                <m:sub>
                  <m:r>
                    <w:rPr>
                      <w:rFonts w:ascii="Cambria Math" w:hAnsi="Cambria Math"/>
                    </w:rPr>
                    <m:t>i</m:t>
                  </m:r>
                </m:sub>
                <m:sup>
                  <m:box>
                    <m:boxPr>
                      <m:ctrlPr>
                        <w:rPr>
                          <w:rFonts w:ascii="Cambria Math" w:hAnsi="Cambria Math"/>
                        </w:rPr>
                      </m:ctrlPr>
                    </m:boxPr>
                    <m:e>
                      <m:box>
                        <m:boxPr>
                          <m:ctrlPr>
                            <w:rPr>
                              <w:rFonts w:ascii="Cambria Math" w:hAnsi="Cambria Math"/>
                            </w:rPr>
                          </m:ctrlPr>
                        </m:boxPr>
                        <m:e>
                          <m:r>
                            <m:rPr>
                              <m:sty m:val="p"/>
                            </m:rPr>
                            <w:rPr>
                              <w:rFonts w:ascii="Cambria Math" w:hAnsi="Cambria Math"/>
                            </w:rPr>
                            <m:t>shr</m:t>
                          </m:r>
                        </m:e>
                      </m:box>
                    </m:e>
                  </m:box>
                </m:sup>
              </m:sSubSup>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i</m:t>
                  </m:r>
                </m:sub>
              </m:sSub>
              <m:sSubSup>
                <m:sSubSupPr>
                  <m:ctrlPr>
                    <w:rPr>
                      <w:rFonts w:ascii="Cambria Math" w:hAnsi="Cambria Math"/>
                    </w:rPr>
                  </m:ctrlPr>
                </m:sSubSupPr>
                <m:e>
                  <m:acc>
                    <m:accPr>
                      <m:chr m:val="ˆ"/>
                      <m:ctrlPr>
                        <w:rPr>
                          <w:rFonts w:ascii="Cambria Math" w:hAnsi="Cambria Math"/>
                        </w:rPr>
                      </m:ctrlPr>
                    </m:accPr>
                    <m:e>
                      <m:box>
                        <m:boxPr>
                          <m:ctrlPr>
                            <w:rPr>
                              <w:rFonts w:ascii="Cambria Math" w:hAnsi="Cambria Math"/>
                            </w:rPr>
                          </m:ctrlPr>
                        </m:boxPr>
                        <m:e>
                          <m:r>
                            <w:rPr>
                              <w:rFonts w:ascii="Cambria Math" w:hAnsi="Cambria Math"/>
                            </w:rPr>
                            <m:t>μ</m:t>
                          </m:r>
                        </m:e>
                      </m:box>
                    </m:e>
                  </m:acc>
                </m:e>
                <m:sub>
                  <m:r>
                    <w:rPr>
                      <w:rFonts w:ascii="Cambria Math" w:hAnsi="Cambria Math"/>
                    </w:rPr>
                    <m:t>i</m:t>
                  </m:r>
                </m:sub>
                <m:sup>
                  <m:box>
                    <m:boxPr>
                      <m:ctrlPr>
                        <w:rPr>
                          <w:rFonts w:ascii="Cambria Math" w:hAnsi="Cambria Math"/>
                        </w:rPr>
                      </m:ctrlPr>
                    </m:boxPr>
                    <m:e>
                      <m:box>
                        <m:boxPr>
                          <m:ctrlPr>
                            <w:rPr>
                              <w:rFonts w:ascii="Cambria Math" w:hAnsi="Cambria Math"/>
                            </w:rPr>
                          </m:ctrlPr>
                        </m:boxPr>
                        <m:e>
                          <m:r>
                            <m:rPr>
                              <m:sty m:val="p"/>
                            </m:rPr>
                            <w:rPr>
                              <w:rFonts w:ascii="Cambria Math" w:hAnsi="Cambria Math"/>
                            </w:rPr>
                            <m:t>sm</m:t>
                          </m:r>
                        </m:e>
                      </m:box>
                    </m:e>
                  </m:box>
                </m:sup>
              </m:sSubSup>
              <m:r>
                <m:rPr>
                  <m:sty m:val="p"/>
                </m:rPr>
                <w:rPr>
                  <w:rFonts w:ascii="Cambria Math" w:hAnsi="Cambria Math"/>
                </w:rPr>
                <m:t>+(1-</m:t>
              </m:r>
              <m:sSub>
                <m:sSubPr>
                  <m:ctrlPr>
                    <w:rPr>
                      <w:rFonts w:ascii="Cambria Math" w:hAnsi="Cambria Math"/>
                    </w:rPr>
                  </m:ctrlPr>
                </m:sSubPr>
                <m:e>
                  <m:r>
                    <w:rPr>
                      <w:rFonts w:ascii="Cambria Math" w:hAnsi="Cambria Math"/>
                    </w:rPr>
                    <m:t>κ</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i</m:t>
                  </m:r>
                </m:sub>
                <m:sup>
                  <m:box>
                    <m:boxPr>
                      <m:ctrlPr>
                        <w:rPr>
                          <w:rFonts w:ascii="Cambria Math" w:hAnsi="Cambria Math"/>
                        </w:rPr>
                      </m:ctrlPr>
                    </m:boxPr>
                    <m:e>
                      <m:r>
                        <m:rPr>
                          <m:sty m:val="p"/>
                        </m:rPr>
                        <w:rPr>
                          <w:rFonts w:ascii="Cambria Math" w:hAnsi="Cambria Math"/>
                        </w:rPr>
                        <m:t>0</m:t>
                      </m:r>
                    </m:e>
                  </m:box>
                </m:sup>
              </m:sSubSup>
            </m:e>
          </m:box>
        </m:oMath>
      </m:oMathPara>
    </w:p>
    <w:p w14:paraId="33C003A3" w14:textId="77777777" w:rsidR="00A31411" w:rsidRPr="00A31411" w:rsidRDefault="00A31411" w:rsidP="00A31411">
      <w:pPr>
        <w:spacing w:after="120"/>
        <w:rPr>
          <w:color w:val="222830"/>
        </w:rPr>
      </w:pPr>
    </w:p>
    <w:p w14:paraId="654F1D5F" w14:textId="2726B2AF" w:rsidR="001D6CD7" w:rsidRPr="001D6CD7" w:rsidRDefault="00A31411" w:rsidP="001D6CD7">
      <w:pPr>
        <w:pStyle w:val="ListParagraph"/>
        <w:numPr>
          <w:ilvl w:val="0"/>
          <w:numId w:val="12"/>
        </w:numPr>
        <w:spacing w:after="120"/>
        <w:rPr>
          <w:color w:val="222830"/>
        </w:rPr>
      </w:pPr>
      <w:r w:rsidRPr="001D6CD7">
        <w:rPr>
          <w:color w:val="222830"/>
        </w:rPr>
        <w:t>Cross-sectional momentum tilt</w:t>
      </w:r>
    </w:p>
    <w:p w14:paraId="68586099" w14:textId="0B5FDD4D" w:rsidR="00A31411" w:rsidRPr="001D6CD7" w:rsidRDefault="00A31411" w:rsidP="001D6CD7">
      <w:pPr>
        <w:spacing w:after="120"/>
        <w:rPr>
          <w:color w:val="222830"/>
        </w:rPr>
      </w:pPr>
      <w:r w:rsidRPr="001D6CD7">
        <w:rPr>
          <w:color w:val="222830"/>
        </w:rPr>
        <w:t>A 12-minus-1-month cumulative return is computed (skipping the last 21 days to avoid short-term reversal), z-scored across ETFs, and scaled to return units by the typical daily volatility, then added with weight θ = 0.3:</w:t>
      </w:r>
    </w:p>
    <w:p w14:paraId="217ECC5D" w14:textId="77777777" w:rsidR="00A31411" w:rsidRPr="00A31411" w:rsidRDefault="00A31411" w:rsidP="00A31411">
      <w:pPr>
        <w:spacing w:after="120"/>
        <w:rPr>
          <w:color w:val="222830"/>
        </w:rPr>
      </w:pPr>
    </w:p>
    <w:p w14:paraId="208F6C75" w14:textId="77777777" w:rsidR="001D6CD7" w:rsidRDefault="001D6CD7" w:rsidP="001D6CD7">
      <w:pPr>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-252</m:t>
                      </m:r>
                    </m:e>
                  </m:box>
                </m:sub>
                <m:sup>
                  <m:box>
                    <m:boxPr>
                      <m:ctrlPr>
                        <w:rPr>
                          <w:rFonts w:ascii="Cambria Math" w:hAnsi="Cambria Math"/>
                        </w:rPr>
                      </m:ctrlPr>
                    </m:boxPr>
                    <m:e>
                      <m:r>
                        <w:rPr>
                          <w:rFonts w:ascii="Cambria Math" w:hAnsi="Cambria Math"/>
                        </w:rPr>
                        <m:t>T</m:t>
                      </m:r>
                      <m:r>
                        <m:rPr>
                          <m:sty m:val="p"/>
                        </m:rPr>
                        <w:rPr>
                          <w:rFonts w:ascii="Cambria Math" w:hAnsi="Cambria Math"/>
                        </w:rPr>
                        <m:t>-21</m:t>
                      </m:r>
                    </m:e>
                  </m:box>
                </m:sup>
                <m:e>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i</m:t>
                          </m:r>
                          <m:r>
                            <m:rPr>
                              <m:sty m:val="p"/>
                            </m:rPr>
                            <w:rPr>
                              <w:rFonts w:ascii="Cambria Math" w:hAnsi="Cambria Math"/>
                            </w:rPr>
                            <m:t>,</m:t>
                          </m:r>
                          <m:r>
                            <w:rPr>
                              <w:rFonts w:ascii="Cambria Math" w:hAnsi="Cambria Math"/>
                            </w:rPr>
                            <m:t>t</m:t>
                          </m:r>
                        </m:e>
                      </m:box>
                    </m:sub>
                  </m:sSub>
                </m:e>
              </m:nary>
            </m:e>
          </m:box>
        </m:oMath>
      </m:oMathPara>
    </w:p>
    <w:p w14:paraId="39407AAE" w14:textId="77777777" w:rsidR="001D6CD7" w:rsidRDefault="001D6CD7" w:rsidP="001D6CD7">
      <w:pPr>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g</m:t>
                              </m:r>
                            </m:e>
                          </m:box>
                        </m:e>
                      </m:acc>
                    </m:e>
                  </m:box>
                </m:num>
                <m:den>
                  <m:box>
                    <m:boxPr>
                      <m:ctrlPr>
                        <w:rPr>
                          <w:rFonts w:ascii="Cambria Math" w:hAnsi="Cambria Math"/>
                        </w:rPr>
                      </m:ctrlPr>
                    </m:boxPr>
                    <m:e>
                      <m:box>
                        <m:boxPr>
                          <m:ctrlPr>
                            <w:rPr>
                              <w:rFonts w:ascii="Cambria Math" w:hAnsi="Cambria Math"/>
                            </w:rPr>
                          </m:ctrlPr>
                        </m:boxPr>
                        <m:e>
                          <m:r>
                            <m:rPr>
                              <m:sty m:val="p"/>
                            </m:rPr>
                            <w:rPr>
                              <w:rFonts w:ascii="Cambria Math" w:hAnsi="Cambria Math"/>
                            </w:rPr>
                            <m:t>sd</m:t>
                          </m:r>
                        </m:e>
                      </m:box>
                      <m:r>
                        <m:rPr>
                          <m:sty m:val="p"/>
                        </m:rPr>
                        <w:rPr>
                          <w:rFonts w:ascii="Cambria Math" w:hAnsi="Cambria Math"/>
                        </w:rPr>
                        <m:t>(</m:t>
                      </m:r>
                      <m:r>
                        <w:rPr>
                          <w:rFonts w:ascii="Cambria Math" w:hAnsi="Cambria Math"/>
                        </w:rPr>
                        <m:t>g</m:t>
                      </m:r>
                      <m:r>
                        <m:rPr>
                          <m:sty m:val="p"/>
                        </m:rPr>
                        <w:rPr>
                          <w:rFonts w:ascii="Cambria Math" w:hAnsi="Cambria Math"/>
                        </w:rPr>
                        <m:t>)</m:t>
                      </m:r>
                    </m:e>
                  </m:box>
                </m:den>
              </m:f>
            </m:e>
          </m:box>
        </m:oMath>
      </m:oMathPara>
    </w:p>
    <w:p w14:paraId="79AF2532" w14:textId="77777777" w:rsidR="001D6CD7" w:rsidRDefault="001D6CD7" w:rsidP="001D6CD7">
      <w:pPr>
        <w:jc w:val="center"/>
      </w:pPr>
      <m:oMathPara>
        <m:oMath>
          <m:box>
            <m:boxPr>
              <m:ctrlPr>
                <w:rPr>
                  <w:rFonts w:ascii="Cambria Math" w:hAnsi="Cambria Math"/>
                </w:rPr>
              </m:ctrlPr>
            </m:boxPr>
            <m:e>
              <m:sSup>
                <m:sSupPr>
                  <m:ctrlPr>
                    <w:rPr>
                      <w:rFonts w:ascii="Cambria Math" w:hAnsi="Cambria Math"/>
                    </w:rPr>
                  </m:ctrlPr>
                </m:sSupPr>
                <m:e>
                  <m:r>
                    <w:rPr>
                      <w:rFonts w:ascii="Cambria Math" w:hAnsi="Cambria Math"/>
                    </w:rPr>
                    <m:t>σ</m:t>
                  </m:r>
                </m:e>
                <m:sup>
                  <m:box>
                    <m:boxPr>
                      <m:ctrlPr>
                        <w:rPr>
                          <w:rFonts w:ascii="Cambria Math" w:hAnsi="Cambria Math"/>
                        </w:rPr>
                      </m:ctrlPr>
                    </m:boxPr>
                    <m:e>
                      <m:r>
                        <m:rPr>
                          <m:sty m:val="p"/>
                        </m:rPr>
                        <w:rPr>
                          <w:rFonts w:ascii="Cambria Math" w:hAnsi="Cambria Math"/>
                        </w:rPr>
                        <m:t>*</m:t>
                      </m:r>
                    </m:e>
                  </m:box>
                </m:sup>
              </m:sSup>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median</m:t>
                      </m:r>
                    </m:e>
                  </m:box>
                </m:e>
                <m:sub>
                  <m:r>
                    <w:rPr>
                      <w:rFonts w:ascii="Cambria Math" w:hAnsi="Cambria Math"/>
                    </w:rPr>
                    <m:t>i</m:t>
                  </m:r>
                </m:sub>
              </m:sSub>
              <m:r>
                <w:rPr>
                  <w:rFonts w:ascii="Cambria Math" w:hAnsi="Cambria Math"/>
                </w:rPr>
                <m:t xml:space="preserve"> </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sd</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i</m:t>
                                  </m:r>
                                  <m:r>
                                    <m:rPr>
                                      <m:sty m:val="p"/>
                                    </m:rPr>
                                    <w:rPr>
                                      <w:rFonts w:ascii="Cambria Math" w:hAnsi="Cambria Math"/>
                                    </w:rPr>
                                    <m:t>,</m:t>
                                  </m:r>
                                  <m:r>
                                    <w:rPr>
                                      <w:rFonts w:ascii="Cambria Math" w:hAnsi="Cambria Math"/>
                                    </w:rPr>
                                    <m:t>t</m:t>
                                  </m:r>
                                </m:e>
                              </m:box>
                            </m:sub>
                          </m:sSub>
                          <m:r>
                            <m:rPr>
                              <m:sty m:val="p"/>
                            </m:rPr>
                            <w:rPr>
                              <w:rFonts w:ascii="Cambria Math" w:hAnsi="Cambria Math"/>
                            </w:rPr>
                            <m:t>)</m:t>
                          </m:r>
                        </m:e>
                      </m:box>
                    </m:e>
                  </m:d>
                </m:e>
              </m:box>
            </m:e>
          </m:box>
        </m:oMath>
      </m:oMathPara>
    </w:p>
    <w:p w14:paraId="4F32F403" w14:textId="77777777" w:rsidR="001D6CD7" w:rsidRDefault="001D6CD7" w:rsidP="001D6CD7">
      <w:pPr>
        <w:jc w:val="center"/>
      </w:pPr>
      <m:oMathPara>
        <m:oMath>
          <m:box>
            <m:boxPr>
              <m:ctrlPr>
                <w:rPr>
                  <w:rFonts w:ascii="Cambria Math" w:hAnsi="Cambria Math"/>
                </w:rPr>
              </m:ctrlPr>
            </m:boxPr>
            <m:e>
              <m:sSubSup>
                <m:sSubSupPr>
                  <m:ctrlPr>
                    <w:rPr>
                      <w:rFonts w:ascii="Cambria Math" w:hAnsi="Cambria Math"/>
                    </w:rPr>
                  </m:ctrlPr>
                </m:sSubSupPr>
                <m:e>
                  <m:r>
                    <w:rPr>
                      <w:rFonts w:ascii="Cambria Math" w:hAnsi="Cambria Math"/>
                    </w:rPr>
                    <m:t>μ</m:t>
                  </m:r>
                </m:e>
                <m:sub>
                  <m:r>
                    <w:rPr>
                      <w:rFonts w:ascii="Cambria Math" w:hAnsi="Cambria Math"/>
                    </w:rPr>
                    <m:t>i</m:t>
                  </m:r>
                </m:sub>
                <m:sup>
                  <m:box>
                    <m:boxPr>
                      <m:ctrlPr>
                        <w:rPr>
                          <w:rFonts w:ascii="Cambria Math" w:hAnsi="Cambria Math"/>
                        </w:rPr>
                      </m:ctrlPr>
                    </m:boxPr>
                    <m:e>
                      <m:box>
                        <m:boxPr>
                          <m:ctrlPr>
                            <w:rPr>
                              <w:rFonts w:ascii="Cambria Math" w:hAnsi="Cambria Math"/>
                            </w:rPr>
                          </m:ctrlPr>
                        </m:boxPr>
                        <m:e>
                          <m:r>
                            <m:rPr>
                              <m:sty m:val="p"/>
                            </m:rPr>
                            <w:rPr>
                              <w:rFonts w:ascii="Cambria Math" w:hAnsi="Cambria Math"/>
                            </w:rPr>
                            <m:t>post</m:t>
                          </m:r>
                        </m:e>
                      </m:box>
                    </m:e>
                  </m:box>
                </m:sup>
              </m:sSubSup>
              <m:r>
                <m:rPr>
                  <m:sty m:val="p"/>
                </m:rPr>
                <w:rPr>
                  <w:rFonts w:ascii="Cambria Math" w:hAnsi="Cambria Math"/>
                </w:rPr>
                <m:t>=</m:t>
              </m:r>
              <m:sSubSup>
                <m:sSubSupPr>
                  <m:ctrlPr>
                    <w:rPr>
                      <w:rFonts w:ascii="Cambria Math" w:hAnsi="Cambria Math"/>
                    </w:rPr>
                  </m:ctrlPr>
                </m:sSubSupPr>
                <m:e>
                  <m:acc>
                    <m:accPr>
                      <m:chr m:val="ˆ"/>
                      <m:ctrlPr>
                        <w:rPr>
                          <w:rFonts w:ascii="Cambria Math" w:hAnsi="Cambria Math"/>
                        </w:rPr>
                      </m:ctrlPr>
                    </m:accPr>
                    <m:e>
                      <m:box>
                        <m:boxPr>
                          <m:ctrlPr>
                            <w:rPr>
                              <w:rFonts w:ascii="Cambria Math" w:hAnsi="Cambria Math"/>
                            </w:rPr>
                          </m:ctrlPr>
                        </m:boxPr>
                        <m:e>
                          <m:r>
                            <w:rPr>
                              <w:rFonts w:ascii="Cambria Math" w:hAnsi="Cambria Math"/>
                            </w:rPr>
                            <m:t>μ</m:t>
                          </m:r>
                        </m:e>
                      </m:box>
                    </m:e>
                  </m:acc>
                </m:e>
                <m:sub>
                  <m:r>
                    <w:rPr>
                      <w:rFonts w:ascii="Cambria Math" w:hAnsi="Cambria Math"/>
                    </w:rPr>
                    <m:t>i</m:t>
                  </m:r>
                </m:sub>
                <m:sup>
                  <m:box>
                    <m:boxPr>
                      <m:ctrlPr>
                        <w:rPr>
                          <w:rFonts w:ascii="Cambria Math" w:hAnsi="Cambria Math"/>
                        </w:rPr>
                      </m:ctrlPr>
                    </m:boxPr>
                    <m:e>
                      <m:box>
                        <m:boxPr>
                          <m:ctrlPr>
                            <w:rPr>
                              <w:rFonts w:ascii="Cambria Math" w:hAnsi="Cambria Math"/>
                            </w:rPr>
                          </m:ctrlPr>
                        </m:boxPr>
                        <m:e>
                          <m:r>
                            <m:rPr>
                              <m:sty m:val="p"/>
                            </m:rPr>
                            <w:rPr>
                              <w:rFonts w:ascii="Cambria Math" w:hAnsi="Cambria Math"/>
                            </w:rPr>
                            <m:t>shr</m:t>
                          </m:r>
                        </m:e>
                      </m:box>
                    </m:e>
                  </m:box>
                </m:sup>
              </m:sSubSup>
              <m:r>
                <m:rPr>
                  <m:sty m:val="p"/>
                </m:rPr>
                <w:rPr>
                  <w:rFonts w:ascii="Cambria Math" w:hAnsi="Cambria Math"/>
                </w:rPr>
                <m:t>+</m:t>
              </m:r>
              <m:r>
                <w:rPr>
                  <w:rFonts w:ascii="Cambria Math" w:hAnsi="Cambria Math"/>
                </w:rPr>
                <m:t>θ</m:t>
              </m:r>
              <m:sSub>
                <m:sSubPr>
                  <m:ctrlPr>
                    <w:rPr>
                      <w:rFonts w:ascii="Cambria Math" w:hAnsi="Cambria Math"/>
                    </w:rPr>
                  </m:ctrlPr>
                </m:sSubPr>
                <m:e>
                  <m:r>
                    <w:rPr>
                      <w:rFonts w:ascii="Cambria Math" w:hAnsi="Cambria Math"/>
                    </w:rPr>
                    <m:t>z</m:t>
                  </m:r>
                </m:e>
                <m:sub>
                  <m:r>
                    <w:rPr>
                      <w:rFonts w:ascii="Cambria Math" w:hAnsi="Cambria Math"/>
                    </w:rPr>
                    <m:t>i</m:t>
                  </m:r>
                </m:sub>
              </m:sSub>
              <m:sSup>
                <m:sSupPr>
                  <m:ctrlPr>
                    <w:rPr>
                      <w:rFonts w:ascii="Cambria Math" w:hAnsi="Cambria Math"/>
                    </w:rPr>
                  </m:ctrlPr>
                </m:sSupPr>
                <m:e>
                  <m:r>
                    <w:rPr>
                      <w:rFonts w:ascii="Cambria Math" w:hAnsi="Cambria Math"/>
                    </w:rPr>
                    <m:t>σ</m:t>
                  </m:r>
                </m:e>
                <m:sup>
                  <m:box>
                    <m:boxPr>
                      <m:ctrlPr>
                        <w:rPr>
                          <w:rFonts w:ascii="Cambria Math" w:hAnsi="Cambria Math"/>
                        </w:rPr>
                      </m:ctrlPr>
                    </m:boxPr>
                    <m:e>
                      <m:r>
                        <m:rPr>
                          <m:sty m:val="p"/>
                        </m:rPr>
                        <w:rPr>
                          <w:rFonts w:ascii="Cambria Math" w:hAnsi="Cambria Math"/>
                        </w:rPr>
                        <m:t>*</m:t>
                      </m:r>
                    </m:e>
                  </m:box>
                </m:sup>
              </m:sSup>
              <m:r>
                <m:rPr>
                  <m:sty m:val="p"/>
                </m:rPr>
                <w:rPr>
                  <w:rFonts w:ascii="Cambria Math" w:hAnsi="Cambria Math"/>
                </w:rPr>
                <m:t>,</m:t>
              </m:r>
              <m:r>
                <w:rPr>
                  <w:rFonts w:ascii="Cambria Math" w:hAnsi="Cambria Math"/>
                </w:rPr>
                <m:t xml:space="preserve"> θ</m:t>
              </m:r>
              <m:r>
                <m:rPr>
                  <m:sty m:val="p"/>
                </m:rPr>
                <w:rPr>
                  <w:rFonts w:ascii="Cambria Math" w:hAnsi="Cambria Math"/>
                </w:rPr>
                <m:t>=0.3</m:t>
              </m:r>
            </m:e>
          </m:box>
        </m:oMath>
      </m:oMathPara>
    </w:p>
    <w:p w14:paraId="63DB8AA9" w14:textId="1612B573" w:rsidR="00517998" w:rsidRPr="00517998" w:rsidRDefault="00517998" w:rsidP="00517998">
      <w:pPr>
        <w:spacing w:after="120"/>
        <w:rPr>
          <w:color w:val="222830"/>
          <w:lang w:val="ru-RU"/>
        </w:rPr>
      </w:pPr>
    </w:p>
    <w:p w14:paraId="7863663C" w14:textId="6BB98158" w:rsidR="00517998" w:rsidRPr="00A31411" w:rsidRDefault="00517998" w:rsidP="00517998">
      <w:pPr>
        <w:spacing w:after="120"/>
        <w:rPr>
          <w:b/>
          <w:bCs/>
          <w:color w:val="222830"/>
          <w:lang w:val="en-GB"/>
        </w:rPr>
      </w:pPr>
      <w:r w:rsidRPr="00A31411">
        <w:rPr>
          <w:b/>
          <w:bCs/>
          <w:color w:val="222830"/>
          <w:lang w:val="en-GB"/>
        </w:rPr>
        <w:lastRenderedPageBreak/>
        <w:t xml:space="preserve">Step 2 </w:t>
      </w:r>
      <w:r w:rsidR="005C2FC3">
        <w:rPr>
          <w:b/>
          <w:bCs/>
          <w:color w:val="222830"/>
          <w:lang w:val="en-GB"/>
        </w:rPr>
        <w:t>-</w:t>
      </w:r>
      <w:r w:rsidRPr="00A31411">
        <w:rPr>
          <w:b/>
          <w:bCs/>
          <w:color w:val="222830"/>
          <w:lang w:val="en-GB"/>
        </w:rPr>
        <w:t xml:space="preserve"> the covariance </w:t>
      </w:r>
      <w:r w:rsidRPr="00A31411">
        <w:rPr>
          <w:b/>
          <w:bCs/>
          <w:color w:val="222830"/>
          <w:lang w:val="ru-RU"/>
        </w:rPr>
        <w:t>Σ</w:t>
      </w:r>
      <w:r w:rsidRPr="00A31411">
        <w:rPr>
          <w:b/>
          <w:bCs/>
          <w:color w:val="222830"/>
          <w:lang w:val="en-GB"/>
        </w:rPr>
        <w:t xml:space="preserve"> and its Cholesky factor</w:t>
      </w:r>
    </w:p>
    <w:p w14:paraId="1855FAC5" w14:textId="77777777" w:rsidR="00517998" w:rsidRPr="00517998" w:rsidRDefault="00517998" w:rsidP="008633A2">
      <w:pPr>
        <w:spacing w:after="120"/>
        <w:ind w:firstLine="720"/>
        <w:rPr>
          <w:color w:val="222830"/>
          <w:lang w:val="en-GB"/>
        </w:rPr>
      </w:pPr>
      <w:r w:rsidRPr="00517998">
        <w:rPr>
          <w:color w:val="222830"/>
          <w:lang w:val="en-GB"/>
        </w:rPr>
        <w:t>The second moment is estimated with the </w:t>
      </w:r>
      <w:proofErr w:type="spellStart"/>
      <w:r w:rsidRPr="00517998">
        <w:rPr>
          <w:color w:val="222830"/>
          <w:lang w:val="en-GB"/>
        </w:rPr>
        <w:t>Ledoit</w:t>
      </w:r>
      <w:proofErr w:type="spellEnd"/>
      <w:r w:rsidRPr="00517998">
        <w:rPr>
          <w:color w:val="222830"/>
          <w:lang w:val="en-GB"/>
        </w:rPr>
        <w:t>–Wolf shrinkage estimator: a convex combination of the noisy sample covariance S and a structured target F (a scaled-identity / constant-correlation matrix), with the intensity </w:t>
      </w:r>
      <w:r w:rsidRPr="00517998">
        <w:rPr>
          <w:color w:val="222830"/>
          <w:lang w:val="ru-RU"/>
        </w:rPr>
        <w:t>δ</w:t>
      </w:r>
      <w:r w:rsidRPr="00517998">
        <w:rPr>
          <w:rFonts w:ascii="Cambria Math" w:hAnsi="Cambria Math" w:cs="Cambria Math"/>
          <w:color w:val="222830"/>
          <w:lang w:val="en-GB"/>
        </w:rPr>
        <w:t>⋆</w:t>
      </w:r>
      <w:r w:rsidRPr="00517998">
        <w:rPr>
          <w:color w:val="222830"/>
          <w:lang w:val="en-GB"/>
        </w:rPr>
        <w:t xml:space="preserve"> </w:t>
      </w:r>
      <w:r w:rsidRPr="00517998">
        <w:rPr>
          <w:rFonts w:ascii="Cambria Math" w:hAnsi="Cambria Math" w:cs="Cambria Math"/>
          <w:color w:val="222830"/>
          <w:lang w:val="en-GB"/>
        </w:rPr>
        <w:t>∈</w:t>
      </w:r>
      <w:r w:rsidRPr="00517998">
        <w:rPr>
          <w:color w:val="222830"/>
          <w:lang w:val="en-GB"/>
        </w:rPr>
        <w:t xml:space="preserve"> [0,1]</w:t>
      </w:r>
      <w:r w:rsidRPr="00517998">
        <w:rPr>
          <w:rFonts w:cs="Calibri"/>
          <w:color w:val="222830"/>
          <w:lang w:val="en-GB"/>
        </w:rPr>
        <w:t> </w:t>
      </w:r>
      <w:r w:rsidRPr="00517998">
        <w:rPr>
          <w:color w:val="222830"/>
          <w:lang w:val="en-GB"/>
        </w:rPr>
        <w:t>chosen to minimise expected Frobenius loss:</w:t>
      </w:r>
    </w:p>
    <w:p w14:paraId="790358AF" w14:textId="77777777" w:rsidR="00565D58" w:rsidRDefault="00565D58" w:rsidP="00565D58">
      <w:pPr>
        <w:jc w:val="center"/>
      </w:pPr>
      <m:oMathPara>
        <m:oMath>
          <m:box>
            <m:boxPr>
              <m:ctrlPr>
                <w:rPr>
                  <w:rFonts w:ascii="Cambria Math" w:hAnsi="Cambria Math"/>
                </w:rPr>
              </m:ctrlPr>
            </m:boxPr>
            <m:e>
              <m:r>
                <w:rPr>
                  <w:rFonts w:ascii="Cambria Math" w:hAnsi="Cambria Math"/>
                </w:rPr>
                <m:t>S</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T</m:t>
                      </m:r>
                      <m:r>
                        <m:rPr>
                          <m:sty m:val="p"/>
                        </m:rPr>
                        <w:rPr>
                          <w:rFonts w:ascii="Cambria Math" w:hAnsi="Cambria Math"/>
                        </w:rPr>
                        <m:t>-1</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t</m:t>
                      </m:r>
                      <m:r>
                        <m:rPr>
                          <m:sty m:val="p"/>
                        </m:rPr>
                        <w:rPr>
                          <w:rFonts w:ascii="Cambria Math" w:hAnsi="Cambria Math"/>
                        </w:rPr>
                        <m:t>=1</m:t>
                      </m:r>
                    </m:e>
                  </m:box>
                </m:sub>
                <m:sup>
                  <m:box>
                    <m:boxPr>
                      <m:ctrlPr>
                        <w:rPr>
                          <w:rFonts w:ascii="Cambria Math" w:hAnsi="Cambria Math"/>
                        </w:rPr>
                      </m:ctrlPr>
                    </m:boxPr>
                    <m:e>
                      <m:r>
                        <w:rPr>
                          <w:rFonts w:ascii="Cambria Math" w:hAnsi="Cambria Math"/>
                        </w:rPr>
                        <m:t>T</m:t>
                      </m:r>
                    </m:e>
                  </m:box>
                </m:sup>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r</m:t>
                                      </m:r>
                                    </m:e>
                                  </m:box>
                                </m:e>
                              </m:acc>
                            </m:e>
                          </m:box>
                        </m:e>
                      </m:d>
                    </m:e>
                  </m:box>
                  <m:sSup>
                    <m:sSupPr>
                      <m:ctrlPr>
                        <w:rPr>
                          <w:rFonts w:ascii="Cambria Math" w:hAnsi="Cambria Math"/>
                        </w:rPr>
                      </m:ctrlPr>
                    </m:sSupPr>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r</m:t>
                                          </m:r>
                                        </m:e>
                                      </m:box>
                                    </m:e>
                                  </m:acc>
                                </m:e>
                              </m:box>
                            </m:e>
                          </m:d>
                        </m:e>
                      </m:box>
                    </m:e>
                    <m:sup>
                      <m:box>
                        <m:boxPr>
                          <m:ctrlPr>
                            <w:rPr>
                              <w:rFonts w:ascii="Cambria Math" w:hAnsi="Cambria Math"/>
                            </w:rPr>
                          </m:ctrlPr>
                        </m:boxPr>
                        <m:e>
                          <m:r>
                            <m:rPr>
                              <m:sty m:val="p"/>
                            </m:rPr>
                            <w:rPr>
                              <w:rFonts w:ascii="Cambria Math" w:hAnsi="Cambria Math"/>
                            </w:rPr>
                            <m:t>⊤</m:t>
                          </m:r>
                        </m:e>
                      </m:box>
                    </m:sup>
                  </m:sSup>
                </m:e>
              </m:nary>
            </m:e>
          </m:box>
        </m:oMath>
      </m:oMathPara>
    </w:p>
    <w:p w14:paraId="106E1ADA" w14:textId="77777777" w:rsidR="00565D58" w:rsidRDefault="00565D58" w:rsidP="00565D58">
      <w:pPr>
        <w:jc w:val="center"/>
      </w:pPr>
      <m:oMathPara>
        <m:oMath>
          <m:box>
            <m:boxPr>
              <m:ctrlPr>
                <w:rPr>
                  <w:rFonts w:ascii="Cambria Math" w:hAnsi="Cambria Math"/>
                </w:rPr>
              </m:ctrlPr>
            </m:boxPr>
            <m:e>
              <m:r>
                <w:rPr>
                  <w:rFonts w:ascii="Cambria Math" w:hAnsi="Cambria Math"/>
                </w:rPr>
                <m:t>Σ</m:t>
              </m:r>
              <m:r>
                <m:rPr>
                  <m:sty m:val="p"/>
                </m:rPr>
                <w:rPr>
                  <w:rFonts w:ascii="Cambria Math" w:hAnsi="Cambria Math"/>
                </w:rPr>
                <m:t>=(1-</m:t>
              </m:r>
              <m:sSup>
                <m:sSupPr>
                  <m:ctrlPr>
                    <w:rPr>
                      <w:rFonts w:ascii="Cambria Math" w:hAnsi="Cambria Math"/>
                    </w:rPr>
                  </m:ctrlPr>
                </m:sSupPr>
                <m:e>
                  <m:r>
                    <w:rPr>
                      <w:rFonts w:ascii="Cambria Math" w:hAnsi="Cambria Math"/>
                    </w:rPr>
                    <m:t>δ</m:t>
                  </m:r>
                </m:e>
                <m:sup>
                  <m:box>
                    <m:boxPr>
                      <m:ctrlPr>
                        <w:rPr>
                          <w:rFonts w:ascii="Cambria Math" w:hAnsi="Cambria Math"/>
                        </w:rPr>
                      </m:ctrlPr>
                    </m:boxPr>
                    <m:e>
                      <m:r>
                        <m:rPr>
                          <m:sty m:val="p"/>
                        </m:rPr>
                        <w:rPr>
                          <w:rFonts w:ascii="Cambria Math" w:hAnsi="Cambria Math"/>
                        </w:rPr>
                        <m:t>⋆</m:t>
                      </m:r>
                    </m:e>
                  </m:box>
                </m:sup>
              </m:sSup>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δ</m:t>
                  </m:r>
                </m:e>
                <m:sup>
                  <m:box>
                    <m:boxPr>
                      <m:ctrlPr>
                        <w:rPr>
                          <w:rFonts w:ascii="Cambria Math" w:hAnsi="Cambria Math"/>
                        </w:rPr>
                      </m:ctrlPr>
                    </m:boxPr>
                    <m:e>
                      <m:r>
                        <m:rPr>
                          <m:sty m:val="p"/>
                        </m:rPr>
                        <w:rPr>
                          <w:rFonts w:ascii="Cambria Math" w:hAnsi="Cambria Math"/>
                        </w:rPr>
                        <m:t>⋆</m:t>
                      </m:r>
                    </m:e>
                  </m:box>
                </m:sup>
              </m:sSup>
              <m:r>
                <w:rPr>
                  <w:rFonts w:ascii="Cambria Math" w:hAnsi="Cambria Math"/>
                </w:rPr>
                <m:t>F</m:t>
              </m:r>
            </m:e>
          </m:box>
        </m:oMath>
      </m:oMathPara>
    </w:p>
    <w:p w14:paraId="2C32EC08" w14:textId="77777777" w:rsidR="00517998" w:rsidRPr="00517998" w:rsidRDefault="00517998" w:rsidP="00517998">
      <w:pPr>
        <w:spacing w:after="120"/>
        <w:rPr>
          <w:color w:val="222830"/>
          <w:lang w:val="en-GB"/>
        </w:rPr>
      </w:pPr>
      <w:r w:rsidRPr="00517998">
        <w:rPr>
          <w:color w:val="222830"/>
          <w:lang w:val="ru-RU"/>
        </w:rPr>
        <w:t>Σ</w:t>
      </w:r>
      <w:r w:rsidRPr="00517998">
        <w:rPr>
          <w:color w:val="222830"/>
          <w:lang w:val="en-GB"/>
        </w:rPr>
        <w:t> is then projected to the nearest valid positive-semidefinite matrix and factorised by Cholesky into a (lower-triangular) L:</w:t>
      </w:r>
    </w:p>
    <w:p w14:paraId="3734CA29" w14:textId="77777777" w:rsidR="00565D58" w:rsidRDefault="00565D58" w:rsidP="00565D58">
      <w:pPr>
        <w:jc w:val="center"/>
      </w:pPr>
      <m:oMathPara>
        <m:oMath>
          <m:box>
            <m:boxPr>
              <m:ctrlPr>
                <w:rPr>
                  <w:rFonts w:ascii="Cambria Math" w:hAnsi="Cambria Math"/>
                </w:rPr>
              </m:ctrlPr>
            </m:boxPr>
            <m:e>
              <m:r>
                <w:rPr>
                  <w:rFonts w:ascii="Cambria Math" w:hAnsi="Cambria Math"/>
                </w:rPr>
                <m:t>Σ</m:t>
              </m:r>
              <m:r>
                <m:rPr>
                  <m:sty m:val="p"/>
                </m:rPr>
                <w:rPr>
                  <w:rFonts w:ascii="Cambria Math" w:hAnsi="Cambria Math"/>
                </w:rPr>
                <m:t>=</m:t>
              </m:r>
              <m:r>
                <w:rPr>
                  <w:rFonts w:ascii="Cambria Math" w:hAnsi="Cambria Math"/>
                </w:rPr>
                <m:t>L</m:t>
              </m:r>
              <m:sSup>
                <m:sSupPr>
                  <m:ctrlPr>
                    <w:rPr>
                      <w:rFonts w:ascii="Cambria Math" w:hAnsi="Cambria Math"/>
                    </w:rPr>
                  </m:ctrlPr>
                </m:sSupPr>
                <m:e>
                  <m:r>
                    <w:rPr>
                      <w:rFonts w:ascii="Cambria Math" w:hAnsi="Cambria Math"/>
                    </w:rPr>
                    <m:t>L</m:t>
                  </m:r>
                </m:e>
                <m:sup>
                  <m:box>
                    <m:boxPr>
                      <m:ctrlPr>
                        <w:rPr>
                          <w:rFonts w:ascii="Cambria Math" w:hAnsi="Cambria Math"/>
                        </w:rPr>
                      </m:ctrlPr>
                    </m:boxPr>
                    <m:e>
                      <m:r>
                        <m:rPr>
                          <m:sty m:val="p"/>
                        </m:rPr>
                        <w:rPr>
                          <w:rFonts w:ascii="Cambria Math" w:hAnsi="Cambria Math"/>
                        </w:rPr>
                        <m:t>⊤</m:t>
                      </m:r>
                    </m:e>
                  </m:box>
                </m:sup>
              </m:sSup>
            </m:e>
          </m:box>
        </m:oMath>
      </m:oMathPara>
    </w:p>
    <w:p w14:paraId="65BBD3A0" w14:textId="7F2AFB06" w:rsidR="00517998" w:rsidRPr="00517998" w:rsidRDefault="00565D58" w:rsidP="00565D58">
      <w:pPr>
        <w:spacing w:after="120"/>
        <w:ind w:firstLine="720"/>
        <w:rPr>
          <w:color w:val="222830"/>
          <w:lang w:val="en-GB"/>
        </w:rPr>
      </w:pPr>
      <w:r>
        <w:rPr>
          <w:color w:val="222830"/>
          <w:lang w:val="en-GB"/>
        </w:rPr>
        <w:t>W</w:t>
      </w:r>
      <w:r w:rsidR="00517998" w:rsidRPr="00517998">
        <w:rPr>
          <w:color w:val="222830"/>
          <w:lang w:val="en-GB"/>
        </w:rPr>
        <w:t xml:space="preserve">ith N ≈ 220 assets and T ≈ 756 days the sample covariance is noisy and ill-conditioned; </w:t>
      </w:r>
      <w:proofErr w:type="spellStart"/>
      <w:r w:rsidR="00517998" w:rsidRPr="00517998">
        <w:rPr>
          <w:color w:val="222830"/>
          <w:lang w:val="en-GB"/>
        </w:rPr>
        <w:t>Ledoit</w:t>
      </w:r>
      <w:proofErr w:type="spellEnd"/>
      <w:r w:rsidR="00517998" w:rsidRPr="00517998">
        <w:rPr>
          <w:color w:val="222830"/>
          <w:lang w:val="en-GB"/>
        </w:rPr>
        <w:t xml:space="preserve">–Wolf shrinkage stabilises it (and guarantees invertibility), which matters because the correlation structure in L is what makes the simulated joint downside realistic </w:t>
      </w:r>
      <w:r>
        <w:rPr>
          <w:color w:val="222830"/>
          <w:lang w:val="en-GB"/>
        </w:rPr>
        <w:t>-</w:t>
      </w:r>
      <w:r w:rsidR="00517998" w:rsidRPr="00517998">
        <w:rPr>
          <w:color w:val="222830"/>
          <w:lang w:val="en-GB"/>
        </w:rPr>
        <w:t xml:space="preserve"> tail co-movement, not just marginal volatilities, drives portfolio CVaR.</w:t>
      </w:r>
    </w:p>
    <w:p w14:paraId="71B28D3E" w14:textId="2EED05E0" w:rsidR="00517998" w:rsidRPr="00517998" w:rsidRDefault="00517998" w:rsidP="00517998">
      <w:pPr>
        <w:spacing w:after="120"/>
        <w:rPr>
          <w:color w:val="222830"/>
          <w:lang w:val="ru-RU"/>
        </w:rPr>
      </w:pPr>
    </w:p>
    <w:p w14:paraId="69E187D8" w14:textId="38E336FA" w:rsidR="00517998" w:rsidRPr="00565D58" w:rsidRDefault="00517998" w:rsidP="00517998">
      <w:pPr>
        <w:spacing w:after="120"/>
        <w:rPr>
          <w:b/>
          <w:bCs/>
          <w:color w:val="222830"/>
          <w:lang w:val="en-GB"/>
        </w:rPr>
      </w:pPr>
      <w:r w:rsidRPr="00565D58">
        <w:rPr>
          <w:b/>
          <w:bCs/>
          <w:color w:val="222830"/>
          <w:lang w:val="en-GB"/>
        </w:rPr>
        <w:t>Step 3 — drawing the</w:t>
      </w:r>
      <w:r w:rsidR="00565D58">
        <w:rPr>
          <w:b/>
          <w:bCs/>
          <w:color w:val="222830"/>
          <w:lang w:val="en-GB"/>
        </w:rPr>
        <w:t xml:space="preserve"> posterior predictive scenario set</w:t>
      </w:r>
    </w:p>
    <w:p w14:paraId="0C256148" w14:textId="6A4E3DD8" w:rsidR="00517998" w:rsidRPr="00517998" w:rsidRDefault="00517998" w:rsidP="00517998">
      <w:pPr>
        <w:spacing w:after="120"/>
        <w:rPr>
          <w:color w:val="222830"/>
          <w:lang w:val="en-GB"/>
        </w:rPr>
      </w:pPr>
      <w:r w:rsidRPr="00517998">
        <w:rPr>
          <w:color w:val="222830"/>
          <w:lang w:val="en-GB"/>
        </w:rPr>
        <w:t xml:space="preserve">Draw a standard-normal matrix Z </w:t>
      </w:r>
      <w:r w:rsidRPr="00517998">
        <w:rPr>
          <w:rFonts w:ascii="Cambria Math" w:hAnsi="Cambria Math" w:cs="Cambria Math"/>
          <w:color w:val="222830"/>
          <w:lang w:val="en-GB"/>
        </w:rPr>
        <w:t>∈</w:t>
      </w:r>
      <w:r w:rsidRPr="00517998">
        <w:rPr>
          <w:color w:val="222830"/>
          <w:lang w:val="en-GB"/>
        </w:rPr>
        <w:t xml:space="preserve"> </w:t>
      </w:r>
      <w:r w:rsidRPr="00517998">
        <w:rPr>
          <w:rFonts w:ascii="Cambria Math" w:hAnsi="Cambria Math" w:cs="Cambria Math"/>
          <w:color w:val="222830"/>
          <w:lang w:val="en-GB"/>
        </w:rPr>
        <w:t>ℝ</w:t>
      </w:r>
      <w:r w:rsidRPr="00517998">
        <w:rPr>
          <w:color w:val="222830"/>
          <w:lang w:val="en-GB"/>
        </w:rPr>
        <w:t>^{S</w:t>
      </w:r>
      <w:r w:rsidRPr="00517998">
        <w:rPr>
          <w:rFonts w:cs="Calibri"/>
          <w:color w:val="222830"/>
          <w:lang w:val="en-GB"/>
        </w:rPr>
        <w:t>×</w:t>
      </w:r>
      <w:r w:rsidRPr="00517998">
        <w:rPr>
          <w:color w:val="222830"/>
          <w:lang w:val="en-GB"/>
        </w:rPr>
        <w:t>N}</w:t>
      </w:r>
      <w:r w:rsidRPr="00517998">
        <w:rPr>
          <w:rFonts w:cs="Calibri"/>
          <w:color w:val="222830"/>
          <w:lang w:val="en-GB"/>
        </w:rPr>
        <w:t> </w:t>
      </w:r>
      <w:r w:rsidRPr="00517998">
        <w:rPr>
          <w:color w:val="222830"/>
          <w:lang w:val="en-GB"/>
        </w:rPr>
        <w:t>(optionally a scaled Student-t_</w:t>
      </w:r>
      <w:r w:rsidRPr="00517998">
        <w:rPr>
          <w:rFonts w:cs="Calibri"/>
          <w:color w:val="222830"/>
          <w:lang w:val="ru-RU"/>
        </w:rPr>
        <w:t>ν</w:t>
      </w:r>
      <w:r w:rsidRPr="00517998">
        <w:rPr>
          <w:rFonts w:cs="Calibri"/>
          <w:color w:val="222830"/>
          <w:lang w:val="en-GB"/>
        </w:rPr>
        <w:t> </w:t>
      </w:r>
      <w:r w:rsidRPr="00517998">
        <w:rPr>
          <w:color w:val="222830"/>
          <w:lang w:val="en-GB"/>
        </w:rPr>
        <w:t xml:space="preserve">for heavier tails), </w:t>
      </w:r>
      <w:proofErr w:type="spellStart"/>
      <w:r w:rsidRPr="00517998">
        <w:rPr>
          <w:color w:val="222830"/>
          <w:lang w:val="en-GB"/>
        </w:rPr>
        <w:t>color</w:t>
      </w:r>
      <w:proofErr w:type="spellEnd"/>
      <w:r w:rsidRPr="00517998">
        <w:rPr>
          <w:color w:val="222830"/>
          <w:lang w:val="en-GB"/>
        </w:rPr>
        <w:t xml:space="preserve"> it with the Cholesky factor, and add the mean:</w:t>
      </w:r>
    </w:p>
    <w:p w14:paraId="25990AF9" w14:textId="77777777" w:rsidR="00565D58" w:rsidRDefault="00565D58" w:rsidP="00565D58">
      <w:pPr>
        <w:jc w:val="center"/>
      </w:pPr>
      <m:oMathPara>
        <m:oMath>
          <m:box>
            <m:boxPr>
              <m:ctrlPr>
                <w:rPr>
                  <w:rFonts w:ascii="Cambria Math" w:hAnsi="Cambria Math"/>
                </w:rPr>
              </m:ctrlPr>
            </m:boxPr>
            <m:e>
              <m:r>
                <w:rPr>
                  <w:rFonts w:ascii="Cambria Math" w:hAnsi="Cambria Math"/>
                </w:rPr>
                <m:t>Z</m:t>
              </m:r>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box>
                    <m:boxPr>
                      <m:ctrlPr>
                        <w:rPr>
                          <w:rFonts w:ascii="Cambria Math" w:hAnsi="Cambria Math"/>
                        </w:rPr>
                      </m:ctrlPr>
                    </m:boxPr>
                    <m:e>
                      <m:r>
                        <w:rPr>
                          <w:rFonts w:ascii="Cambria Math" w:hAnsi="Cambria Math"/>
                        </w:rPr>
                        <m:t>S</m:t>
                      </m:r>
                      <m:r>
                        <m:rPr>
                          <m:sty m:val="p"/>
                        </m:rPr>
                        <w:rPr>
                          <w:rFonts w:ascii="Cambria Math" w:hAnsi="Cambria Math"/>
                        </w:rPr>
                        <m:t>×</m:t>
                      </m:r>
                      <m:r>
                        <w:rPr>
                          <w:rFonts w:ascii="Cambria Math" w:hAnsi="Cambria Math"/>
                        </w:rPr>
                        <m:t>N</m:t>
                      </m:r>
                    </m:e>
                  </m:box>
                </m:sup>
              </m:sSup>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Z</m:t>
                  </m:r>
                </m:e>
                <m:sub>
                  <m:box>
                    <m:boxPr>
                      <m:ctrlPr>
                        <w:rPr>
                          <w:rFonts w:ascii="Cambria Math" w:hAnsi="Cambria Math"/>
                        </w:rPr>
                      </m:ctrlPr>
                    </m:boxPr>
                    <m:e>
                      <m:r>
                        <w:rPr>
                          <w:rFonts w:ascii="Cambria Math" w:hAnsi="Cambria Math"/>
                        </w:rPr>
                        <m:t>s</m:t>
                      </m:r>
                      <m:r>
                        <m:rPr>
                          <m:sty m:val="p"/>
                        </m:rPr>
                        <w:rPr>
                          <w:rFonts w:ascii="Cambria Math" w:hAnsi="Cambria Math"/>
                        </w:rPr>
                        <m:t>,</m:t>
                      </m:r>
                      <m:r>
                        <w:rPr>
                          <w:rFonts w:ascii="Cambria Math" w:hAnsi="Cambria Math"/>
                        </w:rPr>
                        <m:t>j</m:t>
                      </m:r>
                    </m:e>
                  </m:box>
                </m:sub>
              </m:sSub>
              <m:limUpp>
                <m:limUppPr>
                  <m:ctrlPr>
                    <w:rPr>
                      <w:rFonts w:ascii="Cambria Math" w:hAnsi="Cambria Math"/>
                    </w:rPr>
                  </m:ctrlPr>
                </m:limUppPr>
                <m:e>
                  <m:box>
                    <m:boxPr>
                      <m:ctrlPr>
                        <w:rPr>
                          <w:rFonts w:ascii="Cambria Math" w:hAnsi="Cambria Math"/>
                        </w:rPr>
                      </m:ctrlPr>
                    </m:boxPr>
                    <m:e>
                      <m:r>
                        <w:rPr>
                          <w:rFonts w:ascii="Cambria Math" w:hAnsi="Cambria Math"/>
                        </w:rPr>
                        <m:t>~</m:t>
                      </m:r>
                    </m:e>
                  </m:box>
                </m:e>
                <m:lim>
                  <m:box>
                    <m:boxPr>
                      <m:ctrlPr>
                        <w:rPr>
                          <w:rFonts w:ascii="Cambria Math" w:hAnsi="Cambria Math"/>
                        </w:rPr>
                      </m:ctrlPr>
                    </m:boxPr>
                    <m:e>
                      <m:box>
                        <m:boxPr>
                          <m:ctrlPr>
                            <w:rPr>
                              <w:rFonts w:ascii="Cambria Math" w:hAnsi="Cambria Math"/>
                            </w:rPr>
                          </m:ctrlPr>
                        </m:boxPr>
                        <m:e>
                          <m:r>
                            <m:rPr>
                              <m:sty m:val="p"/>
                            </m:rPr>
                            <w:rPr>
                              <w:rFonts w:ascii="Cambria Math" w:hAnsi="Cambria Math"/>
                            </w:rPr>
                            <m:t>iid</m:t>
                          </m:r>
                        </m:e>
                      </m:box>
                    </m:e>
                  </m:box>
                </m:lim>
              </m:limUpp>
              <m:r>
                <m:rPr>
                  <m:scr m:val="script"/>
                </m:rPr>
                <w:rPr>
                  <w:rFonts w:ascii="Cambria Math" w:hAnsi="Cambria Math"/>
                </w:rPr>
                <m:t>N</m:t>
              </m:r>
              <m:r>
                <m:rPr>
                  <m:sty m:val="p"/>
                </m:rPr>
                <w:rPr>
                  <w:rFonts w:ascii="Cambria Math" w:hAnsi="Cambria Math"/>
                </w:rPr>
                <m:t>(0,1)</m:t>
              </m:r>
            </m:e>
          </m:box>
        </m:oMath>
      </m:oMathPara>
    </w:p>
    <w:p w14:paraId="7B46C7CC" w14:textId="77777777" w:rsidR="00565D58" w:rsidRDefault="00565D58" w:rsidP="00565D58">
      <w:pPr>
        <w:jc w:val="center"/>
      </w:pPr>
      <m:oMathPara>
        <m:oMath>
          <m:box>
            <m:boxPr>
              <m:ctrlPr>
                <w:rPr>
                  <w:rFonts w:ascii="Cambria Math" w:hAnsi="Cambria Math"/>
                </w:rPr>
              </m:ctrlPr>
            </m:boxPr>
            <m:e>
              <m:r>
                <w:rPr>
                  <w:rFonts w:ascii="Cambria Math" w:hAnsi="Cambria Math"/>
                </w:rPr>
                <m:t>R</m:t>
              </m:r>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b"/>
                        </m:rPr>
                        <w:rPr>
                          <w:rFonts w:ascii="Cambria Math" w:hAnsi="Cambria Math"/>
                        </w:rPr>
                        <m:t>1</m:t>
                      </m:r>
                    </m:e>
                  </m:box>
                </m:e>
                <m:sub>
                  <m:box>
                    <m:boxPr>
                      <m:ctrlPr>
                        <w:rPr>
                          <w:rFonts w:ascii="Cambria Math" w:hAnsi="Cambria Math"/>
                        </w:rPr>
                      </m:ctrlPr>
                    </m:boxPr>
                    <m:e>
                      <m:r>
                        <w:rPr>
                          <w:rFonts w:ascii="Cambria Math" w:hAnsi="Cambria Math"/>
                        </w:rPr>
                        <m:t>S</m:t>
                      </m:r>
                    </m:e>
                  </m:box>
                </m:sub>
              </m:sSub>
              <m:r>
                <w:rPr>
                  <w:rFonts w:ascii="Cambria Math" w:hAnsi="Cambria Math"/>
                </w:rPr>
                <m:t xml:space="preserve"> </m:t>
              </m:r>
              <m:sSubSup>
                <m:sSubSupPr>
                  <m:ctrlPr>
                    <w:rPr>
                      <w:rFonts w:ascii="Cambria Math" w:hAnsi="Cambria Math"/>
                    </w:rPr>
                  </m:ctrlPr>
                </m:sSubSupPr>
                <m:e>
                  <m:r>
                    <w:rPr>
                      <w:rFonts w:ascii="Cambria Math" w:hAnsi="Cambria Math"/>
                    </w:rPr>
                    <m:t>μ</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post</m:t>
                          </m:r>
                        </m:e>
                      </m:box>
                    </m:e>
                  </m:box>
                </m:sub>
                <m:sup>
                  <m:box>
                    <m:boxPr>
                      <m:ctrlPr>
                        <w:rPr>
                          <w:rFonts w:ascii="Cambria Math" w:hAnsi="Cambria Math"/>
                        </w:rPr>
                      </m:ctrlPr>
                    </m:boxPr>
                    <m:e>
                      <m:r>
                        <m:rPr>
                          <m:sty m:val="p"/>
                        </m:rPr>
                        <w:rPr>
                          <w:rFonts w:ascii="Cambria Math" w:hAnsi="Cambria Math"/>
                        </w:rPr>
                        <m:t>⊤</m:t>
                      </m:r>
                    </m:e>
                  </m:box>
                </m:sup>
              </m:sSubSup>
              <m:r>
                <m:rPr>
                  <m:sty m:val="p"/>
                </m:rPr>
                <w:rPr>
                  <w:rFonts w:ascii="Cambria Math" w:hAnsi="Cambria Math"/>
                </w:rPr>
                <m:t>+</m:t>
              </m:r>
              <m:r>
                <w:rPr>
                  <w:rFonts w:ascii="Cambria Math" w:hAnsi="Cambria Math"/>
                </w:rPr>
                <m:t>Z</m:t>
              </m:r>
              <m:sSup>
                <m:sSupPr>
                  <m:ctrlPr>
                    <w:rPr>
                      <w:rFonts w:ascii="Cambria Math" w:hAnsi="Cambria Math"/>
                    </w:rPr>
                  </m:ctrlPr>
                </m:sSupPr>
                <m:e>
                  <m:r>
                    <w:rPr>
                      <w:rFonts w:ascii="Cambria Math" w:hAnsi="Cambria Math"/>
                    </w:rPr>
                    <m:t>L</m:t>
                  </m:r>
                </m:e>
                <m:sup>
                  <m:box>
                    <m:boxPr>
                      <m:ctrlPr>
                        <w:rPr>
                          <w:rFonts w:ascii="Cambria Math" w:hAnsi="Cambria Math"/>
                        </w:rPr>
                      </m:ctrlPr>
                    </m:boxPr>
                    <m:e>
                      <m:r>
                        <m:rPr>
                          <m:sty m:val="p"/>
                        </m:rPr>
                        <w:rPr>
                          <w:rFonts w:ascii="Cambria Math" w:hAnsi="Cambria Math"/>
                        </w:rPr>
                        <m:t>⊤</m:t>
                      </m:r>
                    </m:e>
                  </m:box>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box>
                    <m:boxPr>
                      <m:ctrlPr>
                        <w:rPr>
                          <w:rFonts w:ascii="Cambria Math" w:hAnsi="Cambria Math"/>
                        </w:rPr>
                      </m:ctrlPr>
                    </m:boxPr>
                    <m:e>
                      <m:r>
                        <w:rPr>
                          <w:rFonts w:ascii="Cambria Math" w:hAnsi="Cambria Math"/>
                        </w:rPr>
                        <m:t>S</m:t>
                      </m:r>
                      <m:r>
                        <m:rPr>
                          <m:sty m:val="p"/>
                        </m:rPr>
                        <w:rPr>
                          <w:rFonts w:ascii="Cambria Math" w:hAnsi="Cambria Math"/>
                        </w:rPr>
                        <m:t>×</m:t>
                      </m:r>
                      <m:r>
                        <w:rPr>
                          <w:rFonts w:ascii="Cambria Math" w:hAnsi="Cambria Math"/>
                        </w:rPr>
                        <m:t>N</m:t>
                      </m:r>
                    </m:e>
                  </m:box>
                </m:sup>
              </m:sSup>
            </m:e>
          </m:box>
        </m:oMath>
      </m:oMathPara>
    </w:p>
    <w:p w14:paraId="04D79541" w14:textId="77777777" w:rsidR="00517998" w:rsidRPr="00517998" w:rsidRDefault="00517998" w:rsidP="00517998">
      <w:pPr>
        <w:spacing w:after="120"/>
        <w:rPr>
          <w:color w:val="222830"/>
          <w:lang w:val="en-GB"/>
        </w:rPr>
      </w:pPr>
      <w:r w:rsidRPr="00517998">
        <w:rPr>
          <w:color w:val="222830"/>
          <w:lang w:val="en-GB"/>
        </w:rPr>
        <w:t>Each row is therefore an independent draw from a multivariate normal centred at the predictive mean with the shrinkage covariance:</w:t>
      </w:r>
    </w:p>
    <w:p w14:paraId="7C2FC75E" w14:textId="77777777" w:rsidR="00565D58" w:rsidRDefault="00565D58" w:rsidP="00565D58">
      <w:pPr>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s</m:t>
                      </m:r>
                      <m:r>
                        <m:rPr>
                          <m:sty m:val="p"/>
                        </m:rPr>
                        <w:rPr>
                          <w:rFonts w:ascii="Cambria Math" w:hAnsi="Cambria Math"/>
                        </w:rPr>
                        <m:t>,</m:t>
                      </m:r>
                      <m:r>
                        <w:rPr>
                          <w:rFonts w:ascii="Cambria Math" w:hAnsi="Cambria Math"/>
                        </w:rPr>
                        <m:t>:</m:t>
                      </m:r>
                    </m:e>
                  </m:box>
                </m:sub>
              </m:sSub>
              <m:r>
                <m:rPr>
                  <m:sty m:val="p"/>
                </m:rPr>
                <w:rPr>
                  <w:rFonts w:ascii="Cambria Math" w:hAnsi="Cambria Math"/>
                </w:rPr>
                <m:t>=</m:t>
              </m:r>
              <m:sSubSup>
                <m:sSubSupPr>
                  <m:ctrlPr>
                    <w:rPr>
                      <w:rFonts w:ascii="Cambria Math" w:hAnsi="Cambria Math"/>
                    </w:rPr>
                  </m:ctrlPr>
                </m:sSubSupPr>
                <m:e>
                  <m:r>
                    <w:rPr>
                      <w:rFonts w:ascii="Cambria Math" w:hAnsi="Cambria Math"/>
                    </w:rPr>
                    <m:t>μ</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post</m:t>
                          </m:r>
                        </m:e>
                      </m:box>
                    </m:e>
                  </m:box>
                </m:sub>
                <m:sup>
                  <m:box>
                    <m:boxPr>
                      <m:ctrlPr>
                        <w:rPr>
                          <w:rFonts w:ascii="Cambria Math" w:hAnsi="Cambria Math"/>
                        </w:rPr>
                      </m:ctrlPr>
                    </m:boxPr>
                    <m:e>
                      <m:r>
                        <m:rPr>
                          <m:sty m:val="p"/>
                        </m:rPr>
                        <w:rPr>
                          <w:rFonts w:ascii="Cambria Math" w:hAnsi="Cambria Math"/>
                        </w:rPr>
                        <m:t>⊤</m:t>
                      </m:r>
                    </m:e>
                  </m:box>
                </m:sup>
              </m:sSubSup>
              <m:r>
                <m:rPr>
                  <m:sty m:val="p"/>
                </m:rPr>
                <w:rPr>
                  <w:rFonts w:ascii="Cambria Math" w:hAnsi="Cambria Math"/>
                </w:rPr>
                <m:t>+</m:t>
              </m:r>
              <m:sSub>
                <m:sSubPr>
                  <m:ctrlPr>
                    <w:rPr>
                      <w:rFonts w:ascii="Cambria Math" w:hAnsi="Cambria Math"/>
                    </w:rPr>
                  </m:ctrlPr>
                </m:sSubPr>
                <m:e>
                  <m:r>
                    <w:rPr>
                      <w:rFonts w:ascii="Cambria Math" w:hAnsi="Cambria Math"/>
                    </w:rPr>
                    <m:t>Z</m:t>
                  </m:r>
                </m:e>
                <m:sub>
                  <m:box>
                    <m:boxPr>
                      <m:ctrlPr>
                        <w:rPr>
                          <w:rFonts w:ascii="Cambria Math" w:hAnsi="Cambria Math"/>
                        </w:rPr>
                      </m:ctrlPr>
                    </m:boxPr>
                    <m:e>
                      <m:r>
                        <w:rPr>
                          <w:rFonts w:ascii="Cambria Math" w:hAnsi="Cambria Math"/>
                        </w:rPr>
                        <m:t>s</m:t>
                      </m:r>
                      <m:r>
                        <m:rPr>
                          <m:sty m:val="p"/>
                        </m:rPr>
                        <w:rPr>
                          <w:rFonts w:ascii="Cambria Math" w:hAnsi="Cambria Math"/>
                        </w:rPr>
                        <m:t>,</m:t>
                      </m:r>
                      <m:r>
                        <w:rPr>
                          <w:rFonts w:ascii="Cambria Math" w:hAnsi="Cambria Math"/>
                        </w:rPr>
                        <m:t>:</m:t>
                      </m:r>
                    </m:e>
                  </m:box>
                </m:sub>
              </m:sSub>
              <m:sSup>
                <m:sSupPr>
                  <m:ctrlPr>
                    <w:rPr>
                      <w:rFonts w:ascii="Cambria Math" w:hAnsi="Cambria Math"/>
                    </w:rPr>
                  </m:ctrlPr>
                </m:sSupPr>
                <m:e>
                  <m:r>
                    <w:rPr>
                      <w:rFonts w:ascii="Cambria Math" w:hAnsi="Cambria Math"/>
                    </w:rPr>
                    <m:t>L</m:t>
                  </m:r>
                </m:e>
                <m:sup>
                  <m:box>
                    <m:boxPr>
                      <m:ctrlPr>
                        <w:rPr>
                          <w:rFonts w:ascii="Cambria Math" w:hAnsi="Cambria Math"/>
                        </w:rPr>
                      </m:ctrlPr>
                    </m:boxPr>
                    <m:e>
                      <m:r>
                        <m:rPr>
                          <m:sty m:val="p"/>
                        </m:rPr>
                        <w:rPr>
                          <w:rFonts w:ascii="Cambria Math" w:hAnsi="Cambria Math"/>
                        </w:rPr>
                        <m:t>⊤</m:t>
                      </m:r>
                    </m:e>
                  </m:box>
                </m:sup>
              </m:sSup>
            </m:e>
          </m:box>
        </m:oMath>
      </m:oMathPara>
    </w:p>
    <w:p w14:paraId="50004FBE" w14:textId="77777777" w:rsidR="00565D58" w:rsidRDefault="00565D58" w:rsidP="00565D58">
      <w:pPr>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s</m:t>
                      </m:r>
                      <m:r>
                        <m:rPr>
                          <m:sty m:val="p"/>
                        </m:rPr>
                        <w:rPr>
                          <w:rFonts w:ascii="Cambria Math" w:hAnsi="Cambria Math"/>
                        </w:rPr>
                        <m:t>,</m:t>
                      </m:r>
                      <m:r>
                        <w:rPr>
                          <w:rFonts w:ascii="Cambria Math" w:hAnsi="Cambria Math"/>
                        </w:rPr>
                        <m:t>:</m:t>
                      </m:r>
                    </m:e>
                  </m:box>
                </m:sub>
              </m:sSub>
              <m:limUpp>
                <m:limUppPr>
                  <m:ctrlPr>
                    <w:rPr>
                      <w:rFonts w:ascii="Cambria Math" w:hAnsi="Cambria Math"/>
                    </w:rPr>
                  </m:ctrlPr>
                </m:limUppPr>
                <m:e>
                  <m:box>
                    <m:boxPr>
                      <m:ctrlPr>
                        <w:rPr>
                          <w:rFonts w:ascii="Cambria Math" w:hAnsi="Cambria Math"/>
                        </w:rPr>
                      </m:ctrlPr>
                    </m:boxPr>
                    <m:e>
                      <m:r>
                        <w:rPr>
                          <w:rFonts w:ascii="Cambria Math" w:hAnsi="Cambria Math"/>
                        </w:rPr>
                        <m:t>~</m:t>
                      </m:r>
                    </m:e>
                  </m:box>
                </m:e>
                <m:lim>
                  <m:box>
                    <m:boxPr>
                      <m:ctrlPr>
                        <w:rPr>
                          <w:rFonts w:ascii="Cambria Math" w:hAnsi="Cambria Math"/>
                        </w:rPr>
                      </m:ctrlPr>
                    </m:boxPr>
                    <m:e>
                      <m:box>
                        <m:boxPr>
                          <m:ctrlPr>
                            <w:rPr>
                              <w:rFonts w:ascii="Cambria Math" w:hAnsi="Cambria Math"/>
                            </w:rPr>
                          </m:ctrlPr>
                        </m:boxPr>
                        <m:e>
                          <m:r>
                            <m:rPr>
                              <m:sty m:val="p"/>
                            </m:rPr>
                            <w:rPr>
                              <w:rFonts w:ascii="Cambria Math" w:hAnsi="Cambria Math"/>
                            </w:rPr>
                            <m:t>iid</m:t>
                          </m:r>
                        </m:e>
                      </m:box>
                    </m:e>
                  </m:box>
                </m:lim>
              </m:limUpp>
              <m:r>
                <m:rPr>
                  <m:scr m:val="script"/>
                </m:rPr>
                <w:rPr>
                  <w:rFonts w:ascii="Cambria Math" w:hAnsi="Cambria Math"/>
                </w:rPr>
                <m:t xml:space="preserve">N </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μ</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post</m:t>
                                      </m:r>
                                    </m:e>
                                  </m:box>
                                </m:e>
                              </m:box>
                            </m:sub>
                          </m:sSub>
                          <m:r>
                            <m:rPr>
                              <m:sty m:val="p"/>
                            </m:rPr>
                            <w:rPr>
                              <w:rFonts w:ascii="Cambria Math" w:hAnsi="Cambria Math"/>
                            </w:rPr>
                            <m:t>,</m:t>
                          </m:r>
                          <m:r>
                            <w:rPr>
                              <w:rFonts w:ascii="Cambria Math" w:hAnsi="Cambria Math"/>
                            </w:rPr>
                            <m:t xml:space="preserve"> Σ</m:t>
                          </m:r>
                        </m:e>
                      </m:box>
                    </m:e>
                  </m:d>
                </m:e>
              </m:box>
              <m:r>
                <m:rPr>
                  <m:sty m:val="p"/>
                </m:rPr>
                <w:rPr>
                  <w:rFonts w:ascii="Cambria Math" w:hAnsi="Cambria Math"/>
                </w:rPr>
                <m:t>,</m:t>
              </m:r>
              <m:r>
                <w:rPr>
                  <w:rFonts w:ascii="Cambria Math" w:hAnsi="Cambria Math"/>
                </w:rPr>
                <m:t xml:space="preserve"> s</m:t>
              </m:r>
              <m:r>
                <m:rPr>
                  <m:sty m:val="p"/>
                </m:rPr>
                <w:rPr>
                  <w:rFonts w:ascii="Cambria Math" w:hAnsi="Cambria Math"/>
                </w:rPr>
                <m:t>=1,…,</m:t>
              </m:r>
              <m:r>
                <w:rPr>
                  <w:rFonts w:ascii="Cambria Math" w:hAnsi="Cambria Math"/>
                </w:rPr>
                <m:t>S</m:t>
              </m:r>
            </m:e>
          </m:box>
        </m:oMath>
      </m:oMathPara>
    </w:p>
    <w:p w14:paraId="5E9E08BE" w14:textId="03FB4DBF" w:rsidR="00517998" w:rsidRPr="00517998" w:rsidRDefault="00517998" w:rsidP="00517998">
      <w:pPr>
        <w:spacing w:after="120"/>
        <w:rPr>
          <w:color w:val="222830"/>
          <w:lang w:val="en-GB"/>
        </w:rPr>
      </w:pPr>
    </w:p>
    <w:p w14:paraId="6FC24520" w14:textId="77777777" w:rsidR="00517998" w:rsidRDefault="00517998" w:rsidP="00517998">
      <w:pPr>
        <w:spacing w:after="120"/>
        <w:rPr>
          <w:color w:val="222830"/>
          <w:lang w:val="en-GB"/>
        </w:rPr>
      </w:pPr>
      <w:r w:rsidRPr="00517998">
        <w:rPr>
          <w:color w:val="222830"/>
          <w:lang w:val="en-GB"/>
        </w:rPr>
        <w:t>S = 1000 distinct rows give a genuine empirical distribution with a populated tail.</w:t>
      </w:r>
    </w:p>
    <w:p w14:paraId="580B933B" w14:textId="77777777" w:rsidR="00565D58" w:rsidRPr="00517998" w:rsidRDefault="00565D58" w:rsidP="00517998">
      <w:pPr>
        <w:spacing w:after="120"/>
        <w:rPr>
          <w:color w:val="222830"/>
          <w:lang w:val="en-GB"/>
        </w:rPr>
      </w:pPr>
    </w:p>
    <w:p w14:paraId="3A5B987D" w14:textId="6F338D14" w:rsidR="00517998" w:rsidRPr="00565D58" w:rsidRDefault="00517998" w:rsidP="00517998">
      <w:pPr>
        <w:spacing w:after="120"/>
        <w:rPr>
          <w:b/>
          <w:bCs/>
          <w:color w:val="222830"/>
          <w:lang w:val="en-GB"/>
        </w:rPr>
      </w:pPr>
      <w:r w:rsidRPr="00565D58">
        <w:rPr>
          <w:b/>
          <w:bCs/>
          <w:color w:val="222830"/>
          <w:lang w:val="en-GB"/>
        </w:rPr>
        <w:t xml:space="preserve">How the </w:t>
      </w:r>
      <w:proofErr w:type="spellStart"/>
      <w:r w:rsidR="00565D58" w:rsidRPr="00565D58">
        <w:rPr>
          <w:b/>
          <w:bCs/>
          <w:color w:val="222830"/>
          <w:lang w:val="en-GB"/>
        </w:rPr>
        <w:t>the</w:t>
      </w:r>
      <w:proofErr w:type="spellEnd"/>
      <w:r w:rsidR="00565D58" w:rsidRPr="00565D58">
        <w:rPr>
          <w:b/>
          <w:bCs/>
          <w:color w:val="222830"/>
          <w:lang w:val="en-GB"/>
        </w:rPr>
        <w:t xml:space="preserve"> posterior predictive scenario set</w:t>
      </w:r>
      <w:r w:rsidR="00565D58" w:rsidRPr="00565D58">
        <w:rPr>
          <w:b/>
          <w:bCs/>
          <w:color w:val="222830"/>
          <w:lang w:val="en-GB"/>
        </w:rPr>
        <w:t xml:space="preserve"> </w:t>
      </w:r>
      <w:r w:rsidRPr="00565D58">
        <w:rPr>
          <w:b/>
          <w:bCs/>
          <w:color w:val="222830"/>
          <w:lang w:val="en-GB"/>
        </w:rPr>
        <w:t>is consumed (CVaR)</w:t>
      </w:r>
    </w:p>
    <w:p w14:paraId="66F5D590" w14:textId="77777777" w:rsidR="00517998" w:rsidRPr="00517998" w:rsidRDefault="00517998" w:rsidP="00517998">
      <w:pPr>
        <w:spacing w:after="120"/>
        <w:rPr>
          <w:color w:val="222830"/>
          <w:lang w:val="en-GB"/>
        </w:rPr>
      </w:pPr>
      <w:r w:rsidRPr="00517998">
        <w:rPr>
          <w:color w:val="222830"/>
          <w:lang w:val="en-GB"/>
        </w:rPr>
        <w:t>For any weight vector w, the S scenario portfolio returns are </w:t>
      </w:r>
      <w:proofErr w:type="spellStart"/>
      <w:r w:rsidRPr="00517998">
        <w:rPr>
          <w:color w:val="222830"/>
          <w:lang w:val="en-GB"/>
        </w:rPr>
        <w:t>Rw</w:t>
      </w:r>
      <w:proofErr w:type="spellEnd"/>
      <w:r w:rsidRPr="00517998">
        <w:rPr>
          <w:color w:val="222830"/>
          <w:lang w:val="en-GB"/>
        </w:rPr>
        <w:t>; the losses are their negatives, and CVaR at level </w:t>
      </w:r>
      <w:r w:rsidRPr="00517998">
        <w:rPr>
          <w:color w:val="222830"/>
          <w:lang w:val="ru-RU"/>
        </w:rPr>
        <w:t>α</w:t>
      </w:r>
      <w:r w:rsidRPr="00517998">
        <w:rPr>
          <w:color w:val="222830"/>
          <w:lang w:val="en-GB"/>
        </w:rPr>
        <w:t> is the mean of the worst (1−</w:t>
      </w:r>
      <w:r w:rsidRPr="00517998">
        <w:rPr>
          <w:color w:val="222830"/>
          <w:lang w:val="ru-RU"/>
        </w:rPr>
        <w:t>α</w:t>
      </w:r>
      <w:r w:rsidRPr="00517998">
        <w:rPr>
          <w:color w:val="222830"/>
          <w:lang w:val="en-GB"/>
        </w:rPr>
        <w:t>) fraction:</w:t>
      </w:r>
    </w:p>
    <w:p w14:paraId="561D8A87" w14:textId="77777777" w:rsidR="00565D58" w:rsidRDefault="00565D58" w:rsidP="00565D58">
      <w:pPr>
        <w:jc w:val="center"/>
      </w:pPr>
      <m:oMathPara>
        <m:oMath>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s</m:t>
                      </m:r>
                      <m:r>
                        <m:rPr>
                          <m:sty m:val="p"/>
                        </m:rPr>
                        <w:rPr>
                          <w:rFonts w:ascii="Cambria Math" w:hAnsi="Cambria Math"/>
                        </w:rPr>
                        <m:t>,</m:t>
                      </m:r>
                      <m:r>
                        <w:rPr>
                          <w:rFonts w:ascii="Cambria Math" w:hAnsi="Cambria Math"/>
                        </w:rPr>
                        <m:t>:</m:t>
                      </m:r>
                    </m:e>
                  </m:box>
                </m:sub>
              </m:sSub>
              <m:r>
                <w:rPr>
                  <w:rFonts w:ascii="Cambria Math" w:hAnsi="Cambria Math"/>
                </w:rPr>
                <m:t>w</m:t>
              </m:r>
            </m:e>
          </m:box>
        </m:oMath>
      </m:oMathPara>
    </w:p>
    <w:p w14:paraId="46584D83" w14:textId="77777777" w:rsidR="00565D58" w:rsidRDefault="00565D58" w:rsidP="00565D58">
      <w:pPr>
        <w:jc w:val="cente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VaR</m:t>
                      </m:r>
                    </m:e>
                  </m:box>
                </m:e>
                <m:sub>
                  <m:box>
                    <m:boxPr>
                      <m:ctrlPr>
                        <w:rPr>
                          <w:rFonts w:ascii="Cambria Math" w:hAnsi="Cambria Math"/>
                        </w:rPr>
                      </m:ctrlPr>
                    </m:boxPr>
                    <m:e>
                      <m:r>
                        <w:rPr>
                          <w:rFonts w:ascii="Cambria Math" w:hAnsi="Cambria Math"/>
                        </w:rPr>
                        <m:t>α</m:t>
                      </m:r>
                    </m:e>
                  </m:box>
                </m:sub>
              </m:sSub>
              <m:r>
                <m:rPr>
                  <m:sty m:val="p"/>
                </m:rPr>
                <w:rPr>
                  <w:rFonts w:ascii="Cambria Math" w:hAnsi="Cambria Math"/>
                </w:rPr>
                <m:t>=</m:t>
              </m:r>
              <m:sSub>
                <m:sSubPr>
                  <m:ctrlPr>
                    <w:rPr>
                      <w:rFonts w:ascii="Cambria Math" w:hAnsi="Cambria Math"/>
                    </w:rPr>
                  </m:ctrlPr>
                </m:sSubPr>
                <m:e>
                  <m:r>
                    <w:rPr>
                      <w:rFonts w:ascii="Cambria Math" w:hAnsi="Cambria Math"/>
                    </w:rPr>
                    <m:t>Q</m:t>
                  </m:r>
                </m:e>
                <m:sub>
                  <m:box>
                    <m:boxPr>
                      <m:ctrlPr>
                        <w:rPr>
                          <w:rFonts w:ascii="Cambria Math" w:hAnsi="Cambria Math"/>
                        </w:rPr>
                      </m:ctrlPr>
                    </m:boxPr>
                    <m:e>
                      <m:r>
                        <w:rPr>
                          <w:rFonts w:ascii="Cambria Math" w:hAnsi="Cambria Math"/>
                        </w:rPr>
                        <m:t>α</m:t>
                      </m:r>
                    </m:e>
                  </m:box>
                </m:sub>
              </m:sSub>
              <m:r>
                <w:rPr>
                  <w:rFonts w:ascii="Cambria Math" w:hAnsi="Cambria Math"/>
                </w:rPr>
                <m:t xml:space="preserve"> </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s</m:t>
                              </m:r>
                            </m:sub>
                          </m:sSub>
                          <m:r>
                            <m:rPr>
                              <m:sty m:val="p"/>
                            </m:rPr>
                            <w:rPr>
                              <w:rFonts w:ascii="Cambria Math" w:hAnsi="Cambria Math"/>
                            </w:rPr>
                            <m:t>}</m:t>
                          </m:r>
                        </m:e>
                      </m:box>
                    </m:e>
                  </m:d>
                </m:e>
              </m:box>
            </m:e>
          </m:box>
        </m:oMath>
      </m:oMathPara>
    </w:p>
    <w:p w14:paraId="44A266B8" w14:textId="77777777" w:rsidR="00565D58" w:rsidRDefault="00565D58" w:rsidP="00565D58">
      <w:pPr>
        <w:jc w:val="cente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CVaR</m:t>
                      </m:r>
                    </m:e>
                  </m:box>
                </m:e>
                <m:sub>
                  <m:box>
                    <m:boxPr>
                      <m:ctrlPr>
                        <w:rPr>
                          <w:rFonts w:ascii="Cambria Math" w:hAnsi="Cambria Math"/>
                        </w:rPr>
                      </m:ctrlPr>
                    </m:boxPr>
                    <m:e>
                      <m:r>
                        <w:rPr>
                          <w:rFonts w:ascii="Cambria Math" w:hAnsi="Cambria Math"/>
                        </w:rPr>
                        <m:t>α</m:t>
                      </m:r>
                    </m:e>
                  </m:box>
                </m:sub>
              </m:sSub>
              <m:r>
                <m:rPr>
                  <m:sty m:val="p"/>
                </m:rPr>
                <w:rPr>
                  <w:rFonts w:ascii="Cambria Math" w:hAnsi="Cambria Math"/>
                </w:rPr>
                <m:t>(</m:t>
              </m:r>
              <m:r>
                <w:rPr>
                  <w:rFonts w:ascii="Cambria Math" w:hAnsi="Cambria Math"/>
                </w:rPr>
                <m:t>w</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m:t>
                                  </m:r>
                                  <m:r>
                                    <w:rPr>
                                      <w:rFonts w:ascii="Cambria Math" w:hAnsi="Cambria Math"/>
                                    </w:rPr>
                                    <m:t>s:</m:t>
                                  </m:r>
                                  <m:sSub>
                                    <m:sSubPr>
                                      <m:ctrlPr>
                                        <w:rPr>
                                          <w:rFonts w:ascii="Cambria Math" w:hAnsi="Cambria Math"/>
                                        </w:rPr>
                                      </m:ctrlPr>
                                    </m:sSubPr>
                                    <m:e>
                                      <m:r>
                                        <m:rPr>
                                          <m:scr m:val="script"/>
                                        </m:rPr>
                                        <w:rPr>
                                          <w:rFonts w:ascii="Cambria Math" w:hAnsi="Cambria Math"/>
                                        </w:rPr>
                                        <m:t>l</m:t>
                                      </m:r>
                                    </m:e>
                                    <m:sub>
                                      <m:r>
                                        <w:rPr>
                                          <w:rFonts w:ascii="Cambria Math" w:hAnsi="Cambria Math"/>
                                        </w:rPr>
                                        <m:t>s</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VaR</m:t>
                                          </m:r>
                                        </m:e>
                                      </m:box>
                                    </m:e>
                                    <m:sub>
                                      <m:box>
                                        <m:boxPr>
                                          <m:ctrlPr>
                                            <w:rPr>
                                              <w:rFonts w:ascii="Cambria Math" w:hAnsi="Cambria Math"/>
                                            </w:rPr>
                                          </m:ctrlPr>
                                        </m:boxPr>
                                        <m:e>
                                          <m:r>
                                            <w:rPr>
                                              <w:rFonts w:ascii="Cambria Math" w:hAnsi="Cambria Math"/>
                                            </w:rPr>
                                            <m:t>α</m:t>
                                          </m:r>
                                        </m:e>
                                      </m:box>
                                    </m:sub>
                                  </m:sSub>
                                  <m:r>
                                    <m:rPr>
                                      <m:sty m:val="p"/>
                                    </m:rPr>
                                    <w:rPr>
                                      <w:rFonts w:ascii="Cambria Math" w:hAnsi="Cambria Math"/>
                                    </w:rPr>
                                    <m:t>}</m:t>
                                  </m:r>
                                </m:e>
                              </m:box>
                            </m:e>
                          </m:d>
                        </m:e>
                      </m:box>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 xml:space="preserve">s: </m:t>
                      </m:r>
                      <m:sSub>
                        <m:sSubPr>
                          <m:ctrlPr>
                            <w:rPr>
                              <w:rFonts w:ascii="Cambria Math" w:hAnsi="Cambria Math"/>
                            </w:rPr>
                          </m:ctrlPr>
                        </m:sSubPr>
                        <m:e>
                          <m:r>
                            <m:rPr>
                              <m:scr m:val="script"/>
                            </m:rPr>
                            <w:rPr>
                              <w:rFonts w:ascii="Cambria Math" w:hAnsi="Cambria Math"/>
                            </w:rPr>
                            <m:t>l</m:t>
                          </m:r>
                        </m:e>
                        <m:sub>
                          <m:r>
                            <w:rPr>
                              <w:rFonts w:ascii="Cambria Math" w:hAnsi="Cambria Math"/>
                            </w:rPr>
                            <m:t>s</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VaR</m:t>
                              </m:r>
                            </m:e>
                          </m:box>
                        </m:e>
                        <m:sub>
                          <m:box>
                            <m:boxPr>
                              <m:ctrlPr>
                                <w:rPr>
                                  <w:rFonts w:ascii="Cambria Math" w:hAnsi="Cambria Math"/>
                                </w:rPr>
                              </m:ctrlPr>
                            </m:boxPr>
                            <m:e>
                              <m:r>
                                <w:rPr>
                                  <w:rFonts w:ascii="Cambria Math" w:hAnsi="Cambria Math"/>
                                </w:rPr>
                                <m:t>α</m:t>
                              </m:r>
                            </m:e>
                          </m:box>
                        </m:sub>
                      </m:sSub>
                    </m:e>
                  </m:box>
                </m:sub>
                <m:sup/>
                <m:e>
                  <m:sSub>
                    <m:sSubPr>
                      <m:ctrlPr>
                        <w:rPr>
                          <w:rFonts w:ascii="Cambria Math" w:hAnsi="Cambria Math"/>
                        </w:rPr>
                      </m:ctrlPr>
                    </m:sSubPr>
                    <m:e>
                      <m:r>
                        <m:rPr>
                          <m:scr m:val="script"/>
                        </m:rPr>
                        <w:rPr>
                          <w:rFonts w:ascii="Cambria Math" w:hAnsi="Cambria Math"/>
                        </w:rPr>
                        <m:t>l</m:t>
                      </m:r>
                    </m:e>
                    <m:sub>
                      <m:r>
                        <w:rPr>
                          <w:rFonts w:ascii="Cambria Math" w:hAnsi="Cambria Math"/>
                        </w:rPr>
                        <m:t>s</m:t>
                      </m:r>
                    </m:sub>
                  </m:sSub>
                </m:e>
              </m:nary>
            </m:e>
          </m:box>
        </m:oMath>
      </m:oMathPara>
    </w:p>
    <w:p w14:paraId="59882455" w14:textId="531267CB" w:rsidR="00517998" w:rsidRPr="00517998" w:rsidRDefault="00517998" w:rsidP="00517998">
      <w:pPr>
        <w:spacing w:after="120"/>
        <w:rPr>
          <w:color w:val="222830"/>
          <w:lang w:val="en-GB"/>
        </w:rPr>
      </w:pPr>
      <w:r w:rsidRPr="00517998">
        <w:rPr>
          <w:color w:val="222830"/>
          <w:lang w:val="en-GB"/>
        </w:rPr>
        <w:t>With </w:t>
      </w:r>
      <w:r w:rsidRPr="00517998">
        <w:rPr>
          <w:color w:val="222830"/>
          <w:lang w:val="ru-RU"/>
        </w:rPr>
        <w:t>α</w:t>
      </w:r>
      <w:r w:rsidRPr="00517998">
        <w:rPr>
          <w:color w:val="222830"/>
          <w:lang w:val="en-GB"/>
        </w:rPr>
        <w:t xml:space="preserve"> = 0.95 and S = 1000, this averages the worst 50 scenarios </w:t>
      </w:r>
      <w:r w:rsidR="00565D58">
        <w:rPr>
          <w:color w:val="222830"/>
          <w:lang w:val="en-GB"/>
        </w:rPr>
        <w:t xml:space="preserve">- </w:t>
      </w:r>
      <w:r w:rsidRPr="00517998">
        <w:rPr>
          <w:color w:val="222830"/>
          <w:lang w:val="en-GB"/>
        </w:rPr>
        <w:t xml:space="preserve">exactly the quantity the </w:t>
      </w:r>
      <w:proofErr w:type="spellStart"/>
      <w:r w:rsidRPr="00517998">
        <w:rPr>
          <w:color w:val="222830"/>
          <w:lang w:val="en-GB"/>
        </w:rPr>
        <w:t>Rockafellar</w:t>
      </w:r>
      <w:proofErr w:type="spellEnd"/>
      <w:r w:rsidRPr="00517998">
        <w:rPr>
          <w:color w:val="222830"/>
          <w:lang w:val="en-GB"/>
        </w:rPr>
        <w:t>–</w:t>
      </w:r>
      <w:proofErr w:type="spellStart"/>
      <w:r w:rsidRPr="00517998">
        <w:rPr>
          <w:color w:val="222830"/>
          <w:lang w:val="en-GB"/>
        </w:rPr>
        <w:t>Uryasev</w:t>
      </w:r>
      <w:proofErr w:type="spellEnd"/>
      <w:r w:rsidRPr="00517998">
        <w:rPr>
          <w:color w:val="222830"/>
          <w:lang w:val="en-GB"/>
        </w:rPr>
        <w:t xml:space="preserve"> LP constrains in the allocator and that we later read off the </w:t>
      </w:r>
      <w:r w:rsidRPr="00517998">
        <w:rPr>
          <w:i/>
          <w:iCs/>
          <w:color w:val="222830"/>
          <w:lang w:val="en-GB"/>
        </w:rPr>
        <w:t>held</w:t>
      </w:r>
      <w:r w:rsidRPr="00517998">
        <w:rPr>
          <w:color w:val="222830"/>
          <w:lang w:val="en-GB"/>
        </w:rPr>
        <w:t> book as the forward timing signal.</w:t>
      </w:r>
    </w:p>
    <w:p w14:paraId="7421F9E7" w14:textId="77777777" w:rsidR="00565D58" w:rsidRPr="008633A2" w:rsidRDefault="00565D58" w:rsidP="00517998">
      <w:pPr>
        <w:spacing w:after="120"/>
        <w:rPr>
          <w:b/>
          <w:color w:val="163A5F"/>
          <w:sz w:val="25"/>
        </w:rPr>
      </w:pPr>
    </w:p>
    <w:p w14:paraId="6A7DC306" w14:textId="4A9FF3F1" w:rsidR="00517998" w:rsidRPr="008633A2" w:rsidRDefault="00517998" w:rsidP="00517998">
      <w:pPr>
        <w:spacing w:after="120"/>
        <w:rPr>
          <w:b/>
          <w:color w:val="163A5F"/>
          <w:sz w:val="25"/>
        </w:rPr>
      </w:pPr>
      <w:r w:rsidRPr="008633A2">
        <w:rPr>
          <w:b/>
          <w:color w:val="163A5F"/>
          <w:sz w:val="25"/>
        </w:rPr>
        <w:t>On parameter uncertainty</w:t>
      </w:r>
    </w:p>
    <w:p w14:paraId="75AF9A63" w14:textId="77777777" w:rsidR="00517998" w:rsidRPr="00517998" w:rsidRDefault="00517998" w:rsidP="00517998">
      <w:pPr>
        <w:spacing w:after="120"/>
        <w:rPr>
          <w:color w:val="222830"/>
          <w:lang w:val="en-GB"/>
        </w:rPr>
      </w:pPr>
      <w:r w:rsidRPr="00517998">
        <w:rPr>
          <w:color w:val="222830"/>
          <w:lang w:val="en-GB"/>
        </w:rPr>
        <w:t>Conceptually the target is the posterior-predictive distribution</w:t>
      </w:r>
    </w:p>
    <w:p w14:paraId="1FA53421" w14:textId="77777777" w:rsidR="008633A2" w:rsidRDefault="008633A2" w:rsidP="008633A2">
      <w:pPr>
        <w:jc w:val="center"/>
      </w:pPr>
      <m:oMathPara>
        <m:oMath>
          <m:box>
            <m:boxPr>
              <m:ctrlPr>
                <w:rPr>
                  <w:rFonts w:ascii="Cambria Math" w:hAnsi="Cambria Math"/>
                </w:rPr>
              </m:ctrlPr>
            </m:boxPr>
            <m:e>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next</m:t>
                      </m:r>
                    </m:e>
                  </m:box>
                </m:sub>
              </m:sSub>
              <m:r>
                <w:rPr>
                  <w:rFonts w:ascii="Cambria Math" w:hAnsi="Cambria Math"/>
                </w:rPr>
                <m:t>data</m:t>
              </m:r>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next</m:t>
                      </m:r>
                    </m:e>
                  </m:box>
                </m:sub>
              </m:sSub>
              <m:r>
                <w:rPr>
                  <w:rFonts w:ascii="Cambria Math" w:hAnsi="Cambria Math"/>
                </w:rPr>
                <m:t>μ</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 xml:space="preserve"> p</m:t>
              </m:r>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Σdata</m:t>
              </m:r>
              <m:r>
                <m:rPr>
                  <m:sty m:val="p"/>
                </m:rPr>
                <w:rPr>
                  <w:rFonts w:ascii="Cambria Math" w:hAnsi="Cambria Math"/>
                </w:rPr>
                <m:t>)</m:t>
              </m:r>
              <m:r>
                <w:rPr>
                  <w:rFonts w:ascii="Cambria Math" w:hAnsi="Cambria Math"/>
                </w:rPr>
                <m:t xml:space="preserve"> dμ dΣ</m:t>
              </m:r>
            </m:e>
          </m:box>
        </m:oMath>
      </m:oMathPara>
    </w:p>
    <w:p w14:paraId="1A230FC5" w14:textId="1B85B0B2" w:rsidR="00517998" w:rsidRPr="00517998" w:rsidRDefault="00517998" w:rsidP="00517998">
      <w:pPr>
        <w:spacing w:after="120"/>
        <w:rPr>
          <w:color w:val="222830"/>
          <w:lang w:val="en-GB"/>
        </w:rPr>
      </w:pPr>
      <w:r w:rsidRPr="00517998">
        <w:rPr>
          <w:color w:val="222830"/>
          <w:lang w:val="en-GB"/>
        </w:rPr>
        <w:t>i.e. averaging the return distribution over the uncertainty in the parameters (Bauder et al., 2018; Bodnar et al., 2022). In our implementation this is realised </w:t>
      </w:r>
      <w:r w:rsidRPr="00517998">
        <w:rPr>
          <w:i/>
          <w:iCs/>
          <w:color w:val="222830"/>
          <w:lang w:val="en-GB"/>
        </w:rPr>
        <w:t>approximately</w:t>
      </w:r>
      <w:r w:rsidRPr="00517998">
        <w:rPr>
          <w:color w:val="222830"/>
          <w:lang w:val="en-GB"/>
        </w:rPr>
        <w:t>: estimation uncertainty is handled through the shrinkage estimators (horseshoe for </w:t>
      </w:r>
      <w:r w:rsidRPr="00517998">
        <w:rPr>
          <w:color w:val="222830"/>
          <w:lang w:val="ru-RU"/>
        </w:rPr>
        <w:t>μ</w:t>
      </w:r>
      <w:r w:rsidRPr="00517998">
        <w:rPr>
          <w:color w:val="222830"/>
          <w:lang w:val="en-GB"/>
        </w:rPr>
        <w:t xml:space="preserve">, </w:t>
      </w:r>
      <w:proofErr w:type="spellStart"/>
      <w:r w:rsidRPr="00517998">
        <w:rPr>
          <w:color w:val="222830"/>
          <w:lang w:val="en-GB"/>
        </w:rPr>
        <w:t>Ledoit</w:t>
      </w:r>
      <w:proofErr w:type="spellEnd"/>
      <w:r w:rsidRPr="00517998">
        <w:rPr>
          <w:color w:val="222830"/>
          <w:lang w:val="en-GB"/>
        </w:rPr>
        <w:t>–Wolf for </w:t>
      </w:r>
      <w:r w:rsidRPr="00517998">
        <w:rPr>
          <w:color w:val="222830"/>
          <w:lang w:val="ru-RU"/>
        </w:rPr>
        <w:t>Σ</w:t>
      </w:r>
      <w:r w:rsidRPr="00517998">
        <w:rPr>
          <w:color w:val="222830"/>
          <w:lang w:val="en-GB"/>
        </w:rPr>
        <w:t>)</w:t>
      </w:r>
      <w:r w:rsidR="00721657">
        <w:rPr>
          <w:color w:val="222830"/>
          <w:lang w:val="en-GB"/>
        </w:rPr>
        <w:t>,</w:t>
      </w:r>
      <w:r w:rsidRPr="00517998">
        <w:rPr>
          <w:color w:val="222830"/>
          <w:lang w:val="en-GB"/>
        </w:rPr>
        <w:t xml:space="preserve"> which pull noisy estimates toward stable targets</w:t>
      </w:r>
      <w:r w:rsidR="00721657">
        <w:rPr>
          <w:color w:val="222830"/>
          <w:lang w:val="en-GB"/>
        </w:rPr>
        <w:t>,</w:t>
      </w:r>
      <w:r w:rsidRPr="00517998">
        <w:rPr>
          <w:color w:val="222830"/>
          <w:lang w:val="en-GB"/>
        </w:rPr>
        <w:t xml:space="preserve"> while the S rows sample the return/innovation uncertainty Z around those estimates. So the engine is a shrinkage-based predictive sampler rather than a full posterior integrator</w:t>
      </w:r>
      <w:r w:rsidR="008633A2">
        <w:rPr>
          <w:color w:val="222830"/>
          <w:lang w:val="en-GB"/>
        </w:rPr>
        <w:t>. T</w:t>
      </w:r>
      <w:r w:rsidRPr="00517998">
        <w:rPr>
          <w:color w:val="222830"/>
          <w:lang w:val="en-GB"/>
        </w:rPr>
        <w:t xml:space="preserve">he framing in the paper is that parameter uncertainty enters via shrinkage, and </w:t>
      </w:r>
      <w:r w:rsidR="00565D58" w:rsidRPr="00721657">
        <w:rPr>
          <w:color w:val="222830"/>
          <w:lang w:val="en-GB"/>
        </w:rPr>
        <w:t>the posterior predictive scenario set</w:t>
      </w:r>
      <w:r w:rsidR="008633A2">
        <w:rPr>
          <w:b/>
          <w:bCs/>
          <w:color w:val="222830"/>
          <w:lang w:val="en-GB"/>
        </w:rPr>
        <w:t xml:space="preserve"> </w:t>
      </w:r>
      <w:r w:rsidRPr="00517998">
        <w:rPr>
          <w:color w:val="222830"/>
          <w:lang w:val="en-GB"/>
        </w:rPr>
        <w:t>supplies the return distribution needed to make CVaR operational.</w:t>
      </w:r>
    </w:p>
    <w:p w14:paraId="60DA6BEC" w14:textId="77777777" w:rsidR="00517998" w:rsidRPr="00517998" w:rsidRDefault="00517998">
      <w:pPr>
        <w:spacing w:after="120"/>
        <w:rPr>
          <w:color w:val="222830"/>
          <w:lang w:val="en-GB"/>
        </w:rPr>
      </w:pPr>
    </w:p>
    <w:p w14:paraId="4886D1F5" w14:textId="77E75473" w:rsidR="00517998" w:rsidRPr="00517998" w:rsidRDefault="00517998" w:rsidP="00517998">
      <w:pPr>
        <w:spacing w:after="120"/>
        <w:rPr>
          <w:b/>
          <w:color w:val="163A5F"/>
          <w:sz w:val="25"/>
        </w:rPr>
      </w:pPr>
      <w:r w:rsidRPr="00517998">
        <w:rPr>
          <w:b/>
          <w:color w:val="163A5F"/>
          <w:sz w:val="25"/>
        </w:rPr>
        <w:t xml:space="preserve">Dynamic </w:t>
      </w:r>
      <w:r w:rsidR="000826C5" w:rsidRPr="00517998">
        <w:rPr>
          <w:b/>
          <w:color w:val="163A5F"/>
          <w:sz w:val="25"/>
        </w:rPr>
        <w:t>optimizer</w:t>
      </w:r>
      <w:r w:rsidRPr="00517998">
        <w:rPr>
          <w:b/>
          <w:color w:val="163A5F"/>
          <w:sz w:val="25"/>
        </w:rPr>
        <w:t xml:space="preserve"> parameters and execution </w:t>
      </w:r>
    </w:p>
    <w:p w14:paraId="14142510" w14:textId="77777777" w:rsidR="00517998" w:rsidRPr="00517998" w:rsidRDefault="00517998" w:rsidP="00517998">
      <w:pPr>
        <w:spacing w:after="120"/>
        <w:rPr>
          <w:color w:val="222830"/>
          <w:lang w:val="en-GB"/>
        </w:rPr>
      </w:pPr>
      <w:r w:rsidRPr="00517998">
        <w:rPr>
          <w:color w:val="222830"/>
          <w:lang w:val="en-GB"/>
        </w:rPr>
        <w:t>Two elements of the pipeline are state-dependent and recomputed, causally, at every monthly rebalance.</w:t>
      </w:r>
    </w:p>
    <w:p w14:paraId="0E1D28C3" w14:textId="77777777" w:rsidR="008633A2" w:rsidRDefault="00517998" w:rsidP="00517998">
      <w:pPr>
        <w:spacing w:after="120"/>
        <w:rPr>
          <w:b/>
          <w:bCs/>
          <w:color w:val="222830"/>
          <w:lang w:val="en-GB"/>
        </w:rPr>
      </w:pPr>
      <w:r w:rsidRPr="008633A2">
        <w:rPr>
          <w:b/>
          <w:bCs/>
          <w:color w:val="222830"/>
          <w:lang w:val="en-GB"/>
        </w:rPr>
        <w:t>Dynamic-parameter controller</w:t>
      </w:r>
    </w:p>
    <w:p w14:paraId="63DE8F15" w14:textId="0387DC5A" w:rsidR="00517998" w:rsidRPr="00517998" w:rsidRDefault="00517998" w:rsidP="00517998">
      <w:pPr>
        <w:spacing w:after="120"/>
        <w:rPr>
          <w:color w:val="222830"/>
          <w:lang w:val="en-GB"/>
        </w:rPr>
      </w:pPr>
      <w:r w:rsidRPr="00517998">
        <w:rPr>
          <w:color w:val="222830"/>
          <w:lang w:val="en-GB"/>
        </w:rPr>
        <w:t>Before the optimiser runs, a controller sets the CVaR confidence level </w:t>
      </w:r>
      <w:r w:rsidRPr="00517998">
        <w:rPr>
          <w:color w:val="222830"/>
          <w:lang w:val="ru-RU"/>
        </w:rPr>
        <w:t>α</w:t>
      </w:r>
      <w:r w:rsidRPr="00517998">
        <w:rPr>
          <w:color w:val="222830"/>
          <w:lang w:val="en-GB"/>
        </w:rPr>
        <w:t> and the L1 turnover penalty </w:t>
      </w:r>
      <w:r w:rsidRPr="00517998">
        <w:rPr>
          <w:color w:val="222830"/>
          <w:lang w:val="ru-RU"/>
        </w:rPr>
        <w:t>λ</w:t>
      </w:r>
      <w:r w:rsidRPr="00517998">
        <w:rPr>
          <w:color w:val="222830"/>
          <w:lang w:val="en-GB"/>
        </w:rPr>
        <w:t> from a single bounded score that blends the strategy's own recent performance with a market-regime gauge:</w:t>
      </w:r>
    </w:p>
    <w:p w14:paraId="60B241BC" w14:textId="77777777" w:rsidR="008633A2" w:rsidRDefault="008633A2" w:rsidP="008633A2">
      <w:pPr>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=0.70</m:t>
              </m:r>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+0.30</m:t>
              </m:r>
              <m:r>
                <w:rPr>
                  <w:rFonts w:ascii="Cambria Math" w:hAnsi="Cambria Math"/>
                </w:rPr>
                <m:t xml:space="preserve"> </m:t>
              </m:r>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∈[-1,1]</m:t>
              </m:r>
            </m:e>
          </m:box>
        </m:oMath>
      </m:oMathPara>
    </w:p>
    <w:p w14:paraId="3C783BFA" w14:textId="170A8E7C" w:rsidR="00517998" w:rsidRPr="00517998" w:rsidRDefault="00517998" w:rsidP="00517998">
      <w:pPr>
        <w:spacing w:after="120"/>
        <w:rPr>
          <w:color w:val="222830"/>
          <w:lang w:val="en-GB"/>
        </w:rPr>
      </w:pPr>
      <w:r w:rsidRPr="00517998">
        <w:rPr>
          <w:color w:val="222830"/>
          <w:lang w:val="en-GB"/>
        </w:rPr>
        <w:t>Here </w:t>
      </w:r>
      <w:proofErr w:type="spellStart"/>
      <w:r w:rsidRPr="00517998">
        <w:rPr>
          <w:color w:val="222830"/>
          <w:lang w:val="en-GB"/>
        </w:rPr>
        <w:t>p_t</w:t>
      </w:r>
      <w:proofErr w:type="spellEnd"/>
      <w:r w:rsidRPr="00517998">
        <w:rPr>
          <w:color w:val="222830"/>
          <w:lang w:val="en-GB"/>
        </w:rPr>
        <w:t xml:space="preserve"> summarises the portfolio's recent realised returns </w:t>
      </w:r>
      <w:r w:rsidR="008633A2">
        <w:rPr>
          <w:color w:val="222830"/>
          <w:lang w:val="en-GB"/>
        </w:rPr>
        <w:t>-</w:t>
      </w:r>
      <w:r w:rsidRPr="00517998">
        <w:rPr>
          <w:color w:val="222830"/>
          <w:lang w:val="en-GB"/>
        </w:rPr>
        <w:t xml:space="preserve"> a capped win/loss-streak term plus an EWMA Sharpe of past monthly returns, squashed</w:t>
      </w:r>
      <w:r w:rsidR="008633A2">
        <w:rPr>
          <w:color w:val="222830"/>
          <w:lang w:val="en-GB"/>
        </w:rPr>
        <w:t xml:space="preserve"> (through tanh)</w:t>
      </w:r>
      <w:r w:rsidRPr="00517998">
        <w:rPr>
          <w:color w:val="222830"/>
          <w:lang w:val="en-GB"/>
        </w:rPr>
        <w:t xml:space="preserve"> </w:t>
      </w:r>
      <w:r w:rsidR="008633A2">
        <w:rPr>
          <w:color w:val="222830"/>
          <w:lang w:val="en-GB"/>
        </w:rPr>
        <w:t xml:space="preserve">as </w:t>
      </w:r>
      <w:r w:rsidR="008633A2" w:rsidRPr="008633A2">
        <w:rPr>
          <w:color w:val="222830"/>
          <w:lang w:val="en-GB"/>
        </w:rPr>
        <w:t>the raw score is passed through the hyperbolic-tangent function, which compresses any input into the bounded range (−1, +1)</w:t>
      </w:r>
      <w:r w:rsidRPr="00517998">
        <w:rPr>
          <w:color w:val="222830"/>
          <w:lang w:val="en-GB"/>
        </w:rPr>
        <w:t>:</w:t>
      </w:r>
    </w:p>
    <w:p w14:paraId="42A4426F" w14:textId="77777777" w:rsidR="008633A2" w:rsidRDefault="008633A2" w:rsidP="008633A2">
      <w:pPr>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=tanh(0.55</m:t>
              </m:r>
              <m:r>
                <w:rPr>
                  <w:rFonts w:ascii="Cambria Math" w:hAnsi="Cambria Math"/>
                </w:rPr>
                <m:t xml:space="preserve"> </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streak</m:t>
                              </m:r>
                            </m:e>
                          </m:box>
                        </m:e>
                        <m:sub>
                          <m:r>
                            <w:rPr>
                              <w:rFonts w:ascii="Cambria Math" w:hAnsi="Cambria Math"/>
                            </w:rPr>
                            <m:t>t</m:t>
                          </m:r>
                        </m:sub>
                      </m:sSub>
                    </m:e>
                  </m:box>
                </m:num>
                <m:den>
                  <m:box>
                    <m:boxPr>
                      <m:ctrlPr>
                        <w:rPr>
                          <w:rFonts w:ascii="Cambria Math" w:hAnsi="Cambria Math"/>
                        </w:rPr>
                      </m:ctrlPr>
                    </m:boxPr>
                    <m:e>
                      <m:r>
                        <m:rPr>
                          <m:sty m:val="p"/>
                        </m:rPr>
                        <w:rPr>
                          <w:rFonts w:ascii="Cambria Math" w:hAnsi="Cambria Math"/>
                        </w:rPr>
                        <m:t>6</m:t>
                      </m:r>
                    </m:e>
                  </m:box>
                </m:den>
              </m:f>
              <m:r>
                <m:rPr>
                  <m:sty m:val="p"/>
                </m:rPr>
                <w:rPr>
                  <w:rFonts w:ascii="Cambria Math" w:hAnsi="Cambria Math"/>
                </w:rPr>
                <m:t>+0.35</m:t>
              </m:r>
              <m:r>
                <w:rPr>
                  <w:rFonts w:ascii="Cambria Math" w:hAnsi="Cambria Math"/>
                </w:rPr>
                <m:t xml:space="preserve"> </m:t>
              </m:r>
              <m:f>
                <m:fPr>
                  <m:ctrlPr>
                    <w:rPr>
                      <w:rFonts w:ascii="Cambria Math" w:hAnsi="Cambria Math"/>
                    </w:rPr>
                  </m:ctrlPr>
                </m:fPr>
                <m:num>
                  <m:box>
                    <m:boxPr>
                      <m:ctrlPr>
                        <w:rPr>
                          <w:rFonts w:ascii="Cambria Math" w:hAnsi="Cambria Math"/>
                        </w:rPr>
                      </m:ctrlPr>
                    </m:boxPr>
                    <m:e>
                      <m:sSubSup>
                        <m:sSubSupPr>
                          <m:ctrlPr>
                            <w:rPr>
                              <w:rFonts w:ascii="Cambria Math" w:hAnsi="Cambria Math"/>
                            </w:rPr>
                          </m:ctrlPr>
                        </m:sSubSupPr>
                        <m:e>
                          <m:acc>
                            <m:accPr>
                              <m:chr m:val="¯"/>
                              <m:ctrlPr>
                                <w:rPr>
                                  <w:rFonts w:ascii="Cambria Math" w:hAnsi="Cambria Math"/>
                                </w:rPr>
                              </m:ctrlPr>
                            </m:accPr>
                            <m:e>
                              <m:box>
                                <m:boxPr>
                                  <m:ctrlPr>
                                    <w:rPr>
                                      <w:rFonts w:ascii="Cambria Math" w:hAnsi="Cambria Math"/>
                                    </w:rPr>
                                  </m:ctrlPr>
                                </m:boxPr>
                                <m:e>
                                  <m:r>
                                    <w:rPr>
                                      <w:rFonts w:ascii="Cambria Math" w:hAnsi="Cambria Math"/>
                                    </w:rPr>
                                    <m:t>r</m:t>
                                  </m:r>
                                </m:e>
                              </m:box>
                            </m:e>
                          </m:acc>
                        </m:e>
                        <m:sub>
                          <m:r>
                            <w:rPr>
                              <w:rFonts w:ascii="Cambria Math" w:hAnsi="Cambria Math"/>
                            </w:rPr>
                            <m:t>t</m:t>
                          </m:r>
                        </m:sub>
                        <m:sup>
                          <m:box>
                            <m:boxPr>
                              <m:ctrlPr>
                                <w:rPr>
                                  <w:rFonts w:ascii="Cambria Math" w:hAnsi="Cambria Math"/>
                                </w:rPr>
                              </m:ctrlPr>
                            </m:boxPr>
                            <m:e>
                              <m:box>
                                <m:boxPr>
                                  <m:ctrlPr>
                                    <w:rPr>
                                      <w:rFonts w:ascii="Cambria Math" w:hAnsi="Cambria Math"/>
                                    </w:rPr>
                                  </m:ctrlPr>
                                </m:boxPr>
                                <m:e>
                                  <m:r>
                                    <m:rPr>
                                      <m:sty m:val="p"/>
                                    </m:rPr>
                                    <w:rPr>
                                      <w:rFonts w:ascii="Cambria Math" w:hAnsi="Cambria Math"/>
                                    </w:rPr>
                                    <m:t>ewma</m:t>
                                  </m:r>
                                </m:e>
                              </m:box>
                            </m:e>
                          </m:box>
                        </m:sup>
                      </m:sSubSup>
                    </m:e>
                  </m:box>
                </m:num>
                <m:den>
                  <m:box>
                    <m:boxPr>
                      <m:ctrlPr>
                        <w:rPr>
                          <w:rFonts w:ascii="Cambria Math" w:hAnsi="Cambria Math"/>
                        </w:rPr>
                      </m:ctrlPr>
                    </m:boxPr>
                    <m:e>
                      <m:sSubSup>
                        <m:sSubSupPr>
                          <m:ctrlPr>
                            <w:rPr>
                              <w:rFonts w:ascii="Cambria Math" w:hAnsi="Cambria Math"/>
                            </w:rPr>
                          </m:ctrlPr>
                        </m:sSubSupPr>
                        <m:e>
                          <m:acc>
                            <m:accPr>
                              <m:chr m:val="ˆ"/>
                              <m:ctrlPr>
                                <w:rPr>
                                  <w:rFonts w:ascii="Cambria Math" w:hAnsi="Cambria Math"/>
                                </w:rPr>
                              </m:ctrlPr>
                            </m:accPr>
                            <m:e>
                              <m:box>
                                <m:boxPr>
                                  <m:ctrlPr>
                                    <w:rPr>
                                      <w:rFonts w:ascii="Cambria Math" w:hAnsi="Cambria Math"/>
                                    </w:rPr>
                                  </m:ctrlPr>
                                </m:boxPr>
                                <m:e>
                                  <m:r>
                                    <w:rPr>
                                      <w:rFonts w:ascii="Cambria Math" w:hAnsi="Cambria Math"/>
                                    </w:rPr>
                                    <m:t>σ</m:t>
                                  </m:r>
                                </m:e>
                              </m:box>
                            </m:e>
                          </m:acc>
                        </m:e>
                        <m:sub>
                          <m:r>
                            <w:rPr>
                              <w:rFonts w:ascii="Cambria Math" w:hAnsi="Cambria Math"/>
                            </w:rPr>
                            <m:t>t</m:t>
                          </m:r>
                        </m:sub>
                        <m:sup>
                          <m:box>
                            <m:boxPr>
                              <m:ctrlPr>
                                <w:rPr>
                                  <w:rFonts w:ascii="Cambria Math" w:hAnsi="Cambria Math"/>
                                </w:rPr>
                              </m:ctrlPr>
                            </m:boxPr>
                            <m:e>
                              <m:box>
                                <m:boxPr>
                                  <m:ctrlPr>
                                    <w:rPr>
                                      <w:rFonts w:ascii="Cambria Math" w:hAnsi="Cambria Math"/>
                                    </w:rPr>
                                  </m:ctrlPr>
                                </m:boxPr>
                                <m:e>
                                  <m:r>
                                    <m:rPr>
                                      <m:sty m:val="p"/>
                                    </m:rPr>
                                    <w:rPr>
                                      <w:rFonts w:ascii="Cambria Math" w:hAnsi="Cambria Math"/>
                                    </w:rPr>
                                    <m:t>ewma</m:t>
                                  </m:r>
                                </m:e>
                              </m:box>
                            </m:e>
                          </m:box>
                        </m:sup>
                      </m:sSubSup>
                    </m:e>
                  </m:box>
                </m:den>
              </m:f>
              <m:r>
                <m:rPr>
                  <m:sty m:val="p"/>
                </m:rPr>
                <w:rPr>
                  <w:rFonts w:ascii="Cambria Math" w:hAnsi="Cambria Math"/>
                </w:rPr>
                <m:t>)</m:t>
              </m:r>
            </m:e>
          </m:box>
        </m:oMath>
      </m:oMathPara>
    </w:p>
    <w:p w14:paraId="391FB299" w14:textId="77777777" w:rsidR="00517998" w:rsidRPr="00517998" w:rsidRDefault="00517998" w:rsidP="00517998">
      <w:pPr>
        <w:spacing w:after="120"/>
        <w:rPr>
          <w:color w:val="222830"/>
          <w:lang w:val="en-GB"/>
        </w:rPr>
      </w:pPr>
      <w:r w:rsidRPr="00517998">
        <w:rPr>
          <w:color w:val="222830"/>
          <w:lang w:val="en-GB"/>
        </w:rPr>
        <w:t>and </w:t>
      </w:r>
      <w:proofErr w:type="spellStart"/>
      <w:r w:rsidRPr="00517998">
        <w:rPr>
          <w:color w:val="222830"/>
          <w:lang w:val="en-GB"/>
        </w:rPr>
        <w:t>g_t</w:t>
      </w:r>
      <w:proofErr w:type="spellEnd"/>
      <w:r w:rsidRPr="00517998">
        <w:rPr>
          <w:color w:val="222830"/>
          <w:lang w:val="en-GB"/>
        </w:rPr>
        <w:t xml:space="preserve"> </w:t>
      </w:r>
      <w:r w:rsidRPr="00517998">
        <w:rPr>
          <w:rFonts w:ascii="Cambria Math" w:hAnsi="Cambria Math" w:cs="Cambria Math"/>
          <w:color w:val="222830"/>
          <w:lang w:val="en-GB"/>
        </w:rPr>
        <w:t>∈</w:t>
      </w:r>
      <w:r w:rsidRPr="00517998">
        <w:rPr>
          <w:color w:val="222830"/>
          <w:lang w:val="en-GB"/>
        </w:rPr>
        <w:t xml:space="preserve"> [</w:t>
      </w:r>
      <w:r w:rsidRPr="00517998">
        <w:rPr>
          <w:rFonts w:cs="Calibri"/>
          <w:color w:val="222830"/>
          <w:lang w:val="en-GB"/>
        </w:rPr>
        <w:t>−</w:t>
      </w:r>
      <w:r w:rsidRPr="00517998">
        <w:rPr>
          <w:color w:val="222830"/>
          <w:lang w:val="en-GB"/>
        </w:rPr>
        <w:t>1,1]</w:t>
      </w:r>
      <w:r w:rsidRPr="00517998">
        <w:rPr>
          <w:rFonts w:cs="Calibri"/>
          <w:color w:val="222830"/>
          <w:lang w:val="en-GB"/>
        </w:rPr>
        <w:t> </w:t>
      </w:r>
      <w:r w:rsidRPr="00517998">
        <w:rPr>
          <w:color w:val="222830"/>
          <w:lang w:val="en-GB"/>
        </w:rPr>
        <w:t>is a market-regime gauge formed from the cross-section's daily returns and a dollar-volume liquidity proxy: a weighted combination of 63-day market momentum, breadth (share of assets with positive momentum), and a liquidity trend,</w:t>
      </w:r>
      <w:r w:rsidRPr="00517998">
        <w:rPr>
          <w:rFonts w:cs="Calibri"/>
          <w:color w:val="222830"/>
          <w:lang w:val="en-GB"/>
        </w:rPr>
        <w:t> </w:t>
      </w:r>
      <w:r w:rsidRPr="00517998">
        <w:rPr>
          <w:i/>
          <w:iCs/>
          <w:color w:val="222830"/>
          <w:lang w:val="en-GB"/>
        </w:rPr>
        <w:t>minus</w:t>
      </w:r>
      <w:r w:rsidRPr="00517998">
        <w:rPr>
          <w:color w:val="222830"/>
          <w:lang w:val="en-GB"/>
        </w:rPr>
        <w:t> the 21-/126-day volatility ratio, the 252-day drawdown, and average pairwise correlation ("correlation stress"). The score then moves the two parameters around their base values:</w:t>
      </w:r>
    </w:p>
    <w:p w14:paraId="6A0223AE" w14:textId="77777777" w:rsidR="008633A2" w:rsidRDefault="008633A2" w:rsidP="008633A2">
      <w:pPr>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α</m:t>
                  </m:r>
                </m:e>
                <m:sub>
                  <m:r>
                    <w:rPr>
                      <w:rFonts w:ascii="Cambria Math" w:hAnsi="Cambria Math"/>
                    </w:rPr>
                    <m:t>t</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clip</m:t>
                  </m:r>
                </m:e>
              </m:box>
              <m:r>
                <m:rPr>
                  <m:sty m:val="p"/>
                </m:rPr>
                <w:rPr>
                  <w:rFonts w:ascii="Cambria Math" w:hAnsi="Cambria Math"/>
                </w:rPr>
                <m:t>(</m:t>
              </m:r>
              <m:sSub>
                <m:sSubPr>
                  <m:ctrlPr>
                    <w:rPr>
                      <w:rFonts w:ascii="Cambria Math" w:hAnsi="Cambria Math"/>
                    </w:rPr>
                  </m:ctrlPr>
                </m:sSubPr>
                <m:e>
                  <m:r>
                    <w:rPr>
                      <w:rFonts w:ascii="Cambria Math" w:hAnsi="Cambria Math"/>
                    </w:rPr>
                    <m:t>α</m:t>
                  </m:r>
                </m:e>
                <m:sub>
                  <m:r>
                    <m:rPr>
                      <m:sty m:val="p"/>
                    </m:rPr>
                    <w:rPr>
                      <w:rFonts w:ascii="Cambria Math" w:hAnsi="Cambria Math"/>
                    </w:rPr>
                    <m:t>0</m:t>
                  </m:r>
                </m:sub>
              </m:sSub>
              <m:r>
                <m:rPr>
                  <m:sty m:val="p"/>
                </m:rPr>
                <w:rPr>
                  <w:rFonts w:ascii="Cambria Math" w:hAnsi="Cambria Math"/>
                </w:rPr>
                <m:t>-0.05</m:t>
              </m:r>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 xml:space="preserve"> </m:t>
              </m:r>
              <m:r>
                <m:rPr>
                  <m:sty m:val="p"/>
                </m:rPr>
                <w:rPr>
                  <w:rFonts w:ascii="Cambria Math" w:hAnsi="Cambria Math"/>
                </w:rPr>
                <m:t>0.90,</m:t>
              </m:r>
              <m:r>
                <w:rPr>
                  <w:rFonts w:ascii="Cambria Math" w:hAnsi="Cambria Math"/>
                </w:rPr>
                <m:t xml:space="preserve"> </m:t>
              </m:r>
              <m:r>
                <m:rPr>
                  <m:sty m:val="p"/>
                </m:rPr>
                <w:rPr>
                  <w:rFonts w:ascii="Cambria Math" w:hAnsi="Cambria Math"/>
                </w:rPr>
                <m:t>0.995)</m:t>
              </m:r>
            </m:e>
          </m:box>
        </m:oMath>
      </m:oMathPara>
    </w:p>
    <w:p w14:paraId="6F1FB80E" w14:textId="77777777" w:rsidR="008633A2" w:rsidRDefault="008633A2" w:rsidP="008633A2">
      <w:pPr>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clip</m:t>
                  </m:r>
                </m:e>
              </m:box>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0</m:t>
                  </m:r>
                </m:sub>
              </m:sSub>
              <m:r>
                <m:rPr>
                  <m:sty m:val="p"/>
                </m:rPr>
                <w:rPr>
                  <w:rFonts w:ascii="Cambria Math" w:hAnsi="Cambria Math"/>
                </w:rPr>
                <m:t>exp(0.55</m:t>
              </m:r>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 xml:space="preserve"> </m:t>
              </m:r>
              <m:r>
                <m:rPr>
                  <m:sty m:val="p"/>
                </m:rPr>
                <w:rPr>
                  <w:rFonts w:ascii="Cambria Math" w:hAnsi="Cambria Math"/>
                </w:rPr>
                <m:t>0.01,</m:t>
              </m:r>
              <m:r>
                <w:rPr>
                  <w:rFonts w:ascii="Cambria Math" w:hAnsi="Cambria Math"/>
                </w:rPr>
                <m:t xml:space="preserve"> </m:t>
              </m:r>
              <m:r>
                <m:rPr>
                  <m:sty m:val="p"/>
                </m:rPr>
                <w:rPr>
                  <w:rFonts w:ascii="Cambria Math" w:hAnsi="Cambria Math"/>
                </w:rPr>
                <m:t>10)</m:t>
              </m:r>
            </m:e>
          </m:box>
        </m:oMath>
      </m:oMathPara>
    </w:p>
    <w:p w14:paraId="016A6DEE" w14:textId="54894454" w:rsidR="00517998" w:rsidRPr="00517998" w:rsidRDefault="00517998" w:rsidP="008633A2">
      <w:pPr>
        <w:spacing w:after="120"/>
        <w:ind w:firstLine="720"/>
        <w:rPr>
          <w:color w:val="222830"/>
          <w:lang w:val="en-GB"/>
        </w:rPr>
      </w:pPr>
      <w:r w:rsidRPr="00517998">
        <w:rPr>
          <w:color w:val="222830"/>
          <w:lang w:val="en-GB"/>
        </w:rPr>
        <w:lastRenderedPageBreak/>
        <w:t>A risk-off state (negative </w:t>
      </w:r>
      <w:proofErr w:type="spellStart"/>
      <w:r w:rsidRPr="00517998">
        <w:rPr>
          <w:color w:val="222830"/>
          <w:lang w:val="en-GB"/>
        </w:rPr>
        <w:t>s_t</w:t>
      </w:r>
      <w:proofErr w:type="spellEnd"/>
      <w:r w:rsidRPr="00517998">
        <w:rPr>
          <w:color w:val="222830"/>
          <w:lang w:val="en-GB"/>
        </w:rPr>
        <w:t>) therefore raises </w:t>
      </w:r>
      <w:r w:rsidRPr="00517998">
        <w:rPr>
          <w:color w:val="222830"/>
          <w:lang w:val="ru-RU"/>
        </w:rPr>
        <w:t>α</w:t>
      </w:r>
      <w:r w:rsidRPr="00517998">
        <w:rPr>
          <w:color w:val="222830"/>
          <w:lang w:val="en-GB"/>
        </w:rPr>
        <w:t> </w:t>
      </w:r>
      <w:r w:rsidR="008633A2">
        <w:rPr>
          <w:color w:val="222830"/>
          <w:lang w:val="en-GB"/>
        </w:rPr>
        <w:t>-</w:t>
      </w:r>
      <w:r w:rsidRPr="00517998">
        <w:rPr>
          <w:color w:val="222830"/>
          <w:lang w:val="en-GB"/>
        </w:rPr>
        <w:t xml:space="preserve"> pushing the CVaR measure deeper into the tail and, because </w:t>
      </w:r>
      <w:r w:rsidRPr="00517998">
        <w:rPr>
          <w:color w:val="222830"/>
          <w:lang w:val="ru-RU"/>
        </w:rPr>
        <w:t>α</w:t>
      </w:r>
      <w:r w:rsidRPr="00517998">
        <w:rPr>
          <w:color w:val="222830"/>
          <w:lang w:val="en-GB"/>
        </w:rPr>
        <w:t xml:space="preserve"> also defines the self-scaling budget c = </w:t>
      </w:r>
      <w:r w:rsidRPr="00517998">
        <w:rPr>
          <w:color w:val="222830"/>
          <w:lang w:val="ru-RU"/>
        </w:rPr>
        <w:t>κ</w:t>
      </w:r>
      <w:r w:rsidRPr="00517998">
        <w:rPr>
          <w:color w:val="222830"/>
          <w:lang w:val="en-GB"/>
        </w:rPr>
        <w:t>·CVaR_</w:t>
      </w:r>
      <w:r w:rsidRPr="00517998">
        <w:rPr>
          <w:color w:val="222830"/>
          <w:lang w:val="ru-RU"/>
        </w:rPr>
        <w:t>α</w:t>
      </w:r>
      <w:r w:rsidRPr="00517998">
        <w:rPr>
          <w:color w:val="222830"/>
          <w:lang w:val="en-GB"/>
        </w:rPr>
        <w:t xml:space="preserve">(1/N), tightening the constraint toward a more tail-robust allocation </w:t>
      </w:r>
      <w:r w:rsidR="008633A2">
        <w:rPr>
          <w:color w:val="222830"/>
          <w:lang w:val="en-GB"/>
        </w:rPr>
        <w:t>-</w:t>
      </w:r>
      <w:r w:rsidRPr="00517998">
        <w:rPr>
          <w:color w:val="222830"/>
          <w:lang w:val="en-GB"/>
        </w:rPr>
        <w:t>and lowers </w:t>
      </w:r>
      <w:r w:rsidRPr="00517998">
        <w:rPr>
          <w:color w:val="222830"/>
          <w:lang w:val="ru-RU"/>
        </w:rPr>
        <w:t>λ</w:t>
      </w:r>
      <w:r w:rsidRPr="00517998">
        <w:rPr>
          <w:color w:val="222830"/>
          <w:lang w:val="en-GB"/>
        </w:rPr>
        <w:t>, making it cheaper for the optimiser to re-trade out of risk. A calm state does the reverse. The performance and regime states (the streak, the EWMAs, and the rolling regime statistics) use only information available at the rebalance date, so </w:t>
      </w:r>
      <w:r w:rsidRPr="00517998">
        <w:rPr>
          <w:color w:val="222830"/>
          <w:lang w:val="ru-RU"/>
        </w:rPr>
        <w:t>α</w:t>
      </w:r>
      <w:r w:rsidRPr="00517998">
        <w:rPr>
          <w:color w:val="222830"/>
          <w:lang w:val="en-GB"/>
        </w:rPr>
        <w:t>_t and </w:t>
      </w:r>
      <w:r w:rsidRPr="00517998">
        <w:rPr>
          <w:color w:val="222830"/>
          <w:lang w:val="ru-RU"/>
        </w:rPr>
        <w:t>λ</w:t>
      </w:r>
      <w:r w:rsidRPr="00517998">
        <w:rPr>
          <w:color w:val="222830"/>
          <w:lang w:val="en-GB"/>
        </w:rPr>
        <w:t>_t are strictly causal.</w:t>
      </w:r>
    </w:p>
    <w:p w14:paraId="4ACF62DF" w14:textId="77777777" w:rsidR="008633A2" w:rsidRDefault="00517998" w:rsidP="00517998">
      <w:pPr>
        <w:spacing w:after="120"/>
        <w:rPr>
          <w:color w:val="222830"/>
          <w:lang w:val="en-GB"/>
        </w:rPr>
      </w:pPr>
      <w:r w:rsidRPr="00517998">
        <w:rPr>
          <w:color w:val="222830"/>
          <w:lang w:val="en-GB"/>
        </w:rPr>
        <w:t>Dynamic execution (partial rebalancing)</w:t>
      </w:r>
    </w:p>
    <w:p w14:paraId="6B07E2EE" w14:textId="462B5070" w:rsidR="00517998" w:rsidRPr="00517998" w:rsidRDefault="00517998" w:rsidP="00517998">
      <w:pPr>
        <w:spacing w:after="120"/>
        <w:rPr>
          <w:color w:val="222830"/>
          <w:lang w:val="en-GB"/>
        </w:rPr>
      </w:pPr>
      <w:r w:rsidRPr="00517998">
        <w:rPr>
          <w:color w:val="222830"/>
          <w:lang w:val="en-GB"/>
        </w:rPr>
        <w:t xml:space="preserve">Trades toward the optimiser's target are then executed only partially. Rather than jumping </w:t>
      </w:r>
      <w:proofErr w:type="spellStart"/>
      <w:r w:rsidR="008633A2">
        <w:t>w_t</w:t>
      </w:r>
      <w:proofErr w:type="spellEnd"/>
      <w:r w:rsidR="008633A2">
        <w:t>^{target},</w:t>
      </w:r>
      <w:r w:rsidR="008633A2">
        <w:t xml:space="preserve"> </w:t>
      </w:r>
      <w:proofErr w:type="spellStart"/>
      <w:r w:rsidRPr="00517998">
        <w:rPr>
          <w:color w:val="222830"/>
          <w:lang w:val="en-GB"/>
        </w:rPr>
        <w:t>the</w:t>
      </w:r>
      <w:proofErr w:type="spellEnd"/>
      <w:r w:rsidRPr="00517998">
        <w:rPr>
          <w:color w:val="222830"/>
          <w:lang w:val="en-GB"/>
        </w:rPr>
        <w:t xml:space="preserve"> held book moves a fraction </w:t>
      </w:r>
      <w:proofErr w:type="spellStart"/>
      <w:r w:rsidRPr="00517998">
        <w:rPr>
          <w:color w:val="222830"/>
          <w:lang w:val="en-GB"/>
        </w:rPr>
        <w:t>a_t</w:t>
      </w:r>
      <w:proofErr w:type="spellEnd"/>
      <w:r w:rsidRPr="00517998">
        <w:rPr>
          <w:color w:val="222830"/>
          <w:lang w:val="en-GB"/>
        </w:rPr>
        <w:t> of the way:</w:t>
      </w:r>
    </w:p>
    <w:p w14:paraId="47D49C9D" w14:textId="77777777" w:rsidR="008633A2" w:rsidRDefault="008633A2" w:rsidP="008633A2">
      <w:pPr>
        <w:jc w:val="center"/>
      </w:pPr>
      <m:oMathPara>
        <m:oMath>
          <m:box>
            <m:boxPr>
              <m:ctrlPr>
                <w:rPr>
                  <w:rFonts w:ascii="Cambria Math" w:hAnsi="Cambria Math"/>
                </w:rPr>
              </m:ctrlPr>
            </m:boxPr>
            <m:e>
              <m:sSubSup>
                <m:sSubSupPr>
                  <m:ctrlPr>
                    <w:rPr>
                      <w:rFonts w:ascii="Cambria Math" w:hAnsi="Cambria Math"/>
                    </w:rPr>
                  </m:ctrlPr>
                </m:sSubSupPr>
                <m:e>
                  <m:r>
                    <w:rPr>
                      <w:rFonts w:ascii="Cambria Math" w:hAnsi="Cambria Math"/>
                    </w:rPr>
                    <m:t>w</m:t>
                  </m:r>
                </m:e>
                <m:sub>
                  <m:r>
                    <w:rPr>
                      <w:rFonts w:ascii="Cambria Math" w:hAnsi="Cambria Math"/>
                    </w:rPr>
                    <m:t>t</m:t>
                  </m:r>
                </m:sub>
                <m:sup>
                  <m:box>
                    <m:boxPr>
                      <m:ctrlPr>
                        <w:rPr>
                          <w:rFonts w:ascii="Cambria Math" w:hAnsi="Cambria Math"/>
                        </w:rPr>
                      </m:ctrlPr>
                    </m:boxPr>
                    <m:e>
                      <m:r>
                        <w:rPr>
                          <w:rFonts w:ascii="Cambria Math" w:hAnsi="Cambria Math"/>
                        </w:rPr>
                        <m:t>exec</m:t>
                      </m:r>
                    </m:e>
                  </m:box>
                </m:sup>
              </m:sSubSup>
              <m:r>
                <m:rPr>
                  <m:sty m:val="p"/>
                </m:rPr>
                <w:rPr>
                  <w:rFonts w:ascii="Cambria Math" w:hAnsi="Cambria Math"/>
                </w:rPr>
                <m:t>=</m:t>
              </m:r>
              <m:sSub>
                <m:sSubPr>
                  <m:ctrlPr>
                    <w:rPr>
                      <w:rFonts w:ascii="Cambria Math" w:hAnsi="Cambria Math"/>
                    </w:rPr>
                  </m:ctrlPr>
                </m:sSubPr>
                <m:e>
                  <m:r>
                    <w:rPr>
                      <w:rFonts w:ascii="Cambria Math" w:hAnsi="Cambria Math"/>
                    </w:rPr>
                    <m:t>w</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t</m:t>
                  </m:r>
                </m:sub>
                <m:sup>
                  <m:box>
                    <m:boxPr>
                      <m:ctrlPr>
                        <w:rPr>
                          <w:rFonts w:ascii="Cambria Math" w:hAnsi="Cambria Math"/>
                        </w:rPr>
                      </m:ctrlPr>
                    </m:boxPr>
                    <m:e>
                      <m:r>
                        <w:rPr>
                          <w:rFonts w:ascii="Cambria Math" w:hAnsi="Cambria Math"/>
                        </w:rPr>
                        <m:t>target</m:t>
                      </m:r>
                    </m:e>
                  </m:box>
                </m:sup>
              </m:sSubSup>
              <m:r>
                <m:rPr>
                  <m:sty m:val="p"/>
                </m:rPr>
                <w:rPr>
                  <w:rFonts w:ascii="Cambria Math" w:hAnsi="Cambria Math"/>
                </w:rPr>
                <m:t>-</m:t>
              </m:r>
              <m:sSub>
                <m:sSubPr>
                  <m:ctrlPr>
                    <w:rPr>
                      <w:rFonts w:ascii="Cambria Math" w:hAnsi="Cambria Math"/>
                    </w:rPr>
                  </m:ctrlPr>
                </m:sSubPr>
                <m:e>
                  <m:r>
                    <w:rPr>
                      <w:rFonts w:ascii="Cambria Math" w:hAnsi="Cambria Math"/>
                    </w:rPr>
                    <m:t>w</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∈[0,1]</m:t>
              </m:r>
            </m:e>
          </m:box>
        </m:oMath>
      </m:oMathPara>
    </w:p>
    <w:p w14:paraId="7F36741A" w14:textId="7B9B59FC" w:rsidR="00517998" w:rsidRPr="00517998" w:rsidRDefault="00517998" w:rsidP="00517998">
      <w:pPr>
        <w:spacing w:after="120"/>
        <w:rPr>
          <w:color w:val="222830"/>
          <w:lang w:val="en-GB"/>
        </w:rPr>
      </w:pPr>
      <w:r w:rsidRPr="00517998">
        <w:rPr>
          <w:color w:val="222830"/>
          <w:lang w:val="en-GB"/>
        </w:rPr>
        <w:t>where </w:t>
      </w:r>
      <w:proofErr w:type="spellStart"/>
      <w:r w:rsidRPr="00517998">
        <w:rPr>
          <w:color w:val="222830"/>
          <w:lang w:val="en-GB"/>
        </w:rPr>
        <w:t>a_t</w:t>
      </w:r>
      <w:proofErr w:type="spellEnd"/>
      <w:r w:rsidRPr="00517998">
        <w:rPr>
          <w:color w:val="222830"/>
          <w:lang w:val="en-GB"/>
        </w:rPr>
        <w:t> is a sigmoid of trailing performance. This smooths the path of the portfolio and contains turnover and transaction costs while leaving the optimiser's intended composition intact.</w:t>
      </w:r>
    </w:p>
    <w:p w14:paraId="6710F62A" w14:textId="1FB151E7" w:rsidR="00517998" w:rsidRPr="00517998" w:rsidRDefault="00517998" w:rsidP="00517998">
      <w:pPr>
        <w:spacing w:after="120"/>
        <w:rPr>
          <w:color w:val="222830"/>
          <w:lang w:val="en-GB"/>
        </w:rPr>
      </w:pPr>
      <w:r w:rsidRPr="00517998">
        <w:rPr>
          <w:color w:val="222830"/>
          <w:lang w:val="en-GB"/>
        </w:rPr>
        <w:t xml:space="preserve">The allocation objective itself is held fixed across the </w:t>
      </w:r>
      <w:proofErr w:type="spellStart"/>
      <w:r w:rsidRPr="00517998">
        <w:rPr>
          <w:color w:val="222830"/>
          <w:lang w:val="en-GB"/>
        </w:rPr>
        <w:t>backtest</w:t>
      </w:r>
      <w:proofErr w:type="spellEnd"/>
      <w:r w:rsidRPr="00517998">
        <w:rPr>
          <w:color w:val="222830"/>
          <w:lang w:val="en-GB"/>
        </w:rPr>
        <w:t xml:space="preserve"> </w:t>
      </w:r>
      <w:r w:rsidR="008633A2">
        <w:rPr>
          <w:color w:val="222830"/>
          <w:lang w:val="en-GB"/>
        </w:rPr>
        <w:t>(</w:t>
      </w:r>
      <w:r w:rsidRPr="00517998">
        <w:rPr>
          <w:color w:val="222830"/>
          <w:lang w:val="en-GB"/>
        </w:rPr>
        <w:t>maximum expected return subject to the CVaR constraint</w:t>
      </w:r>
      <w:r w:rsidR="008633A2">
        <w:rPr>
          <w:color w:val="222830"/>
          <w:lang w:val="en-GB"/>
        </w:rPr>
        <w:t>),</w:t>
      </w:r>
      <w:r w:rsidRPr="00517998">
        <w:rPr>
          <w:color w:val="222830"/>
          <w:lang w:val="en-GB"/>
        </w:rPr>
        <w:t xml:space="preserve"> so only </w:t>
      </w:r>
      <w:r w:rsidRPr="00517998">
        <w:rPr>
          <w:color w:val="222830"/>
          <w:lang w:val="ru-RU"/>
        </w:rPr>
        <w:t>α</w:t>
      </w:r>
      <w:r w:rsidRPr="00517998">
        <w:rPr>
          <w:color w:val="222830"/>
          <w:lang w:val="en-GB"/>
        </w:rPr>
        <w:t>, </w:t>
      </w:r>
      <w:r w:rsidRPr="00517998">
        <w:rPr>
          <w:color w:val="222830"/>
          <w:lang w:val="ru-RU"/>
        </w:rPr>
        <w:t>λ</w:t>
      </w:r>
      <w:r w:rsidRPr="00517998">
        <w:rPr>
          <w:color w:val="222830"/>
          <w:lang w:val="en-GB"/>
        </w:rPr>
        <w:t>, and the execution fraction </w:t>
      </w:r>
      <w:proofErr w:type="spellStart"/>
      <w:r w:rsidRPr="00517998">
        <w:rPr>
          <w:color w:val="222830"/>
          <w:lang w:val="en-GB"/>
        </w:rPr>
        <w:t>a_t</w:t>
      </w:r>
      <w:proofErr w:type="spellEnd"/>
      <w:r w:rsidRPr="00517998">
        <w:rPr>
          <w:color w:val="222830"/>
          <w:lang w:val="en-GB"/>
        </w:rPr>
        <w:t> vary over time.</w:t>
      </w:r>
    </w:p>
    <w:p w14:paraId="5B155156" w14:textId="77777777" w:rsidR="00517998" w:rsidRDefault="00517998">
      <w:pPr>
        <w:spacing w:after="120"/>
      </w:pPr>
    </w:p>
    <w:p w14:paraId="493FDE00" w14:textId="0EADEE80" w:rsidR="00480A68" w:rsidRDefault="00000000">
      <w:pPr>
        <w:spacing w:before="160" w:after="60"/>
      </w:pPr>
      <w:r>
        <w:rPr>
          <w:b/>
          <w:color w:val="163A5F"/>
          <w:sz w:val="25"/>
        </w:rPr>
        <w:t xml:space="preserve">5.3 Allocator: maximum return subject to a CVaR constraint </w:t>
      </w:r>
    </w:p>
    <w:p w14:paraId="14061BA4" w14:textId="77777777" w:rsidR="008633A2" w:rsidRDefault="00000000">
      <w:pPr>
        <w:spacing w:after="120"/>
        <w:rPr>
          <w:color w:val="222830"/>
        </w:rPr>
      </w:pPr>
      <w:r>
        <w:rPr>
          <w:color w:val="222830"/>
        </w:rPr>
        <w:t xml:space="preserve">Monthly weights solve the </w:t>
      </w:r>
      <w:proofErr w:type="spellStart"/>
      <w:r>
        <w:rPr>
          <w:color w:val="222830"/>
        </w:rPr>
        <w:t>Rockafellar</w:t>
      </w:r>
      <w:proofErr w:type="spellEnd"/>
      <w:r>
        <w:rPr>
          <w:color w:val="222830"/>
        </w:rPr>
        <w:t>–</w:t>
      </w:r>
      <w:proofErr w:type="spellStart"/>
      <w:r>
        <w:rPr>
          <w:color w:val="222830"/>
        </w:rPr>
        <w:t>Uryasev</w:t>
      </w:r>
      <w:proofErr w:type="spellEnd"/>
      <w:r>
        <w:rPr>
          <w:color w:val="222830"/>
        </w:rPr>
        <w:t xml:space="preserve"> LP</w:t>
      </w:r>
      <w:r w:rsidR="008633A2">
        <w:rPr>
          <w:color w:val="222830"/>
        </w:rPr>
        <w:t>:</w:t>
      </w:r>
    </w:p>
    <w:p w14:paraId="2F45F295" w14:textId="77777777" w:rsidR="008633A2" w:rsidRDefault="008633A2" w:rsidP="008633A2">
      <w:pPr>
        <w:jc w:val="center"/>
      </w:pPr>
      <m:oMathPara>
        <m:oMath>
          <m:box>
            <m:boxPr>
              <m:ctrlPr>
                <w:rPr>
                  <w:rFonts w:ascii="Cambria Math" w:hAnsi="Cambria Math"/>
                </w:rPr>
              </m:ctrlPr>
            </m:boxPr>
            <m:e>
              <m:sSub>
                <m:sSubPr>
                  <m:ctrlPr>
                    <w:rPr>
                      <w:rFonts w:ascii="Cambria Math" w:hAnsi="Cambria Math"/>
                    </w:rPr>
                  </m:ctrlPr>
                </m:sSubPr>
                <m:e>
                  <m:r>
                    <m:rPr>
                      <m:sty m:val="p"/>
                    </m:rPr>
                    <w:rPr>
                      <w:rFonts w:ascii="Cambria Math" w:hAnsi="Cambria Math"/>
                    </w:rPr>
                    <m:t>max</m:t>
                  </m:r>
                </m:e>
                <m:sub>
                  <m:box>
                    <m:boxPr>
                      <m:ctrlPr>
                        <w:rPr>
                          <w:rFonts w:ascii="Cambria Math" w:hAnsi="Cambria Math"/>
                        </w:rPr>
                      </m:ctrlPr>
                    </m:boxPr>
                    <m:e>
                      <m:r>
                        <w:rPr>
                          <w:rFonts w:ascii="Cambria Math" w:hAnsi="Cambria Math"/>
                        </w:rPr>
                        <m:t>w</m:t>
                      </m:r>
                    </m:e>
                  </m:box>
                </m:sub>
              </m:sSub>
              <m:r>
                <m:rPr>
                  <m:nor/>
                </m:rPr>
                <m:t> </m:t>
              </m:r>
              <m:r>
                <w:rPr>
                  <w:rFonts w:ascii="Cambria Math" w:hAnsi="Cambria Math"/>
                </w:rPr>
                <m:t>μ</m:t>
              </m:r>
              <m:r>
                <m:rPr>
                  <m:sty m:val="p"/>
                </m:rPr>
                <w:rPr>
                  <w:rFonts w:ascii="Cambria Math" w:hAnsi="Cambria Math"/>
                </w:rPr>
                <m:t>·</m:t>
              </m:r>
              <m:r>
                <w:rPr>
                  <w:rFonts w:ascii="Cambria Math" w:hAnsi="Cambria Math"/>
                </w:rPr>
                <m:t>w</m:t>
              </m:r>
            </m:e>
          </m:box>
        </m:oMath>
      </m:oMathPara>
    </w:p>
    <w:p w14:paraId="2978101A" w14:textId="77777777" w:rsidR="008633A2" w:rsidRDefault="008633A2" w:rsidP="008633A2">
      <w:pPr>
        <w:jc w:val="cente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s.t.</m:t>
                  </m:r>
                </m:e>
              </m:box>
              <m:r>
                <m:rPr>
                  <m:nor/>
                </m:rPr>
                <m:t> </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CVaR</m:t>
                      </m:r>
                    </m:e>
                  </m:box>
                </m:e>
                <m:sub>
                  <m:box>
                    <m:boxPr>
                      <m:ctrlPr>
                        <w:rPr>
                          <w:rFonts w:ascii="Cambria Math" w:hAnsi="Cambria Math"/>
                        </w:rPr>
                      </m:ctrlPr>
                    </m:boxPr>
                    <m:e>
                      <m:r>
                        <w:rPr>
                          <w:rFonts w:ascii="Cambria Math" w:hAnsi="Cambria Math"/>
                        </w:rPr>
                        <m:t>α</m:t>
                      </m:r>
                    </m:e>
                  </m:box>
                </m:sub>
              </m:sSub>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c</m:t>
              </m:r>
            </m:e>
          </m:box>
        </m:oMath>
      </m:oMathPara>
    </w:p>
    <w:p w14:paraId="7E0E8457" w14:textId="77777777" w:rsidR="008633A2" w:rsidRDefault="008633A2" w:rsidP="008633A2">
      <w:pPr>
        <w:jc w:val="center"/>
      </w:pPr>
      <m:oMathPara>
        <m:oMath>
          <m:box>
            <m:boxPr>
              <m:ctrlPr>
                <w:rPr>
                  <w:rFonts w:ascii="Cambria Math" w:hAnsi="Cambria Math"/>
                </w:rPr>
              </m:ctrlPr>
            </m:boxPr>
            <m:e>
              <m:r>
                <m:rPr>
                  <m:sty m:val="p"/>
                </m:rPr>
                <w:rPr>
                  <w:rFonts w:ascii="Cambria Math" w:hAnsi="Cambria Math"/>
                </w:rPr>
                <m:t>∑</m:t>
              </m:r>
              <m:r>
                <w:rPr>
                  <w:rFonts w:ascii="Cambria Math" w:hAnsi="Cambria Math"/>
                </w:rPr>
                <m:t>w</m:t>
              </m:r>
              <m:r>
                <m:rPr>
                  <m:sty m:val="p"/>
                </m:rPr>
                <w:rPr>
                  <w:rFonts w:ascii="Cambria Math" w:hAnsi="Cambria Math"/>
                </w:rPr>
                <m:t>=1</m:t>
              </m:r>
            </m:e>
          </m:box>
        </m:oMath>
      </m:oMathPara>
    </w:p>
    <w:p w14:paraId="0DF80814" w14:textId="77777777" w:rsidR="008633A2" w:rsidRDefault="008633A2" w:rsidP="008633A2">
      <w:pPr>
        <w:jc w:val="center"/>
      </w:pPr>
      <m:oMathPara>
        <m:oMath>
          <m:box>
            <m:boxPr>
              <m:ctrlPr>
                <w:rPr>
                  <w:rFonts w:ascii="Cambria Math" w:hAnsi="Cambria Math"/>
                </w:rPr>
              </m:ctrlPr>
            </m:boxPr>
            <m:e>
              <m:r>
                <m:rPr>
                  <m:sty m:val="p"/>
                </m:rPr>
                <w:rPr>
                  <w:rFonts w:ascii="Cambria Math" w:hAnsi="Cambria Math"/>
                </w:rPr>
                <m:t>0≤</m:t>
              </m:r>
              <m:r>
                <w:rPr>
                  <w:rFonts w:ascii="Cambria Math" w:hAnsi="Cambria Math"/>
                </w:rPr>
                <m:t>w</m:t>
              </m:r>
              <m:r>
                <m:rPr>
                  <m:sty m:val="p"/>
                </m:rPr>
                <w:rPr>
                  <w:rFonts w:ascii="Cambria Math" w:hAnsi="Cambria Math"/>
                </w:rPr>
                <m:t>≤0.12</m:t>
              </m:r>
            </m:e>
          </m:box>
        </m:oMath>
      </m:oMathPara>
    </w:p>
    <w:p w14:paraId="7F5A8E26" w14:textId="77777777" w:rsidR="008633A2" w:rsidRDefault="008633A2" w:rsidP="008633A2">
      <w:pPr>
        <w:jc w:val="center"/>
      </w:pPr>
      <m:oMathPara>
        <m:oMath>
          <m:box>
            <m:boxPr>
              <m:ctrlPr>
                <w:rPr>
                  <w:rFonts w:ascii="Cambria Math" w:hAnsi="Cambria Math"/>
                </w:rPr>
              </m:ctrlPr>
            </m:boxPr>
            <m:e>
              <m:r>
                <m:rPr>
                  <m:sty m:val="p"/>
                </m:rPr>
                <w:rPr>
                  <w:rFonts w:ascii="Cambria Math" w:hAnsi="Cambria Math"/>
                </w:rPr>
                <m:t>-</m:t>
              </m:r>
              <m:r>
                <w:rPr>
                  <w:rFonts w:ascii="Cambria Math" w:hAnsi="Cambria Math"/>
                </w:rPr>
                <m:t>λ</m:t>
              </m:r>
              <m:d>
                <m:dPr>
                  <m:begChr m:val="‖"/>
                  <m:endChr m:val=""/>
                  <m:ctrlPr>
                    <w:rPr>
                      <w:rFonts w:ascii="Cambria Math" w:hAnsi="Cambria Math"/>
                    </w:rPr>
                  </m:ctrlPr>
                </m:dPr>
                <m:e>
                  <m:box>
                    <m:boxPr>
                      <m:ctrlPr>
                        <w:rPr>
                          <w:rFonts w:ascii="Cambria Math" w:hAnsi="Cambria Math"/>
                        </w:rPr>
                      </m:ctrlPr>
                    </m:boxPr>
                    <m:e>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w</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prev</m:t>
                                  </m:r>
                                </m:e>
                              </m:box>
                            </m:e>
                          </m:box>
                        </m:sub>
                      </m:sSub>
                      <m:sSub>
                        <m:sSubPr>
                          <m:ctrlPr>
                            <w:rPr>
                              <w:rFonts w:ascii="Cambria Math" w:hAnsi="Cambria Math"/>
                            </w:rPr>
                          </m:ctrlPr>
                        </m:sSubPr>
                        <m:e>
                          <m:r>
                            <m:rPr>
                              <m:sty m:val="p"/>
                            </m:rPr>
                            <w:rPr>
                              <w:rFonts w:ascii="Cambria Math" w:hAnsi="Cambria Math"/>
                            </w:rPr>
                            <m:t>‖</m:t>
                          </m:r>
                        </m:e>
                        <m:sub>
                          <m:box>
                            <m:boxPr>
                              <m:ctrlPr>
                                <w:rPr>
                                  <w:rFonts w:ascii="Cambria Math" w:hAnsi="Cambria Math"/>
                                </w:rPr>
                              </m:ctrlPr>
                            </m:boxPr>
                            <m:e>
                              <m:r>
                                <m:rPr>
                                  <m:sty m:val="p"/>
                                </m:rPr>
                                <w:rPr>
                                  <w:rFonts w:ascii="Cambria Math" w:hAnsi="Cambria Math"/>
                                </w:rPr>
                                <m:t>1</m:t>
                              </m:r>
                            </m:e>
                          </m:box>
                        </m:sub>
                      </m:sSub>
                    </m:e>
                  </m:box>
                </m:e>
              </m:d>
            </m:e>
          </m:box>
        </m:oMath>
      </m:oMathPara>
    </w:p>
    <w:p w14:paraId="500C526C" w14:textId="77777777" w:rsidR="008633A2" w:rsidRDefault="008633A2" w:rsidP="008633A2">
      <w:pPr>
        <w:jc w:val="center"/>
      </w:pPr>
      <m:oMathPara>
        <m:oMath>
          <m:box>
            <m:boxPr>
              <m:ctrlPr>
                <w:rPr>
                  <w:rFonts w:ascii="Cambria Math" w:hAnsi="Cambria Math"/>
                </w:rPr>
              </m:ctrlPr>
            </m:boxPr>
            <m:e>
              <m:r>
                <w:rPr>
                  <w:rFonts w:ascii="Cambria Math" w:hAnsi="Cambria Math"/>
                </w:rPr>
                <m:t>α</m:t>
              </m:r>
              <m:r>
                <m:rPr>
                  <m:sty m:val="p"/>
                </m:rPr>
                <w:rPr>
                  <w:rFonts w:ascii="Cambria Math" w:hAnsi="Cambria Math"/>
                </w:rPr>
                <m:t>=0.95,</m:t>
              </m:r>
              <m:r>
                <w:rPr>
                  <w:rFonts w:ascii="Cambria Math" w:hAnsi="Cambria Math"/>
                </w:rPr>
                <m:t xml:space="preserve"> c</m:t>
              </m:r>
              <m:r>
                <m:rPr>
                  <m:sty m:val="p"/>
                </m:rPr>
                <w:rPr>
                  <w:rFonts w:ascii="Cambria Math" w:hAnsi="Cambria Math"/>
                </w:rPr>
                <m:t>=</m:t>
              </m:r>
              <m:r>
                <w:rPr>
                  <w:rFonts w:ascii="Cambria Math" w:hAnsi="Cambria Math"/>
                </w:rPr>
                <m:t>κ</m:t>
              </m:r>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CVaR</m:t>
                      </m:r>
                    </m:e>
                  </m:box>
                </m:e>
                <m:sub>
                  <m:box>
                    <m:boxPr>
                      <m:ctrlPr>
                        <w:rPr>
                          <w:rFonts w:ascii="Cambria Math" w:hAnsi="Cambria Math"/>
                        </w:rPr>
                      </m:ctrlPr>
                    </m:boxPr>
                    <m:e>
                      <m:r>
                        <w:rPr>
                          <w:rFonts w:ascii="Cambria Math" w:hAnsi="Cambria Math"/>
                        </w:rPr>
                        <m:t>α</m:t>
                      </m:r>
                    </m:e>
                  </m:box>
                </m:sub>
              </m:sSub>
              <m:r>
                <m:rPr>
                  <m:sty m:val="p"/>
                </m:rPr>
                <w:rPr>
                  <w:rFonts w:ascii="Cambria Math" w:hAnsi="Cambria Math"/>
                </w:rPr>
                <m:t>(1/</m:t>
              </m:r>
              <m:r>
                <w:rPr>
                  <w:rFonts w:ascii="Cambria Math" w:hAnsi="Cambria Math"/>
                </w:rPr>
                <m:t>N</m:t>
              </m:r>
              <m:r>
                <m:rPr>
                  <m:sty m:val="p"/>
                </m:rPr>
                <w:rPr>
                  <w:rFonts w:ascii="Cambria Math" w:hAnsi="Cambria Math"/>
                </w:rPr>
                <m:t>)</m:t>
              </m:r>
            </m:e>
          </m:box>
        </m:oMath>
      </m:oMathPara>
    </w:p>
    <w:p w14:paraId="32348995" w14:textId="40FD73A1" w:rsidR="00480A68" w:rsidRDefault="008633A2">
      <w:pPr>
        <w:spacing w:after="120"/>
      </w:pPr>
      <w:r>
        <w:rPr>
          <w:color w:val="222830"/>
        </w:rPr>
        <w:t xml:space="preserve">with </w:t>
      </w:r>
      <w:r w:rsidR="00000000">
        <w:rPr>
          <w:color w:val="222830"/>
        </w:rPr>
        <w:t>L1 turnover penalty (</w:t>
      </w:r>
      <w:proofErr w:type="spellStart"/>
      <w:r w:rsidR="00000000">
        <w:rPr>
          <w:color w:val="222830"/>
        </w:rPr>
        <w:t>Rockafellar</w:t>
      </w:r>
      <w:proofErr w:type="spellEnd"/>
      <w:r w:rsidR="00000000">
        <w:rPr>
          <w:color w:val="222830"/>
        </w:rPr>
        <w:t xml:space="preserve"> &amp; Uryasev, 2000; Mansini et al., 2007). Per the fragility result (Lim et al., 2011), the allocator's </w:t>
      </w:r>
      <w:r w:rsidR="00000000" w:rsidRPr="008633A2">
        <w:rPr>
          <w:iCs/>
          <w:color w:val="222830"/>
        </w:rPr>
        <w:t>selection</w:t>
      </w:r>
      <w:r w:rsidR="00000000">
        <w:rPr>
          <w:color w:val="222830"/>
        </w:rPr>
        <w:t xml:space="preserve"> is a building block, tested against 1/N in RQ4 </w:t>
      </w:r>
      <w:r>
        <w:rPr>
          <w:color w:val="222830"/>
        </w:rPr>
        <w:t>and is</w:t>
      </w:r>
      <w:r w:rsidR="00000000">
        <w:rPr>
          <w:color w:val="222830"/>
        </w:rPr>
        <w:t xml:space="preserve"> not a source of claimed alpha.</w:t>
      </w:r>
    </w:p>
    <w:p w14:paraId="248EDBF8" w14:textId="3569C15A" w:rsidR="00480A68" w:rsidRDefault="00000000">
      <w:pPr>
        <w:spacing w:before="160" w:after="60"/>
      </w:pPr>
      <w:r>
        <w:rPr>
          <w:b/>
          <w:color w:val="163A5F"/>
          <w:sz w:val="25"/>
        </w:rPr>
        <w:t xml:space="preserve">5.4 Risk‑timing overlays </w:t>
      </w:r>
    </w:p>
    <w:p w14:paraId="17996D79" w14:textId="0213A66E" w:rsidR="00480A68" w:rsidRDefault="008633A2">
      <w:pPr>
        <w:spacing w:after="120"/>
      </w:pPr>
      <w:r w:rsidRPr="008633A2">
        <w:rPr>
          <w:color w:val="222830"/>
        </w:rPr>
        <w:t xml:space="preserve">Exposure is scaled by </w:t>
      </w:r>
      <w:proofErr w:type="spellStart"/>
      <w:r w:rsidRPr="008633A2">
        <w:rPr>
          <w:color w:val="222830"/>
        </w:rPr>
        <w:t>k_t</w:t>
      </w:r>
      <w:proofErr w:type="spellEnd"/>
      <w:r w:rsidRPr="008633A2">
        <w:rPr>
          <w:color w:val="222830"/>
        </w:rPr>
        <w:t xml:space="preserve"> </w:t>
      </w:r>
      <w:r w:rsidRPr="008633A2">
        <w:rPr>
          <w:rFonts w:ascii="Cambria Math" w:hAnsi="Cambria Math" w:cs="Cambria Math"/>
          <w:color w:val="222830"/>
        </w:rPr>
        <w:t>∈</w:t>
      </w:r>
      <w:r w:rsidRPr="008633A2">
        <w:rPr>
          <w:color w:val="222830"/>
        </w:rPr>
        <w:t xml:space="preserve"> [</w:t>
      </w:r>
      <w:proofErr w:type="spellStart"/>
      <w:r w:rsidRPr="008633A2">
        <w:rPr>
          <w:color w:val="222830"/>
        </w:rPr>
        <w:t>k_min</w:t>
      </w:r>
      <w:proofErr w:type="spellEnd"/>
      <w:r w:rsidRPr="008633A2">
        <w:rPr>
          <w:color w:val="222830"/>
        </w:rPr>
        <w:t xml:space="preserve">, 1], the de-risked fraction (1 − </w:t>
      </w:r>
      <w:proofErr w:type="spellStart"/>
      <w:r w:rsidRPr="008633A2">
        <w:rPr>
          <w:color w:val="222830"/>
        </w:rPr>
        <w:t>k_t</w:t>
      </w:r>
      <w:proofErr w:type="spellEnd"/>
      <w:r w:rsidRPr="008633A2">
        <w:rPr>
          <w:color w:val="222830"/>
        </w:rPr>
        <w:t>) held at the risk-free rate:</w:t>
      </w:r>
    </w:p>
    <w:p w14:paraId="4A65DE23" w14:textId="04BC0C45" w:rsidR="008633A2" w:rsidRPr="008633A2" w:rsidRDefault="00000000" w:rsidP="008633A2">
      <w:pPr>
        <w:pStyle w:val="ListNumber"/>
        <w:numPr>
          <w:ilvl w:val="0"/>
          <w:numId w:val="14"/>
        </w:numPr>
      </w:pPr>
      <w:r w:rsidRPr="008633A2">
        <w:rPr>
          <w:b/>
          <w:color w:val="222830"/>
        </w:rPr>
        <w:t xml:space="preserve">Backward </w:t>
      </w:r>
      <w:r w:rsidR="008633A2">
        <w:rPr>
          <w:b/>
          <w:color w:val="222830"/>
        </w:rPr>
        <w:t>-</w:t>
      </w:r>
      <w:r w:rsidRPr="008633A2">
        <w:rPr>
          <w:b/>
          <w:color w:val="222830"/>
        </w:rPr>
        <w:t>realized volatility</w:t>
      </w:r>
      <w:r w:rsidRPr="008633A2">
        <w:rPr>
          <w:color w:val="222830"/>
        </w:rPr>
        <w:t xml:space="preserve"> </w:t>
      </w:r>
    </w:p>
    <w:p w14:paraId="62BB6D05" w14:textId="64B1297B" w:rsidR="008633A2" w:rsidRDefault="008633A2" w:rsidP="008633A2">
      <w:pPr>
        <w:pStyle w:val="ListNumber"/>
        <w:numPr>
          <w:ilvl w:val="0"/>
          <w:numId w:val="0"/>
        </w:numPr>
        <w:rPr>
          <w:color w:val="222830"/>
        </w:rPr>
      </w:pPr>
      <w:r w:rsidRPr="008633A2">
        <w:rPr>
          <w:color w:val="222830"/>
        </w:rPr>
        <w:t>A trailing 21-day realized volatility of the reconstructed book is used with a fixed causal target σ* = 12% (Moreira &amp; Muir, 2017).</w:t>
      </w:r>
    </w:p>
    <w:p w14:paraId="322C7E63" w14:textId="77777777" w:rsidR="008633A2" w:rsidRDefault="008633A2" w:rsidP="008633A2">
      <w:pPr>
        <w:jc w:val="center"/>
      </w:pPr>
      <m:oMathPara>
        <m:oMath>
          <m:box>
            <m:boxPr>
              <m:ctrlPr>
                <w:rPr>
                  <w:rFonts w:ascii="Cambria Math" w:hAnsi="Cambria Math"/>
                </w:rPr>
              </m:ctrlPr>
            </m:boxPr>
            <m:e>
              <m:sSubSup>
                <m:sSubSupPr>
                  <m:ctrlPr>
                    <w:rPr>
                      <w:rFonts w:ascii="Cambria Math" w:hAnsi="Cambria Math"/>
                    </w:rPr>
                  </m:ctrlPr>
                </m:sSubSupPr>
                <m:e>
                  <m:r>
                    <w:rPr>
                      <w:rFonts w:ascii="Cambria Math" w:hAnsi="Cambria Math"/>
                    </w:rPr>
                    <m:t>k</m:t>
                  </m:r>
                </m:e>
                <m:sub>
                  <m:r>
                    <w:rPr>
                      <w:rFonts w:ascii="Cambria Math" w:hAnsi="Cambria Math"/>
                    </w:rPr>
                    <m:t>t</m:t>
                  </m:r>
                </m:sub>
                <m:sup>
                  <m:box>
                    <m:boxPr>
                      <m:ctrlPr>
                        <w:rPr>
                          <w:rFonts w:ascii="Cambria Math" w:hAnsi="Cambria Math"/>
                        </w:rPr>
                      </m:ctrlPr>
                    </m:boxPr>
                    <m:e>
                      <m:r>
                        <w:rPr>
                          <w:rFonts w:ascii="Cambria Math" w:hAnsi="Cambria Math"/>
                        </w:rPr>
                        <m:t>RV</m:t>
                      </m:r>
                    </m:e>
                  </m:box>
                </m:sup>
              </m:sSubSup>
              <m:r>
                <m:rPr>
                  <m:sty m:val="p"/>
                </m:rPr>
                <w:rPr>
                  <w:rFonts w:ascii="Cambria Math" w:hAnsi="Cambria Math"/>
                </w:rPr>
                <m:t>=</m:t>
              </m:r>
              <m:box>
                <m:boxPr>
                  <m:ctrlPr>
                    <w:rPr>
                      <w:rFonts w:ascii="Cambria Math" w:hAnsi="Cambria Math"/>
                    </w:rPr>
                  </m:ctrlPr>
                </m:boxPr>
                <m:e>
                  <m:r>
                    <m:rPr>
                      <m:sty m:val="p"/>
                    </m:rPr>
                    <w:rPr>
                      <w:rFonts w:ascii="Cambria Math" w:hAnsi="Cambria Math"/>
                    </w:rPr>
                    <m:t>clip</m:t>
                  </m:r>
                </m:e>
              </m:box>
              <m:r>
                <m:rPr>
                  <m:sty m:val="p"/>
                </m:rPr>
                <w:rPr>
                  <w:rFonts w:ascii="Cambria Math" w:hAnsi="Cambria Math"/>
                </w:rPr>
                <m:t>(</m:t>
              </m:r>
              <m:sSup>
                <m:sSupPr>
                  <m:ctrlPr>
                    <w:rPr>
                      <w:rFonts w:ascii="Cambria Math" w:hAnsi="Cambria Math"/>
                    </w:rPr>
                  </m:ctrlPr>
                </m:sSupPr>
                <m:e>
                  <m:r>
                    <w:rPr>
                      <w:rFonts w:ascii="Cambria Math" w:hAnsi="Cambria Math"/>
                    </w:rPr>
                    <m:t>σ</m:t>
                  </m:r>
                </m:e>
                <m:sup>
                  <m:box>
                    <m:boxPr>
                      <m:ctrlPr>
                        <w:rPr>
                          <w:rFonts w:ascii="Cambria Math" w:hAnsi="Cambria Math"/>
                        </w:rPr>
                      </m:ctrlPr>
                    </m:boxPr>
                    <m:e>
                      <m:r>
                        <m:rPr>
                          <m:sty m:val="p"/>
                        </m:rPr>
                        <w:rPr>
                          <w:rFonts w:ascii="Cambria Math" w:hAnsi="Cambria Math"/>
                        </w:rPr>
                        <m:t>*</m:t>
                      </m:r>
                    </m:e>
                  </m:box>
                </m:sup>
              </m:sSup>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σ</m:t>
                          </m:r>
                        </m:e>
                      </m:box>
                    </m:e>
                  </m:acc>
                </m:e>
                <m:sub>
                  <m:r>
                    <w:rPr>
                      <w:rFonts w:ascii="Cambria Math" w:hAnsi="Cambria Math"/>
                    </w:rPr>
                    <m:t>t</m:t>
                  </m:r>
                </m:sub>
              </m:sSub>
              <m:r>
                <m:rPr>
                  <m:sty m:val="p"/>
                </m:rPr>
                <w:rPr>
                  <w:rFonts w:ascii="Cambria Math" w:hAnsi="Cambria Math"/>
                </w:rPr>
                <m:t>,</m:t>
              </m:r>
              <m:r>
                <m:rPr>
                  <m:nor/>
                </m:rPr>
                <m:t> </m:t>
              </m:r>
              <m:sSub>
                <m:sSubPr>
                  <m:ctrlPr>
                    <w:rPr>
                      <w:rFonts w:ascii="Cambria Math" w:hAnsi="Cambria Math"/>
                    </w:rPr>
                  </m:ctrlPr>
                </m:sSubPr>
                <m:e>
                  <m:r>
                    <w:rPr>
                      <w:rFonts w:ascii="Cambria Math" w:hAnsi="Cambria Math"/>
                    </w:rPr>
                    <m:t>k</m:t>
                  </m:r>
                </m:e>
                <m:sub>
                  <m:box>
                    <m:boxPr>
                      <m:ctrlPr>
                        <w:rPr>
                          <w:rFonts w:ascii="Cambria Math" w:hAnsi="Cambria Math"/>
                        </w:rPr>
                      </m:ctrlPr>
                    </m:boxPr>
                    <m:e>
                      <m:r>
                        <m:rPr>
                          <m:sty m:val="p"/>
                        </m:rPr>
                        <w:rPr>
                          <w:rFonts w:ascii="Cambria Math" w:hAnsi="Cambria Math"/>
                        </w:rPr>
                        <m:t>min</m:t>
                      </m:r>
                    </m:e>
                  </m:box>
                </m:sub>
              </m:sSub>
              <m:r>
                <m:rPr>
                  <m:sty m:val="p"/>
                </m:rPr>
                <w:rPr>
                  <w:rFonts w:ascii="Cambria Math" w:hAnsi="Cambria Math"/>
                </w:rPr>
                <m:t>,</m:t>
              </m:r>
              <m:r>
                <m:rPr>
                  <m:nor/>
                </m:rPr>
                <m:t> </m:t>
              </m:r>
              <m:r>
                <m:rPr>
                  <m:sty m:val="p"/>
                </m:rPr>
                <w:rPr>
                  <w:rFonts w:ascii="Cambria Math" w:hAnsi="Cambria Math"/>
                </w:rPr>
                <m:t>1)</m:t>
              </m:r>
            </m:e>
          </m:box>
        </m:oMath>
      </m:oMathPara>
    </w:p>
    <w:p w14:paraId="688E260A" w14:textId="7787F858" w:rsidR="008633A2" w:rsidRPr="008633A2" w:rsidRDefault="00000000" w:rsidP="008633A2">
      <w:pPr>
        <w:pStyle w:val="ListNumber"/>
        <w:rPr>
          <w:b/>
          <w:bCs/>
          <w:lang w:val="en-GB"/>
        </w:rPr>
      </w:pPr>
      <w:r w:rsidRPr="00270D7C">
        <w:rPr>
          <w:b/>
        </w:rPr>
        <w:t xml:space="preserve">Forward </w:t>
      </w:r>
      <w:r w:rsidR="008633A2">
        <w:rPr>
          <w:b/>
        </w:rPr>
        <w:t xml:space="preserve">- </w:t>
      </w:r>
      <w:r w:rsidRPr="00270D7C">
        <w:rPr>
          <w:b/>
        </w:rPr>
        <w:t>model</w:t>
      </w:r>
      <w:r w:rsidRPr="00270D7C">
        <w:rPr>
          <w:rFonts w:ascii="Cambria Math" w:hAnsi="Cambria Math" w:cs="Cambria Math"/>
          <w:b/>
        </w:rPr>
        <w:t>‑</w:t>
      </w:r>
      <w:r w:rsidRPr="00270D7C">
        <w:rPr>
          <w:b/>
        </w:rPr>
        <w:t>implied C</w:t>
      </w:r>
      <w:r w:rsidR="008633A2" w:rsidRPr="00270D7C">
        <w:rPr>
          <w:b/>
        </w:rPr>
        <w:t>v</w:t>
      </w:r>
      <w:r w:rsidRPr="00270D7C">
        <w:rPr>
          <w:b/>
        </w:rPr>
        <w:t>aR</w:t>
      </w:r>
    </w:p>
    <w:p w14:paraId="5F9BB32F" w14:textId="2A8A9E58" w:rsidR="008633A2" w:rsidRDefault="008633A2" w:rsidP="008633A2">
      <w:pPr>
        <w:pStyle w:val="ListNumber"/>
        <w:numPr>
          <w:ilvl w:val="0"/>
          <w:numId w:val="0"/>
        </w:numPr>
        <w:rPr>
          <w:lang w:val="en-GB"/>
        </w:rPr>
      </w:pPr>
      <w:r w:rsidRPr="008633A2">
        <w:rPr>
          <w:lang w:val="en-GB"/>
        </w:rPr>
        <w:lastRenderedPageBreak/>
        <w:t>The held book's posterior-predictive expected shortfall is read from the same posterior predictive scenario set used for allocation.</w:t>
      </w:r>
    </w:p>
    <w:p w14:paraId="3B5396B0" w14:textId="77777777" w:rsidR="008633A2" w:rsidRDefault="008633A2" w:rsidP="008633A2">
      <w:pPr>
        <w:jc w:val="cente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CVaR</m:t>
                      </m:r>
                    </m:e>
                  </m:box>
                </m:e>
                <m:sub>
                  <m:box>
                    <m:boxPr>
                      <m:ctrlPr>
                        <w:rPr>
                          <w:rFonts w:ascii="Cambria Math" w:hAnsi="Cambria Math"/>
                        </w:rPr>
                      </m:ctrlPr>
                    </m:boxPr>
                    <m:e>
                      <m:box>
                        <m:boxPr>
                          <m:ctrlPr>
                            <w:rPr>
                              <w:rFonts w:ascii="Cambria Math" w:hAnsi="Cambria Math"/>
                            </w:rPr>
                          </m:ctrlPr>
                        </m:boxPr>
                        <m:e>
                          <m:r>
                            <m:rPr>
                              <m:sty m:val="p"/>
                            </m:rPr>
                            <w:rPr>
                              <w:rFonts w:ascii="Cambria Math" w:hAnsi="Cambria Math"/>
                            </w:rPr>
                            <m:t>model</m:t>
                          </m:r>
                        </m:e>
                      </m:box>
                      <m:r>
                        <m:rPr>
                          <m:sty m:val="p"/>
                        </m:rPr>
                        <w:rPr>
                          <w:rFonts w:ascii="Cambria Math" w:hAnsi="Cambria Math"/>
                        </w:rPr>
                        <m:t>,</m:t>
                      </m:r>
                      <m:r>
                        <w:rPr>
                          <w:rFonts w:ascii="Cambria Math" w:hAnsi="Cambria Math"/>
                        </w:rPr>
                        <m:t>t</m:t>
                      </m:r>
                    </m:e>
                  </m:box>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CVaR</m:t>
                      </m:r>
                    </m:e>
                  </m:box>
                </m:e>
                <m:sub>
                  <m:box>
                    <m:boxPr>
                      <m:ctrlPr>
                        <w:rPr>
                          <w:rFonts w:ascii="Cambria Math" w:hAnsi="Cambria Math"/>
                        </w:rPr>
                      </m:ctrlPr>
                    </m:boxPr>
                    <m:e>
                      <m:r>
                        <w:rPr>
                          <w:rFonts w:ascii="Cambria Math" w:hAnsi="Cambria Math"/>
                        </w:rPr>
                        <m:t>α</m:t>
                      </m:r>
                    </m:e>
                  </m:box>
                </m:sub>
              </m:sSub>
              <m:r>
                <m:rPr>
                  <m:sty m:val="p"/>
                </m:rPr>
                <w:rPr>
                  <w:rFonts w:ascii="Cambria Math" w:hAnsi="Cambria Math"/>
                </w:rPr>
                <m:t>(</m:t>
              </m:r>
              <m:box>
                <m:boxPr>
                  <m:ctrlPr>
                    <w:rPr>
                      <w:rFonts w:ascii="Cambria Math" w:hAnsi="Cambria Math"/>
                    </w:rPr>
                  </m:ctrlPr>
                </m:boxPr>
                <m:e>
                  <m:r>
                    <m:rPr>
                      <m:sty m:val="p"/>
                    </m:rPr>
                    <w:rPr>
                      <w:rFonts w:ascii="Cambria Math" w:hAnsi="Cambria Math"/>
                    </w:rPr>
                    <m:t>pred_returns</m:t>
                  </m:r>
                </m:e>
              </m:box>
              <m:r>
                <m:rPr>
                  <m:sty m:val="p"/>
                </m:rPr>
                <w:rPr>
                  <w:rFonts w:ascii="Cambria Math" w:hAnsi="Cambria Math"/>
                </w:rPr>
                <m:t>·</m:t>
              </m:r>
              <m:sSub>
                <m:sSubPr>
                  <m:ctrlPr>
                    <w:rPr>
                      <w:rFonts w:ascii="Cambria Math" w:hAnsi="Cambria Math"/>
                    </w:rPr>
                  </m:ctrlPr>
                </m:sSubPr>
                <m:e>
                  <m:r>
                    <w:rPr>
                      <w:rFonts w:ascii="Cambria Math" w:hAnsi="Cambria Math"/>
                    </w:rPr>
                    <m:t>w</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target</m:t>
                          </m:r>
                        </m:e>
                      </m:box>
                    </m:e>
                  </m:box>
                </m:sub>
              </m:sSub>
              <m:r>
                <m:rPr>
                  <m:sty m:val="p"/>
                </m:rPr>
                <w:rPr>
                  <w:rFonts w:ascii="Cambria Math" w:hAnsi="Cambria Math"/>
                </w:rPr>
                <m:t>)</m:t>
              </m:r>
            </m:e>
          </m:box>
        </m:oMath>
      </m:oMathPara>
    </w:p>
    <w:p w14:paraId="10C8B17C" w14:textId="77777777" w:rsidR="008633A2" w:rsidRDefault="008633A2" w:rsidP="008633A2">
      <w:pPr>
        <w:jc w:val="center"/>
      </w:pPr>
      <m:oMathPara>
        <m:oMath>
          <m:box>
            <m:boxPr>
              <m:ctrlPr>
                <w:rPr>
                  <w:rFonts w:ascii="Cambria Math" w:hAnsi="Cambria Math"/>
                </w:rPr>
              </m:ctrlPr>
            </m:boxPr>
            <m:e>
              <m:sSubSup>
                <m:sSubSupPr>
                  <m:ctrlPr>
                    <w:rPr>
                      <w:rFonts w:ascii="Cambria Math" w:hAnsi="Cambria Math"/>
                    </w:rPr>
                  </m:ctrlPr>
                </m:sSubSupPr>
                <m:e>
                  <m:r>
                    <w:rPr>
                      <w:rFonts w:ascii="Cambria Math" w:hAnsi="Cambria Math"/>
                    </w:rPr>
                    <m:t>k</m:t>
                  </m:r>
                </m:e>
                <m:sub>
                  <m:r>
                    <w:rPr>
                      <w:rFonts w:ascii="Cambria Math" w:hAnsi="Cambria Math"/>
                    </w:rPr>
                    <m:t>t</m:t>
                  </m:r>
                </m:sub>
                <m:sup>
                  <m:box>
                    <m:boxPr>
                      <m:ctrlPr>
                        <w:rPr>
                          <w:rFonts w:ascii="Cambria Math" w:hAnsi="Cambria Math"/>
                        </w:rPr>
                      </m:ctrlPr>
                    </m:boxPr>
                    <m:e>
                      <m:r>
                        <w:rPr>
                          <w:rFonts w:ascii="Cambria Math" w:hAnsi="Cambria Math"/>
                        </w:rPr>
                        <m:t>CV</m:t>
                      </m:r>
                    </m:e>
                  </m:box>
                </m:sup>
              </m:sSubSup>
              <m:r>
                <m:rPr>
                  <m:sty m:val="p"/>
                </m:rPr>
                <w:rPr>
                  <w:rFonts w:ascii="Cambria Math" w:hAnsi="Cambria Math"/>
                </w:rPr>
                <m:t>=</m:t>
              </m:r>
              <m:box>
                <m:boxPr>
                  <m:ctrlPr>
                    <w:rPr>
                      <w:rFonts w:ascii="Cambria Math" w:hAnsi="Cambria Math"/>
                    </w:rPr>
                  </m:ctrlPr>
                </m:boxPr>
                <m:e>
                  <m:r>
                    <m:rPr>
                      <m:sty m:val="p"/>
                    </m:rPr>
                    <w:rPr>
                      <w:rFonts w:ascii="Cambria Math" w:hAnsi="Cambria Math"/>
                    </w:rPr>
                    <m:t>clip</m:t>
                  </m:r>
                </m:e>
              </m:box>
              <m:r>
                <m:rPr>
                  <m:sty m:val="p"/>
                </m:rPr>
                <w:rPr>
                  <w:rFonts w:ascii="Cambria Math" w:hAnsi="Cambria Math"/>
                </w:rPr>
                <m:t>(</m:t>
              </m:r>
              <m:sSubSup>
                <m:sSubSupPr>
                  <m:ctrlPr>
                    <w:rPr>
                      <w:rFonts w:ascii="Cambria Math" w:hAnsi="Cambria Math"/>
                    </w:rPr>
                  </m:ctrlPr>
                </m:sSubSupPr>
                <m:e>
                  <m:box>
                    <m:boxPr>
                      <m:ctrlPr>
                        <w:rPr>
                          <w:rFonts w:ascii="Cambria Math" w:hAnsi="Cambria Math"/>
                        </w:rPr>
                      </m:ctrlPr>
                    </m:boxPr>
                    <m:e>
                      <m:r>
                        <m:rPr>
                          <m:sty m:val="p"/>
                        </m:rPr>
                        <w:rPr>
                          <w:rFonts w:ascii="Cambria Math" w:hAnsi="Cambria Math"/>
                        </w:rPr>
                        <m:t>CVaR</m:t>
                      </m:r>
                    </m:e>
                  </m:box>
                </m:e>
                <m:sub>
                  <m:r>
                    <w:rPr>
                      <w:rFonts w:ascii="Cambria Math" w:hAnsi="Cambria Math"/>
                    </w:rPr>
                    <m:t>t</m:t>
                  </m:r>
                </m:sub>
                <m:sup>
                  <m:box>
                    <m:boxPr>
                      <m:ctrlPr>
                        <w:rPr>
                          <w:rFonts w:ascii="Cambria Math" w:hAnsi="Cambria Math"/>
                        </w:rPr>
                      </m:ctrlPr>
                    </m:boxPr>
                    <m:e>
                      <m:r>
                        <m:rPr>
                          <m:sty m:val="p"/>
                        </m:rPr>
                        <w:rPr>
                          <w:rFonts w:ascii="Cambria Math" w:hAnsi="Cambria Math"/>
                        </w:rPr>
                        <m:t>*</m:t>
                      </m:r>
                    </m:e>
                  </m:box>
                </m:sup>
              </m:sSubSup>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CVaR</m:t>
                      </m:r>
                    </m:e>
                  </m:box>
                </m:e>
                <m:sub>
                  <m:box>
                    <m:boxPr>
                      <m:ctrlPr>
                        <w:rPr>
                          <w:rFonts w:ascii="Cambria Math" w:hAnsi="Cambria Math"/>
                        </w:rPr>
                      </m:ctrlPr>
                    </m:boxPr>
                    <m:e>
                      <m:box>
                        <m:boxPr>
                          <m:ctrlPr>
                            <w:rPr>
                              <w:rFonts w:ascii="Cambria Math" w:hAnsi="Cambria Math"/>
                            </w:rPr>
                          </m:ctrlPr>
                        </m:boxPr>
                        <m:e>
                          <m:r>
                            <m:rPr>
                              <m:sty m:val="p"/>
                            </m:rPr>
                            <w:rPr>
                              <w:rFonts w:ascii="Cambria Math" w:hAnsi="Cambria Math"/>
                            </w:rPr>
                            <m:t>model</m:t>
                          </m:r>
                        </m:e>
                      </m:box>
                      <m:r>
                        <m:rPr>
                          <m:sty m:val="p"/>
                        </m:rPr>
                        <w:rPr>
                          <w:rFonts w:ascii="Cambria Math" w:hAnsi="Cambria Math"/>
                        </w:rPr>
                        <m:t>,</m:t>
                      </m:r>
                      <m:r>
                        <w:rPr>
                          <w:rFonts w:ascii="Cambria Math" w:hAnsi="Cambria Math"/>
                        </w:rPr>
                        <m:t>t</m:t>
                      </m:r>
                    </m:e>
                  </m:box>
                </m:sub>
              </m:sSub>
              <m:r>
                <m:rPr>
                  <m:sty m:val="p"/>
                </m:rPr>
                <w:rPr>
                  <w:rFonts w:ascii="Cambria Math" w:hAnsi="Cambria Math"/>
                </w:rPr>
                <m:t>,</m:t>
              </m:r>
              <m:r>
                <m:rPr>
                  <m:nor/>
                </m:rPr>
                <m:t> </m:t>
              </m:r>
              <m:sSub>
                <m:sSubPr>
                  <m:ctrlPr>
                    <w:rPr>
                      <w:rFonts w:ascii="Cambria Math" w:hAnsi="Cambria Math"/>
                    </w:rPr>
                  </m:ctrlPr>
                </m:sSubPr>
                <m:e>
                  <m:r>
                    <w:rPr>
                      <w:rFonts w:ascii="Cambria Math" w:hAnsi="Cambria Math"/>
                    </w:rPr>
                    <m:t>k</m:t>
                  </m:r>
                </m:e>
                <m:sub>
                  <m:box>
                    <m:boxPr>
                      <m:ctrlPr>
                        <w:rPr>
                          <w:rFonts w:ascii="Cambria Math" w:hAnsi="Cambria Math"/>
                        </w:rPr>
                      </m:ctrlPr>
                    </m:boxPr>
                    <m:e>
                      <m:r>
                        <m:rPr>
                          <m:sty m:val="p"/>
                        </m:rPr>
                        <w:rPr>
                          <w:rFonts w:ascii="Cambria Math" w:hAnsi="Cambria Math"/>
                        </w:rPr>
                        <m:t>min</m:t>
                      </m:r>
                    </m:e>
                  </m:box>
                </m:sub>
              </m:sSub>
              <m:r>
                <m:rPr>
                  <m:sty m:val="p"/>
                </m:rPr>
                <w:rPr>
                  <w:rFonts w:ascii="Cambria Math" w:hAnsi="Cambria Math"/>
                </w:rPr>
                <m:t>,</m:t>
              </m:r>
              <m:r>
                <m:rPr>
                  <m:nor/>
                </m:rPr>
                <m:t> </m:t>
              </m:r>
              <m:r>
                <m:rPr>
                  <m:sty m:val="p"/>
                </m:rPr>
                <w:rPr>
                  <w:rFonts w:ascii="Cambria Math" w:hAnsi="Cambria Math"/>
                </w:rPr>
                <m:t>1)</m:t>
              </m:r>
            </m:e>
          </m:box>
        </m:oMath>
      </m:oMathPara>
    </w:p>
    <w:p w14:paraId="7337B625" w14:textId="732BF3CC" w:rsidR="008633A2" w:rsidRDefault="008633A2" w:rsidP="008633A2">
      <w:pPr>
        <w:pStyle w:val="ListNumber"/>
        <w:numPr>
          <w:ilvl w:val="0"/>
          <w:numId w:val="0"/>
        </w:numPr>
      </w:pPr>
      <w:r w:rsidRPr="008633A2">
        <w:t xml:space="preserve">The self-scaling target CVaR*_t is the causal expanding-window median of the forecast series, computed using information through month t only </w:t>
      </w:r>
      <w:r>
        <w:t xml:space="preserve">- </w:t>
      </w:r>
      <w:r w:rsidRPr="008633A2">
        <w:t xml:space="preserve">not the full-sample median </w:t>
      </w:r>
      <w:r>
        <w:t xml:space="preserve">- </w:t>
      </w:r>
      <w:r w:rsidRPr="008633A2">
        <w:t>with a short burn-in.</w:t>
      </w:r>
    </w:p>
    <w:p w14:paraId="1CB5B881" w14:textId="77777777" w:rsidR="008633A2" w:rsidRPr="008633A2" w:rsidRDefault="008633A2" w:rsidP="008633A2">
      <w:pPr>
        <w:pStyle w:val="ListNumber"/>
        <w:numPr>
          <w:ilvl w:val="0"/>
          <w:numId w:val="0"/>
        </w:numPr>
      </w:pPr>
    </w:p>
    <w:p w14:paraId="758737B4" w14:textId="77777777" w:rsidR="008633A2" w:rsidRDefault="00000000" w:rsidP="008633A2">
      <w:pPr>
        <w:pStyle w:val="ListNumber"/>
      </w:pPr>
      <w:r>
        <w:rPr>
          <w:b/>
          <w:color w:val="222830"/>
        </w:rPr>
        <w:t>Combination</w:t>
      </w:r>
    </w:p>
    <w:p w14:paraId="392CB927" w14:textId="5AA10603" w:rsidR="008633A2" w:rsidRDefault="008633A2">
      <w:pPr>
        <w:spacing w:before="160" w:after="60"/>
        <w:rPr>
          <w:color w:val="222830"/>
        </w:rPr>
      </w:pPr>
      <w:r w:rsidRPr="008633A2">
        <w:rPr>
          <w:color w:val="222830"/>
        </w:rPr>
        <w:t>The strategy de-risks when either signal flags; the product form, a convex blend, and a causally adaptive weight are compared at matched average exposure (</w:t>
      </w:r>
      <w:proofErr w:type="spellStart"/>
      <w:r w:rsidRPr="008633A2">
        <w:rPr>
          <w:color w:val="222830"/>
        </w:rPr>
        <w:t>Happersberger</w:t>
      </w:r>
      <w:proofErr w:type="spellEnd"/>
      <w:r w:rsidRPr="008633A2">
        <w:rPr>
          <w:color w:val="222830"/>
        </w:rPr>
        <w:t xml:space="preserve"> et al., 2020; Schwalbach &amp; </w:t>
      </w:r>
      <w:proofErr w:type="spellStart"/>
      <w:r w:rsidRPr="008633A2">
        <w:rPr>
          <w:color w:val="222830"/>
        </w:rPr>
        <w:t>Auret</w:t>
      </w:r>
      <w:proofErr w:type="spellEnd"/>
      <w:r w:rsidRPr="008633A2">
        <w:rPr>
          <w:color w:val="222830"/>
        </w:rPr>
        <w:t>, 2023).</w:t>
      </w:r>
    </w:p>
    <w:p w14:paraId="1E17B084" w14:textId="77777777" w:rsidR="00EC26E5" w:rsidRDefault="00EC26E5">
      <w:pPr>
        <w:spacing w:before="160" w:after="60"/>
        <w:rPr>
          <w:color w:val="222830"/>
        </w:rPr>
      </w:pPr>
    </w:p>
    <w:p w14:paraId="4F1EB775" w14:textId="77777777" w:rsidR="00EC26E5" w:rsidRDefault="00EC26E5" w:rsidP="00EC26E5">
      <w:pPr>
        <w:jc w:val="center"/>
      </w:pPr>
      <m:oMathPara>
        <m:oMath>
          <m:box>
            <m:boxPr>
              <m:ctrlPr>
                <w:rPr>
                  <w:rFonts w:ascii="Cambria Math" w:hAnsi="Cambria Math"/>
                </w:rPr>
              </m:ctrlPr>
            </m:boxPr>
            <m:e>
              <m:sSubSup>
                <m:sSubSupPr>
                  <m:ctrlPr>
                    <w:rPr>
                      <w:rFonts w:ascii="Cambria Math" w:hAnsi="Cambria Math"/>
                    </w:rPr>
                  </m:ctrlPr>
                </m:sSubSupPr>
                <m:e>
                  <m:r>
                    <w:rPr>
                      <w:rFonts w:ascii="Cambria Math" w:hAnsi="Cambria Math"/>
                    </w:rPr>
                    <m:t>k</m:t>
                  </m:r>
                </m:e>
                <m:sub>
                  <m:r>
                    <w:rPr>
                      <w:rFonts w:ascii="Cambria Math" w:hAnsi="Cambria Math"/>
                    </w:rPr>
                    <m:t>t</m:t>
                  </m:r>
                </m:sub>
                <m:sup>
                  <m:box>
                    <m:boxPr>
                      <m:ctrlPr>
                        <w:rPr>
                          <w:rFonts w:ascii="Cambria Math" w:hAnsi="Cambria Math"/>
                        </w:rPr>
                      </m:ctrlPr>
                    </m:boxPr>
                    <m:e>
                      <m:r>
                        <w:rPr>
                          <w:rFonts w:ascii="Cambria Math" w:hAnsi="Cambria Math"/>
                        </w:rPr>
                        <m:t>COMB</m:t>
                      </m:r>
                    </m:e>
                  </m:box>
                </m:sup>
              </m:sSubSup>
              <m:r>
                <m:rPr>
                  <m:sty m:val="p"/>
                </m:rPr>
                <w:rPr>
                  <w:rFonts w:ascii="Cambria Math" w:hAnsi="Cambria Math"/>
                </w:rPr>
                <m:t>=</m:t>
              </m:r>
              <m:box>
                <m:boxPr>
                  <m:ctrlPr>
                    <w:rPr>
                      <w:rFonts w:ascii="Cambria Math" w:hAnsi="Cambria Math"/>
                    </w:rPr>
                  </m:ctrlPr>
                </m:boxPr>
                <m:e>
                  <m:r>
                    <m:rPr>
                      <m:sty m:val="p"/>
                    </m:rPr>
                    <w:rPr>
                      <w:rFonts w:ascii="Cambria Math" w:hAnsi="Cambria Math"/>
                    </w:rPr>
                    <m:t>clip</m:t>
                  </m:r>
                </m:e>
              </m:box>
              <m:r>
                <m:rPr>
                  <m:sty m:val="p"/>
                </m:rP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t</m:t>
                  </m:r>
                </m:sub>
                <m:sup>
                  <m:box>
                    <m:boxPr>
                      <m:ctrlPr>
                        <w:rPr>
                          <w:rFonts w:ascii="Cambria Math" w:hAnsi="Cambria Math"/>
                        </w:rPr>
                      </m:ctrlPr>
                    </m:boxPr>
                    <m:e>
                      <m:r>
                        <w:rPr>
                          <w:rFonts w:ascii="Cambria Math" w:hAnsi="Cambria Math"/>
                        </w:rPr>
                        <m:t>RV</m:t>
                      </m:r>
                    </m:e>
                  </m:box>
                </m:sup>
              </m:sSubSup>
              <m:r>
                <m:rPr>
                  <m:sty m:val="p"/>
                </m:rP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t</m:t>
                  </m:r>
                </m:sub>
                <m:sup>
                  <m:box>
                    <m:boxPr>
                      <m:ctrlPr>
                        <w:rPr>
                          <w:rFonts w:ascii="Cambria Math" w:hAnsi="Cambria Math"/>
                        </w:rPr>
                      </m:ctrlPr>
                    </m:boxPr>
                    <m:e>
                      <m:r>
                        <w:rPr>
                          <w:rFonts w:ascii="Cambria Math" w:hAnsi="Cambria Math"/>
                        </w:rPr>
                        <m:t>CV</m:t>
                      </m:r>
                    </m:e>
                  </m:box>
                </m:sup>
              </m:sSubSup>
              <m:r>
                <m:rPr>
                  <m:sty m:val="p"/>
                </m:rPr>
                <w:rPr>
                  <w:rFonts w:ascii="Cambria Math" w:hAnsi="Cambria Math"/>
                </w:rPr>
                <m:t>,</m:t>
              </m:r>
              <m:r>
                <m:rPr>
                  <m:nor/>
                </m:rPr>
                <m:t> </m:t>
              </m:r>
              <m:sSub>
                <m:sSubPr>
                  <m:ctrlPr>
                    <w:rPr>
                      <w:rFonts w:ascii="Cambria Math" w:hAnsi="Cambria Math"/>
                    </w:rPr>
                  </m:ctrlPr>
                </m:sSubPr>
                <m:e>
                  <m:r>
                    <w:rPr>
                      <w:rFonts w:ascii="Cambria Math" w:hAnsi="Cambria Math"/>
                    </w:rPr>
                    <m:t>k</m:t>
                  </m:r>
                </m:e>
                <m:sub>
                  <m:box>
                    <m:boxPr>
                      <m:ctrlPr>
                        <w:rPr>
                          <w:rFonts w:ascii="Cambria Math" w:hAnsi="Cambria Math"/>
                        </w:rPr>
                      </m:ctrlPr>
                    </m:boxPr>
                    <m:e>
                      <m:r>
                        <m:rPr>
                          <m:sty m:val="p"/>
                        </m:rPr>
                        <w:rPr>
                          <w:rFonts w:ascii="Cambria Math" w:hAnsi="Cambria Math"/>
                        </w:rPr>
                        <m:t>min</m:t>
                      </m:r>
                    </m:e>
                  </m:box>
                </m:sub>
              </m:sSub>
              <m:r>
                <m:rPr>
                  <m:sty m:val="p"/>
                </m:rPr>
                <w:rPr>
                  <w:rFonts w:ascii="Cambria Math" w:hAnsi="Cambria Math"/>
                </w:rPr>
                <m:t>,</m:t>
              </m:r>
              <m:r>
                <m:rPr>
                  <m:nor/>
                </m:rPr>
                <m:t> </m:t>
              </m:r>
              <m:r>
                <m:rPr>
                  <m:sty m:val="p"/>
                </m:rPr>
                <w:rPr>
                  <w:rFonts w:ascii="Cambria Math" w:hAnsi="Cambria Math"/>
                </w:rPr>
                <m:t>1)</m:t>
              </m:r>
            </m:e>
          </m:box>
        </m:oMath>
      </m:oMathPara>
    </w:p>
    <w:p w14:paraId="3D33B98D" w14:textId="77777777" w:rsidR="008633A2" w:rsidRDefault="008633A2">
      <w:pPr>
        <w:spacing w:before="160" w:after="60"/>
        <w:rPr>
          <w:color w:val="222830"/>
        </w:rPr>
      </w:pPr>
    </w:p>
    <w:p w14:paraId="5866F5B3" w14:textId="7B3862D0" w:rsidR="00480A68" w:rsidRDefault="00000000">
      <w:pPr>
        <w:spacing w:before="160" w:after="60"/>
      </w:pPr>
      <w:r>
        <w:rPr>
          <w:b/>
          <w:color w:val="163A5F"/>
          <w:sz w:val="25"/>
        </w:rPr>
        <w:t>5.5 Benchmarks</w:t>
      </w:r>
    </w:p>
    <w:p w14:paraId="00ECAE9F" w14:textId="0590FEC1" w:rsidR="00480A68" w:rsidRDefault="00000000" w:rsidP="00131A4B">
      <w:pPr>
        <w:spacing w:after="120"/>
        <w:ind w:firstLine="720"/>
      </w:pPr>
      <w:r>
        <w:rPr>
          <w:color w:val="222830"/>
        </w:rPr>
        <w:t xml:space="preserve">On the identical universe, dates, and realized returns: </w:t>
      </w:r>
      <w:r>
        <w:rPr>
          <w:b/>
          <w:color w:val="222830"/>
        </w:rPr>
        <w:t>1/N</w:t>
      </w:r>
      <w:r>
        <w:rPr>
          <w:color w:val="222830"/>
        </w:rPr>
        <w:t xml:space="preserve"> (DeMiguel et al., 2009) and </w:t>
      </w:r>
      <w:r>
        <w:rPr>
          <w:b/>
          <w:color w:val="222830"/>
        </w:rPr>
        <w:t>Markowitz</w:t>
      </w:r>
      <w:r>
        <w:rPr>
          <w:color w:val="222830"/>
        </w:rPr>
        <w:t xml:space="preserve"> maximum‑Sharpe and minimum‑variance with Ledoit–Wolf covariance, long‑only, same cap and proportional cos</w:t>
      </w:r>
      <w:r w:rsidR="00A31411">
        <w:rPr>
          <w:color w:val="222830"/>
        </w:rPr>
        <w:t>t.</w:t>
      </w:r>
    </w:p>
    <w:p w14:paraId="12F3AE08" w14:textId="77777777" w:rsidR="00480A68" w:rsidRDefault="00000000">
      <w:pPr>
        <w:spacing w:before="160" w:after="60"/>
      </w:pPr>
      <w:r>
        <w:rPr>
          <w:b/>
          <w:color w:val="163A5F"/>
          <w:sz w:val="25"/>
        </w:rPr>
        <w:t>5.6 Performance evaluation and statistical inference</w:t>
      </w:r>
    </w:p>
    <w:p w14:paraId="324F4191" w14:textId="77777777" w:rsidR="00721657" w:rsidRPr="00721657" w:rsidRDefault="00721657" w:rsidP="00721657">
      <w:pPr>
        <w:spacing w:before="160" w:after="60"/>
        <w:rPr>
          <w:color w:val="222830"/>
        </w:rPr>
      </w:pPr>
      <w:r w:rsidRPr="00721657">
        <w:rPr>
          <w:color w:val="222830"/>
        </w:rPr>
        <w:t xml:space="preserve">Metrics: </w:t>
      </w:r>
      <w:proofErr w:type="spellStart"/>
      <w:r w:rsidRPr="00721657">
        <w:rPr>
          <w:color w:val="222830"/>
        </w:rPr>
        <w:t>annualised</w:t>
      </w:r>
      <w:proofErr w:type="spellEnd"/>
      <w:r w:rsidRPr="00721657">
        <w:rPr>
          <w:color w:val="222830"/>
        </w:rPr>
        <w:t xml:space="preserve"> return/volatility, Sharpe, Sortino, maximum drawdown, Calmar, monthly CVaR.</w:t>
      </w:r>
    </w:p>
    <w:p w14:paraId="25933929" w14:textId="56F26C1D" w:rsidR="00721657" w:rsidRPr="00721657" w:rsidRDefault="00721657" w:rsidP="00721657">
      <w:pPr>
        <w:spacing w:before="160" w:after="60"/>
        <w:rPr>
          <w:color w:val="222830"/>
        </w:rPr>
      </w:pPr>
      <w:r w:rsidRPr="00721657">
        <w:rPr>
          <w:color w:val="222830"/>
        </w:rPr>
        <w:t xml:space="preserve">Inference: the Probabilistic Sharpe Ratio (trial-independent; non-normality and sample length) and the Deflated Sharpe Ratio, the latter deflated over the set of strategy-selection variants actually searched (overlay forms, target levels, and combination rules </w:t>
      </w:r>
      <w:r>
        <w:rPr>
          <w:color w:val="222830"/>
        </w:rPr>
        <w:t>-</w:t>
      </w:r>
      <w:r w:rsidRPr="00721657">
        <w:rPr>
          <w:color w:val="222830"/>
        </w:rPr>
        <w:t>the na</w:t>
      </w:r>
      <w:r>
        <w:rPr>
          <w:color w:val="222830"/>
        </w:rPr>
        <w:t>i</w:t>
      </w:r>
      <w:r w:rsidRPr="00721657">
        <w:rPr>
          <w:color w:val="222830"/>
        </w:rPr>
        <w:t>ve and Markowitz benchmarks are excluded from the trial-variance, as they are comparators rather than trials of the strategy) (Bailey &amp; López de Prado, 2014; Harvey, Liu &amp; Zhu, 2016); and paired stationary-bootstrap tests (5,000 resamples) for the Sharpe and maximum-drawdown differences (combination vs realized-vol baseline; each model arm vs 1/N).</w:t>
      </w:r>
    </w:p>
    <w:p w14:paraId="1C049970" w14:textId="77777777" w:rsidR="00721657" w:rsidRPr="00721657" w:rsidRDefault="00721657" w:rsidP="00721657">
      <w:pPr>
        <w:spacing w:before="160" w:after="60"/>
        <w:rPr>
          <w:color w:val="222830"/>
        </w:rPr>
      </w:pPr>
      <w:r w:rsidRPr="00721657">
        <w:rPr>
          <w:color w:val="222830"/>
        </w:rPr>
        <w:t>RQ1 is tested by the causal correlation of</w:t>
      </w:r>
    </w:p>
    <w:p w14:paraId="777F125C" w14:textId="3B861A25" w:rsidR="00721657" w:rsidRPr="00721657" w:rsidRDefault="00721657" w:rsidP="00721657">
      <w:pPr>
        <w:spacing w:before="160" w:after="60"/>
        <w:rPr>
          <w:color w:val="222830"/>
        </w:rPr>
      </w:pPr>
      <m:oMathPara>
        <m:oMath>
          <m:box>
            <m:boxPr>
              <m:ctrlPr>
                <w:rPr>
                  <w:rFonts w:ascii="Cambria Math" w:hAnsi="Cambria Math"/>
                  <w:color w:val="222830"/>
                </w:rPr>
              </m:ctrlPr>
            </m:boxPr>
            <m:e>
              <m:sSub>
                <m:sSubPr>
                  <m:ctrlPr>
                    <w:rPr>
                      <w:rFonts w:ascii="Cambria Math" w:hAnsi="Cambria Math"/>
                      <w:color w:val="222830"/>
                    </w:rPr>
                  </m:ctrlPr>
                </m:sSubPr>
                <m:e>
                  <m:box>
                    <m:boxPr>
                      <m:ctrlPr>
                        <w:rPr>
                          <w:rFonts w:ascii="Cambria Math" w:hAnsi="Cambria Math"/>
                          <w:color w:val="222830"/>
                        </w:rPr>
                      </m:ctrlPr>
                    </m:boxPr>
                    <m:e>
                      <m:r>
                        <m:rPr>
                          <m:sty m:val="p"/>
                        </m:rPr>
                        <w:rPr>
                          <w:rFonts w:ascii="Cambria Math" w:hAnsi="Cambria Math"/>
                          <w:color w:val="222830"/>
                        </w:rPr>
                        <m:t>CVaR</m:t>
                      </m:r>
                    </m:e>
                  </m:box>
                </m:e>
                <m:sub>
                  <m:box>
                    <m:boxPr>
                      <m:ctrlPr>
                        <w:rPr>
                          <w:rFonts w:ascii="Cambria Math" w:hAnsi="Cambria Math"/>
                          <w:color w:val="222830"/>
                        </w:rPr>
                      </m:ctrlPr>
                    </m:boxPr>
                    <m:e>
                      <m:box>
                        <m:boxPr>
                          <m:ctrlPr>
                            <w:rPr>
                              <w:rFonts w:ascii="Cambria Math" w:hAnsi="Cambria Math"/>
                              <w:color w:val="222830"/>
                            </w:rPr>
                          </m:ctrlPr>
                        </m:boxPr>
                        <m:e>
                          <m:r>
                            <m:rPr>
                              <m:sty m:val="p"/>
                            </m:rPr>
                            <w:rPr>
                              <w:rFonts w:ascii="Cambria Math" w:hAnsi="Cambria Math"/>
                              <w:color w:val="222830"/>
                            </w:rPr>
                            <m:t>model</m:t>
                          </m:r>
                        </m:e>
                      </m:box>
                      <m:r>
                        <m:rPr>
                          <m:sty m:val="p"/>
                        </m:rPr>
                        <w:rPr>
                          <w:rFonts w:ascii="Cambria Math" w:hAnsi="Cambria Math"/>
                          <w:color w:val="222830"/>
                        </w:rPr>
                        <m:t>,</m:t>
                      </m:r>
                      <m:r>
                        <w:rPr>
                          <w:rFonts w:ascii="Cambria Math" w:hAnsi="Cambria Math"/>
                          <w:color w:val="222830"/>
                        </w:rPr>
                        <m:t>t</m:t>
                      </m:r>
                    </m:e>
                  </m:box>
                </m:sub>
              </m:sSub>
            </m:e>
          </m:box>
        </m:oMath>
      </m:oMathPara>
    </w:p>
    <w:p w14:paraId="60F047DC" w14:textId="77777777" w:rsidR="00721657" w:rsidRPr="00721657" w:rsidRDefault="00721657" w:rsidP="00721657">
      <w:pPr>
        <w:spacing w:before="160" w:after="60"/>
        <w:rPr>
          <w:color w:val="222830"/>
        </w:rPr>
      </w:pPr>
      <w:r w:rsidRPr="00721657">
        <w:rPr>
          <w:color w:val="222830"/>
        </w:rPr>
        <w:t>with next-month realized loss and a predictive plot around drawdown episodes.</w:t>
      </w:r>
    </w:p>
    <w:p w14:paraId="7D01A73F" w14:textId="77777777" w:rsidR="00721657" w:rsidRPr="00721657" w:rsidRDefault="00721657" w:rsidP="00721657">
      <w:pPr>
        <w:spacing w:before="160" w:after="60"/>
        <w:rPr>
          <w:color w:val="222830"/>
        </w:rPr>
      </w:pPr>
      <w:r w:rsidRPr="00721657">
        <w:rPr>
          <w:color w:val="222830"/>
        </w:rPr>
        <w:t>RQ2b is tested by the correlation of the two implied exposure paths:</w:t>
      </w:r>
    </w:p>
    <w:p w14:paraId="437A2468" w14:textId="5F8E774B" w:rsidR="00721657" w:rsidRPr="00721657" w:rsidRDefault="00721657" w:rsidP="00721657">
      <w:pPr>
        <w:spacing w:before="160" w:after="60"/>
        <w:rPr>
          <w:color w:val="222830"/>
        </w:rPr>
      </w:pPr>
      <m:oMathPara>
        <m:oMath>
          <m:box>
            <m:boxPr>
              <m:ctrlPr>
                <w:rPr>
                  <w:rFonts w:ascii="Cambria Math" w:hAnsi="Cambria Math"/>
                  <w:color w:val="222830"/>
                </w:rPr>
              </m:ctrlPr>
            </m:boxPr>
            <m:e>
              <m:box>
                <m:boxPr>
                  <m:ctrlPr>
                    <w:rPr>
                      <w:rFonts w:ascii="Cambria Math" w:hAnsi="Cambria Math"/>
                      <w:color w:val="222830"/>
                    </w:rPr>
                  </m:ctrlPr>
                </m:boxPr>
                <m:e>
                  <m:r>
                    <m:rPr>
                      <m:sty m:val="p"/>
                    </m:rPr>
                    <w:rPr>
                      <w:rFonts w:ascii="Cambria Math" w:hAnsi="Cambria Math"/>
                      <w:color w:val="222830"/>
                    </w:rPr>
                    <m:t>corr</m:t>
                  </m:r>
                </m:e>
              </m:box>
              <m:r>
                <m:rPr>
                  <m:sty m:val="p"/>
                </m:rPr>
                <w:rPr>
                  <w:rFonts w:ascii="Cambria Math" w:hAnsi="Cambria Math"/>
                  <w:color w:val="222830"/>
                </w:rPr>
                <m:t>(</m:t>
              </m:r>
              <m:sSup>
                <m:sSupPr>
                  <m:ctrlPr>
                    <w:rPr>
                      <w:rFonts w:ascii="Cambria Math" w:hAnsi="Cambria Math"/>
                      <w:color w:val="222830"/>
                    </w:rPr>
                  </m:ctrlPr>
                </m:sSupPr>
                <m:e>
                  <m:r>
                    <w:rPr>
                      <w:rFonts w:ascii="Cambria Math" w:hAnsi="Cambria Math"/>
                      <w:color w:val="222830"/>
                    </w:rPr>
                    <m:t>k</m:t>
                  </m:r>
                </m:e>
                <m:sup>
                  <m:box>
                    <m:boxPr>
                      <m:ctrlPr>
                        <w:rPr>
                          <w:rFonts w:ascii="Cambria Math" w:hAnsi="Cambria Math"/>
                          <w:color w:val="222830"/>
                        </w:rPr>
                      </m:ctrlPr>
                    </m:boxPr>
                    <m:e>
                      <m:r>
                        <w:rPr>
                          <w:rFonts w:ascii="Cambria Math" w:hAnsi="Cambria Math"/>
                          <w:color w:val="222830"/>
                        </w:rPr>
                        <m:t>RV</m:t>
                      </m:r>
                    </m:e>
                  </m:box>
                </m:sup>
              </m:sSup>
              <m:r>
                <m:rPr>
                  <m:sty m:val="p"/>
                </m:rPr>
                <w:rPr>
                  <w:rFonts w:ascii="Cambria Math" w:hAnsi="Cambria Math"/>
                  <w:color w:val="222830"/>
                </w:rPr>
                <m:t>,</m:t>
              </m:r>
              <m:r>
                <m:rPr>
                  <m:nor/>
                </m:rPr>
                <w:rPr>
                  <w:color w:val="222830"/>
                </w:rPr>
                <m:t> </m:t>
              </m:r>
              <m:sSup>
                <m:sSupPr>
                  <m:ctrlPr>
                    <w:rPr>
                      <w:rFonts w:ascii="Cambria Math" w:hAnsi="Cambria Math"/>
                      <w:color w:val="222830"/>
                    </w:rPr>
                  </m:ctrlPr>
                </m:sSupPr>
                <m:e>
                  <m:r>
                    <w:rPr>
                      <w:rFonts w:ascii="Cambria Math" w:hAnsi="Cambria Math"/>
                      <w:color w:val="222830"/>
                    </w:rPr>
                    <m:t>k</m:t>
                  </m:r>
                </m:e>
                <m:sup>
                  <m:box>
                    <m:boxPr>
                      <m:ctrlPr>
                        <w:rPr>
                          <w:rFonts w:ascii="Cambria Math" w:hAnsi="Cambria Math"/>
                          <w:color w:val="222830"/>
                        </w:rPr>
                      </m:ctrlPr>
                    </m:boxPr>
                    <m:e>
                      <m:r>
                        <w:rPr>
                          <w:rFonts w:ascii="Cambria Math" w:hAnsi="Cambria Math"/>
                          <w:color w:val="222830"/>
                        </w:rPr>
                        <m:t>CV</m:t>
                      </m:r>
                    </m:e>
                  </m:box>
                </m:sup>
              </m:sSup>
              <m:r>
                <m:rPr>
                  <m:sty m:val="p"/>
                </m:rPr>
                <w:rPr>
                  <w:rFonts w:ascii="Cambria Math" w:hAnsi="Cambria Math"/>
                  <w:color w:val="222830"/>
                </w:rPr>
                <m:t>)</m:t>
              </m:r>
            </m:e>
          </m:box>
        </m:oMath>
      </m:oMathPara>
    </w:p>
    <w:p w14:paraId="19973E78" w14:textId="77777777" w:rsidR="00480A68" w:rsidRDefault="00000000">
      <w:pPr>
        <w:spacing w:before="160" w:after="60"/>
      </w:pPr>
      <w:r>
        <w:rPr>
          <w:b/>
          <w:color w:val="163A5F"/>
          <w:sz w:val="25"/>
        </w:rPr>
        <w:t>5.7 Robustness</w:t>
      </w:r>
    </w:p>
    <w:p w14:paraId="5A4438C7" w14:textId="634E47C7" w:rsidR="00480A68" w:rsidRPr="00721657" w:rsidRDefault="00000000" w:rsidP="00721657">
      <w:pPr>
        <w:spacing w:after="120"/>
        <w:ind w:firstLine="720"/>
      </w:pPr>
      <w:r w:rsidRPr="00721657">
        <w:rPr>
          <w:color w:val="222830"/>
        </w:rPr>
        <w:t xml:space="preserve">(i) Allocation‑vs‑timing decomposition (RQ4) against 1/N and inverse‑volatility. (ii) Combination form at matched average exposure (product vs convex blend vs causally‑adaptive weight). (iii) Causal‑target </w:t>
      </w:r>
      <w:r w:rsidRPr="00721657">
        <w:rPr>
          <w:color w:val="222830"/>
        </w:rPr>
        <w:lastRenderedPageBreak/>
        <w:t xml:space="preserve">verification: the headline is re‑estimated with the causal expanding‑median </w:t>
      </w:r>
      <w:r w:rsidRPr="00721657">
        <w:rPr>
          <w:rFonts w:ascii="Consolas" w:hAnsi="Consolas"/>
          <w:color w:val="163A5F"/>
          <w:sz w:val="20"/>
        </w:rPr>
        <w:t>CVaR*_t</w:t>
      </w:r>
      <w:r w:rsidRPr="00721657">
        <w:rPr>
          <w:color w:val="222830"/>
        </w:rPr>
        <w:t xml:space="preserve"> (vs a full‑sample median) to confirm the result is not look‑ahead‑driven. (iv) Alternative eligibility universes of differing breadth. </w:t>
      </w:r>
    </w:p>
    <w:p w14:paraId="06430ED0" w14:textId="77777777" w:rsidR="00480A68" w:rsidRDefault="00480A68"/>
    <w:p w14:paraId="6C62707F" w14:textId="7FA3D687" w:rsidR="00517998" w:rsidRPr="00626563" w:rsidRDefault="00626563" w:rsidP="00626563">
      <w:pPr>
        <w:spacing w:before="160" w:after="60"/>
        <w:rPr>
          <w:b/>
          <w:color w:val="163A5F"/>
          <w:sz w:val="25"/>
        </w:rPr>
      </w:pPr>
      <w:r>
        <w:rPr>
          <w:b/>
          <w:color w:val="163A5F"/>
          <w:sz w:val="25"/>
        </w:rPr>
        <w:t xml:space="preserve">6 </w:t>
      </w:r>
      <w:r w:rsidR="00517998" w:rsidRPr="00626563">
        <w:rPr>
          <w:b/>
          <w:color w:val="163A5F"/>
          <w:sz w:val="25"/>
        </w:rPr>
        <w:t>Results</w:t>
      </w:r>
    </w:p>
    <w:p w14:paraId="146CF43C" w14:textId="77777777" w:rsidR="008318B7" w:rsidRDefault="008318B7" w:rsidP="00626563">
      <w:pPr>
        <w:ind w:firstLine="360"/>
      </w:pPr>
      <w:r>
        <w:t xml:space="preserve">All results are out-of-sample over the 83-month window 2019–2025, computed net of a proportional transaction cost. We report eight strategies side by side: </w:t>
      </w:r>
    </w:p>
    <w:p w14:paraId="256F144A" w14:textId="77777777" w:rsidR="008318B7" w:rsidRDefault="008318B7" w:rsidP="008318B7">
      <w:pPr>
        <w:pStyle w:val="ListParagraph"/>
        <w:numPr>
          <w:ilvl w:val="0"/>
          <w:numId w:val="10"/>
        </w:numPr>
      </w:pPr>
      <w:r>
        <w:t>the allocator alone (Static)</w:t>
      </w:r>
    </w:p>
    <w:p w14:paraId="01A4BE2B" w14:textId="77777777" w:rsidR="008318B7" w:rsidRDefault="008318B7" w:rsidP="008318B7">
      <w:pPr>
        <w:pStyle w:val="ListParagraph"/>
        <w:numPr>
          <w:ilvl w:val="0"/>
          <w:numId w:val="10"/>
        </w:numPr>
      </w:pPr>
      <w:r>
        <w:t>the allocator with the dynamic-parameter controller (Dynamic base)</w:t>
      </w:r>
    </w:p>
    <w:p w14:paraId="70DFF55A" w14:textId="77777777" w:rsidR="008318B7" w:rsidRDefault="008318B7" w:rsidP="008318B7">
      <w:pPr>
        <w:pStyle w:val="ListParagraph"/>
        <w:numPr>
          <w:ilvl w:val="0"/>
          <w:numId w:val="10"/>
        </w:numPr>
      </w:pPr>
      <w:r>
        <w:t>the two single overlays</w:t>
      </w:r>
      <w:r>
        <w:t xml:space="preserve">: </w:t>
      </w:r>
      <w:r>
        <w:t xml:space="preserve">realized-volatility (backward) and model-CVaR (forward) </w:t>
      </w:r>
    </w:p>
    <w:p w14:paraId="3A8127BB" w14:textId="77777777" w:rsidR="008318B7" w:rsidRDefault="008318B7" w:rsidP="008318B7">
      <w:pPr>
        <w:pStyle w:val="ListParagraph"/>
        <w:numPr>
          <w:ilvl w:val="0"/>
          <w:numId w:val="10"/>
        </w:numPr>
      </w:pPr>
      <w:r>
        <w:t>the combined overlay (the managed portfolio)</w:t>
      </w:r>
    </w:p>
    <w:p w14:paraId="4A7BDE44" w14:textId="3CCA5DE6" w:rsidR="008318B7" w:rsidRDefault="008318B7" w:rsidP="008318B7">
      <w:pPr>
        <w:pStyle w:val="ListParagraph"/>
        <w:numPr>
          <w:ilvl w:val="0"/>
          <w:numId w:val="10"/>
        </w:numPr>
      </w:pPr>
      <w:r>
        <w:t>three external references: the 1/N equal-weight rule and Markowitz maximum-Sharpe and minimum-variance portfolios built on the same universe.</w:t>
      </w:r>
    </w:p>
    <w:p w14:paraId="70261F04" w14:textId="053032EF" w:rsidR="008318B7" w:rsidRDefault="008318B7" w:rsidP="00626563">
      <w:pPr>
        <w:ind w:firstLine="360"/>
      </w:pPr>
      <w:r>
        <w:t xml:space="preserve">The headline pattern is one of risk transformation rather than return enhancement. Moving down the ladder from the unmanaged allocator to the combined overlay leaves </w:t>
      </w:r>
      <w:r w:rsidR="00B32C69">
        <w:t>annualized</w:t>
      </w:r>
      <w:r>
        <w:t xml:space="preserve"> return broadly intact (9.3–11.3%) but compresses risk sharply: </w:t>
      </w:r>
      <w:r w:rsidR="00B32C69">
        <w:t>annualized</w:t>
      </w:r>
      <w:r>
        <w:t xml:space="preserve"> volatility falls from 13.4% to 8.3%, the maximum drawdown shrinks from −19.3% to −7.3%, and monthly CVaR₉₅ roughly halves. The combined arm therefore records the best risk-adjusted profile in the comparison</w:t>
      </w:r>
      <w:r>
        <w:t xml:space="preserve"> (</w:t>
      </w:r>
      <w:r>
        <w:t>Sharpe 0.867, Sortino 1.74, Calmar 1.27</w:t>
      </w:r>
      <w:r>
        <w:t>)</w:t>
      </w:r>
      <w:r>
        <w:t xml:space="preserve"> and the lowest tail risk, while the two single signals sit between the unmanaged book and the combination. Because the sample is a predominantly rising market, this risk reduction is bought at the cost of terminal wealth: the managed arm compounds to a lower balance than the unmanaged book or 1/N (Figure 6.1)</w:t>
      </w:r>
      <w:r>
        <w:t>. However,</w:t>
      </w:r>
      <w:r>
        <w:t xml:space="preserve"> it delivers its return far more efficiently per unit of risk and with much shallower losses.</w:t>
      </w:r>
    </w:p>
    <w:p w14:paraId="4C561615" w14:textId="4A75130B" w:rsidR="00517998" w:rsidRDefault="008318B7" w:rsidP="00626563">
      <w:pPr>
        <w:ind w:firstLine="360"/>
      </w:pPr>
      <w:r>
        <w:t xml:space="preserve">Two reference results anchor the interpretation. First, the allocator's security selection is statistically indistinguishable from naïve diversification: the Static arm's Sharpe (0.624) is within noise of 1/N (0.622), consistent with the well-documented difficulty of beating the equal-weight rule out of sample. Second, </w:t>
      </w:r>
      <w:proofErr w:type="spellStart"/>
      <w:r>
        <w:t>optimised</w:t>
      </w:r>
      <w:proofErr w:type="spellEnd"/>
      <w:r>
        <w:t xml:space="preserve"> Markowitz fails, as estimation error predicts </w:t>
      </w:r>
      <w:r>
        <w:t>-</w:t>
      </w:r>
      <w:r>
        <w:t xml:space="preserve"> its maximum-Sharpe and minimum-variance portfolios earn Sharpe ratios of 0.27 and ≈0, compounding to only +26% and +15%. The value added in this study is therefore located not in the cross-sectional weights but in the time-series risk overlay, and specifically in the complementarity of the forward and backward risk signals</w:t>
      </w:r>
      <w:r>
        <w:t>. T</w:t>
      </w:r>
      <w:r>
        <w:t xml:space="preserve">heir implied exposure paths are only weakly correlated (ρ ≈ 0.17), so de-risking when </w:t>
      </w:r>
      <w:r w:rsidR="006D1B54">
        <w:t>either</w:t>
      </w:r>
      <w:r>
        <w:t xml:space="preserve"> </w:t>
      </w:r>
      <w:r>
        <w:t>flags captures distinct danger episodes and yields the shallowest drawdowns of any arm.</w:t>
      </w:r>
    </w:p>
    <w:p w14:paraId="559BFB8E" w14:textId="2086AAF7" w:rsidR="00480A68" w:rsidRDefault="008318B7">
      <w:r>
        <w:lastRenderedPageBreak/>
        <w:drawing>
          <wp:inline distT="0" distB="0" distL="0" distR="0" wp14:anchorId="695978D4" wp14:editId="0D3D849B">
            <wp:extent cx="6487924" cy="2674189"/>
            <wp:effectExtent l="0" t="0" r="8255" b="0"/>
            <wp:docPr id="114676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99980" cy="2679158"/>
                    </a:xfrm>
                    <a:prstGeom prst="rect">
                      <a:avLst/>
                    </a:prstGeom>
                    <a:noFill/>
                    <a:ln>
                      <a:noFill/>
                    </a:ln>
                  </pic:spPr>
                </pic:pic>
              </a:graphicData>
            </a:graphic>
          </wp:inline>
        </w:drawing>
      </w:r>
    </w:p>
    <w:p w14:paraId="3E2C6957" w14:textId="2BD2B35E" w:rsidR="008318B7" w:rsidRDefault="006D1B54" w:rsidP="006D1B54">
      <w:r w:rsidRPr="006D1B54">
        <w:t>Figure 6.1. Growth of $1, out-of-sample and net of costs. The combined managed portfolio compounds below the unmanaged and naïve books in a bull market but with materially lower volatility and</w:t>
      </w:r>
      <w:r>
        <w:t xml:space="preserve"> </w:t>
      </w:r>
      <w:r w:rsidRPr="006D1B54">
        <w:t>drawdown</w:t>
      </w:r>
      <w:r>
        <w:t>.</w:t>
      </w:r>
    </w:p>
    <w:p w14:paraId="36094CE4" w14:textId="77777777" w:rsidR="002309CF" w:rsidRDefault="002309CF" w:rsidP="006D1B54"/>
    <w:p w14:paraId="720B0B02" w14:textId="6CCB809D" w:rsidR="002309CF" w:rsidRDefault="006848FB" w:rsidP="006D1B54">
      <w:r>
        <w:rPr>
          <w:noProof/>
        </w:rPr>
        <w:drawing>
          <wp:inline distT="0" distB="0" distL="0" distR="0" wp14:anchorId="6DEAF806" wp14:editId="4E8EBE9F">
            <wp:extent cx="6383280" cy="2631057"/>
            <wp:effectExtent l="0" t="0" r="0" b="0"/>
            <wp:docPr id="13345434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95975" cy="2636290"/>
                    </a:xfrm>
                    <a:prstGeom prst="rect">
                      <a:avLst/>
                    </a:prstGeom>
                    <a:noFill/>
                    <a:ln>
                      <a:noFill/>
                    </a:ln>
                  </pic:spPr>
                </pic:pic>
              </a:graphicData>
            </a:graphic>
          </wp:inline>
        </w:drawing>
      </w:r>
    </w:p>
    <w:p w14:paraId="4EB8DF8D" w14:textId="77777777" w:rsidR="002309CF" w:rsidRDefault="002309CF" w:rsidP="006D1B54"/>
    <w:p w14:paraId="2DDB2457" w14:textId="77777777" w:rsidR="002309CF" w:rsidRDefault="002309CF" w:rsidP="006D1B54"/>
    <w:p w14:paraId="3BE847D5" w14:textId="77777777" w:rsidR="006848FB" w:rsidRDefault="006848FB" w:rsidP="006D1B54"/>
    <w:p w14:paraId="1E75A51D" w14:textId="77777777" w:rsidR="006848FB" w:rsidRDefault="006848FB" w:rsidP="006D1B54"/>
    <w:p w14:paraId="5991FE1D" w14:textId="77777777" w:rsidR="006848FB" w:rsidRDefault="006848FB" w:rsidP="006D1B54"/>
    <w:p w14:paraId="1BDE6D32" w14:textId="77777777" w:rsidR="006848FB" w:rsidRDefault="006848FB" w:rsidP="006D1B54"/>
    <w:tbl>
      <w:tblPr>
        <w:tblStyle w:val="TableGrid"/>
        <w:tblW w:w="0" w:type="auto"/>
        <w:jc w:val="center"/>
        <w:tblLook w:val="04A0" w:firstRow="1" w:lastRow="0" w:firstColumn="1" w:lastColumn="0" w:noHBand="0" w:noVBand="1"/>
      </w:tblPr>
      <w:tblGrid>
        <w:gridCol w:w="2566"/>
        <w:gridCol w:w="850"/>
        <w:gridCol w:w="851"/>
        <w:gridCol w:w="850"/>
        <w:gridCol w:w="851"/>
        <w:gridCol w:w="850"/>
        <w:gridCol w:w="851"/>
        <w:gridCol w:w="850"/>
        <w:gridCol w:w="974"/>
        <w:gridCol w:w="744"/>
      </w:tblGrid>
      <w:tr w:rsidR="006D1B54" w14:paraId="6BC00D00" w14:textId="77777777" w:rsidTr="006848FB">
        <w:trPr>
          <w:jc w:val="center"/>
        </w:trPr>
        <w:tc>
          <w:tcPr>
            <w:tcW w:w="2566" w:type="dxa"/>
          </w:tcPr>
          <w:p w14:paraId="140D37D8" w14:textId="77777777" w:rsidR="006D1B54" w:rsidRPr="006D1B54" w:rsidRDefault="006D1B54" w:rsidP="00AF3768">
            <w:pPr>
              <w:rPr>
                <w:sz w:val="20"/>
                <w:szCs w:val="20"/>
              </w:rPr>
            </w:pPr>
            <w:r w:rsidRPr="006D1B54">
              <w:rPr>
                <w:sz w:val="20"/>
                <w:szCs w:val="20"/>
              </w:rPr>
              <w:lastRenderedPageBreak/>
              <w:t>Strategy</w:t>
            </w:r>
          </w:p>
        </w:tc>
        <w:tc>
          <w:tcPr>
            <w:tcW w:w="850" w:type="dxa"/>
          </w:tcPr>
          <w:p w14:paraId="5A240659" w14:textId="77777777" w:rsidR="006D1B54" w:rsidRPr="006D1B54" w:rsidRDefault="006D1B54" w:rsidP="00AF3768">
            <w:pPr>
              <w:rPr>
                <w:sz w:val="20"/>
                <w:szCs w:val="20"/>
              </w:rPr>
            </w:pPr>
            <w:proofErr w:type="spellStart"/>
            <w:r w:rsidRPr="006D1B54">
              <w:rPr>
                <w:sz w:val="20"/>
                <w:szCs w:val="20"/>
              </w:rPr>
              <w:t>Cumul</w:t>
            </w:r>
            <w:proofErr w:type="spellEnd"/>
            <w:r w:rsidRPr="006D1B54">
              <w:rPr>
                <w:sz w:val="20"/>
                <w:szCs w:val="20"/>
              </w:rPr>
              <w:t xml:space="preserve"> %</w:t>
            </w:r>
          </w:p>
        </w:tc>
        <w:tc>
          <w:tcPr>
            <w:tcW w:w="851" w:type="dxa"/>
          </w:tcPr>
          <w:p w14:paraId="33147CF8" w14:textId="77777777" w:rsidR="006D1B54" w:rsidRPr="006D1B54" w:rsidRDefault="006D1B54" w:rsidP="00AF3768">
            <w:pPr>
              <w:rPr>
                <w:sz w:val="20"/>
                <w:szCs w:val="20"/>
              </w:rPr>
            </w:pPr>
            <w:r w:rsidRPr="006D1B54">
              <w:rPr>
                <w:sz w:val="20"/>
                <w:szCs w:val="20"/>
              </w:rPr>
              <w:t>Ann %</w:t>
            </w:r>
          </w:p>
        </w:tc>
        <w:tc>
          <w:tcPr>
            <w:tcW w:w="850" w:type="dxa"/>
          </w:tcPr>
          <w:p w14:paraId="340AFA81" w14:textId="77777777" w:rsidR="006D1B54" w:rsidRPr="006D1B54" w:rsidRDefault="006D1B54" w:rsidP="00AF3768">
            <w:pPr>
              <w:rPr>
                <w:sz w:val="20"/>
                <w:szCs w:val="20"/>
              </w:rPr>
            </w:pPr>
            <w:r w:rsidRPr="006D1B54">
              <w:rPr>
                <w:sz w:val="20"/>
                <w:szCs w:val="20"/>
              </w:rPr>
              <w:t>Vol %</w:t>
            </w:r>
          </w:p>
        </w:tc>
        <w:tc>
          <w:tcPr>
            <w:tcW w:w="851" w:type="dxa"/>
          </w:tcPr>
          <w:p w14:paraId="2438FA7C" w14:textId="77777777" w:rsidR="006D1B54" w:rsidRPr="006D1B54" w:rsidRDefault="006D1B54" w:rsidP="00AF3768">
            <w:pPr>
              <w:rPr>
                <w:sz w:val="20"/>
                <w:szCs w:val="20"/>
              </w:rPr>
            </w:pPr>
            <w:r w:rsidRPr="006D1B54">
              <w:rPr>
                <w:sz w:val="20"/>
                <w:szCs w:val="20"/>
              </w:rPr>
              <w:t>Sharpe</w:t>
            </w:r>
          </w:p>
        </w:tc>
        <w:tc>
          <w:tcPr>
            <w:tcW w:w="850" w:type="dxa"/>
          </w:tcPr>
          <w:p w14:paraId="38EE35CC" w14:textId="77777777" w:rsidR="006D1B54" w:rsidRPr="006D1B54" w:rsidRDefault="006D1B54" w:rsidP="00AF3768">
            <w:pPr>
              <w:rPr>
                <w:sz w:val="20"/>
                <w:szCs w:val="20"/>
              </w:rPr>
            </w:pPr>
            <w:r w:rsidRPr="006D1B54">
              <w:rPr>
                <w:sz w:val="20"/>
                <w:szCs w:val="20"/>
              </w:rPr>
              <w:t>Sortino</w:t>
            </w:r>
          </w:p>
        </w:tc>
        <w:tc>
          <w:tcPr>
            <w:tcW w:w="851" w:type="dxa"/>
          </w:tcPr>
          <w:p w14:paraId="2592A947" w14:textId="3CAF4CBB" w:rsidR="006D1B54" w:rsidRPr="006D1B54" w:rsidRDefault="006D1B54" w:rsidP="00AF3768">
            <w:pPr>
              <w:rPr>
                <w:sz w:val="20"/>
                <w:szCs w:val="20"/>
              </w:rPr>
            </w:pPr>
            <w:r w:rsidRPr="006D1B54">
              <w:rPr>
                <w:sz w:val="20"/>
                <w:szCs w:val="20"/>
              </w:rPr>
              <w:t>Max</w:t>
            </w:r>
            <w:r>
              <w:rPr>
                <w:sz w:val="20"/>
                <w:szCs w:val="20"/>
              </w:rPr>
              <w:t xml:space="preserve"> </w:t>
            </w:r>
            <w:r w:rsidRPr="006D1B54">
              <w:rPr>
                <w:sz w:val="20"/>
                <w:szCs w:val="20"/>
              </w:rPr>
              <w:t>DD %</w:t>
            </w:r>
          </w:p>
        </w:tc>
        <w:tc>
          <w:tcPr>
            <w:tcW w:w="850" w:type="dxa"/>
          </w:tcPr>
          <w:p w14:paraId="0674DE4A" w14:textId="77777777" w:rsidR="006D1B54" w:rsidRPr="006D1B54" w:rsidRDefault="006D1B54" w:rsidP="00AF3768">
            <w:pPr>
              <w:rPr>
                <w:sz w:val="20"/>
                <w:szCs w:val="20"/>
              </w:rPr>
            </w:pPr>
            <w:r w:rsidRPr="006D1B54">
              <w:rPr>
                <w:sz w:val="20"/>
                <w:szCs w:val="20"/>
              </w:rPr>
              <w:t>Calmar</w:t>
            </w:r>
          </w:p>
        </w:tc>
        <w:tc>
          <w:tcPr>
            <w:tcW w:w="974" w:type="dxa"/>
          </w:tcPr>
          <w:p w14:paraId="4C807A06" w14:textId="120DF651" w:rsidR="006D1B54" w:rsidRPr="006D1B54" w:rsidRDefault="006D1B54" w:rsidP="00AF3768">
            <w:pPr>
              <w:rPr>
                <w:sz w:val="20"/>
                <w:szCs w:val="20"/>
              </w:rPr>
            </w:pPr>
            <w:r w:rsidRPr="006D1B54">
              <w:rPr>
                <w:sz w:val="20"/>
                <w:szCs w:val="20"/>
              </w:rPr>
              <w:t>C</w:t>
            </w:r>
            <w:r w:rsidRPr="006D1B54">
              <w:rPr>
                <w:sz w:val="20"/>
                <w:szCs w:val="20"/>
              </w:rPr>
              <w:t>v</w:t>
            </w:r>
            <w:r w:rsidRPr="006D1B54">
              <w:rPr>
                <w:sz w:val="20"/>
                <w:szCs w:val="20"/>
              </w:rPr>
              <w:t>aR</w:t>
            </w:r>
            <w:r>
              <w:rPr>
                <w:sz w:val="20"/>
                <w:szCs w:val="20"/>
              </w:rPr>
              <w:t xml:space="preserve"> 95</w:t>
            </w:r>
            <w:r w:rsidRPr="006D1B54">
              <w:rPr>
                <w:sz w:val="20"/>
                <w:szCs w:val="20"/>
              </w:rPr>
              <w:t>%</w:t>
            </w:r>
          </w:p>
        </w:tc>
        <w:tc>
          <w:tcPr>
            <w:tcW w:w="744" w:type="dxa"/>
          </w:tcPr>
          <w:p w14:paraId="77D61A68" w14:textId="77777777" w:rsidR="006D1B54" w:rsidRPr="006D1B54" w:rsidRDefault="006D1B54" w:rsidP="00AF3768">
            <w:pPr>
              <w:rPr>
                <w:sz w:val="20"/>
                <w:szCs w:val="20"/>
              </w:rPr>
            </w:pPr>
            <w:r w:rsidRPr="006D1B54">
              <w:rPr>
                <w:sz w:val="20"/>
                <w:szCs w:val="20"/>
              </w:rPr>
              <w:t>PSR %</w:t>
            </w:r>
          </w:p>
        </w:tc>
      </w:tr>
      <w:tr w:rsidR="006D1B54" w14:paraId="1DEAE65E" w14:textId="77777777" w:rsidTr="006848FB">
        <w:trPr>
          <w:jc w:val="center"/>
        </w:trPr>
        <w:tc>
          <w:tcPr>
            <w:tcW w:w="2566" w:type="dxa"/>
          </w:tcPr>
          <w:p w14:paraId="41BFB7B4" w14:textId="77777777" w:rsidR="006D1B54" w:rsidRPr="006D1B54" w:rsidRDefault="006D1B54" w:rsidP="00AF3768">
            <w:pPr>
              <w:rPr>
                <w:b/>
                <w:bCs/>
                <w:sz w:val="20"/>
                <w:szCs w:val="20"/>
              </w:rPr>
            </w:pPr>
            <w:r w:rsidRPr="006D1B54">
              <w:rPr>
                <w:b/>
                <w:bCs/>
                <w:sz w:val="20"/>
                <w:szCs w:val="20"/>
              </w:rPr>
              <w:t>Static allocator (no overlay)</w:t>
            </w:r>
          </w:p>
        </w:tc>
        <w:tc>
          <w:tcPr>
            <w:tcW w:w="850" w:type="dxa"/>
          </w:tcPr>
          <w:p w14:paraId="72F75439" w14:textId="77777777" w:rsidR="006D1B54" w:rsidRPr="006D1B54" w:rsidRDefault="006D1B54" w:rsidP="00AF3768">
            <w:pPr>
              <w:rPr>
                <w:sz w:val="20"/>
                <w:szCs w:val="20"/>
              </w:rPr>
            </w:pPr>
            <w:r w:rsidRPr="006D1B54">
              <w:rPr>
                <w:sz w:val="20"/>
                <w:szCs w:val="20"/>
              </w:rPr>
              <w:t>92.0</w:t>
            </w:r>
          </w:p>
        </w:tc>
        <w:tc>
          <w:tcPr>
            <w:tcW w:w="851" w:type="dxa"/>
          </w:tcPr>
          <w:p w14:paraId="1566F4C3" w14:textId="77777777" w:rsidR="006D1B54" w:rsidRPr="006D1B54" w:rsidRDefault="006D1B54" w:rsidP="00AF3768">
            <w:pPr>
              <w:rPr>
                <w:sz w:val="20"/>
                <w:szCs w:val="20"/>
              </w:rPr>
            </w:pPr>
            <w:r w:rsidRPr="006D1B54">
              <w:rPr>
                <w:sz w:val="20"/>
                <w:szCs w:val="20"/>
              </w:rPr>
              <w:t>9.89</w:t>
            </w:r>
          </w:p>
        </w:tc>
        <w:tc>
          <w:tcPr>
            <w:tcW w:w="850" w:type="dxa"/>
          </w:tcPr>
          <w:p w14:paraId="29C89F9A" w14:textId="77777777" w:rsidR="006D1B54" w:rsidRPr="006D1B54" w:rsidRDefault="006D1B54" w:rsidP="00AF3768">
            <w:pPr>
              <w:rPr>
                <w:sz w:val="20"/>
                <w:szCs w:val="20"/>
              </w:rPr>
            </w:pPr>
            <w:r w:rsidRPr="006D1B54">
              <w:rPr>
                <w:sz w:val="20"/>
                <w:szCs w:val="20"/>
              </w:rPr>
              <w:t>13.40</w:t>
            </w:r>
          </w:p>
        </w:tc>
        <w:tc>
          <w:tcPr>
            <w:tcW w:w="851" w:type="dxa"/>
          </w:tcPr>
          <w:p w14:paraId="109FAAB8" w14:textId="77777777" w:rsidR="006D1B54" w:rsidRPr="006D1B54" w:rsidRDefault="006D1B54" w:rsidP="00AF3768">
            <w:pPr>
              <w:rPr>
                <w:sz w:val="20"/>
                <w:szCs w:val="20"/>
              </w:rPr>
            </w:pPr>
            <w:r w:rsidRPr="006D1B54">
              <w:rPr>
                <w:sz w:val="20"/>
                <w:szCs w:val="20"/>
              </w:rPr>
              <w:t>0.624</w:t>
            </w:r>
          </w:p>
        </w:tc>
        <w:tc>
          <w:tcPr>
            <w:tcW w:w="850" w:type="dxa"/>
          </w:tcPr>
          <w:p w14:paraId="58650B2A" w14:textId="77777777" w:rsidR="006D1B54" w:rsidRPr="006D1B54" w:rsidRDefault="006D1B54" w:rsidP="00AF3768">
            <w:pPr>
              <w:rPr>
                <w:sz w:val="20"/>
                <w:szCs w:val="20"/>
              </w:rPr>
            </w:pPr>
            <w:r w:rsidRPr="006D1B54">
              <w:rPr>
                <w:sz w:val="20"/>
                <w:szCs w:val="20"/>
              </w:rPr>
              <w:t>1.02</w:t>
            </w:r>
          </w:p>
        </w:tc>
        <w:tc>
          <w:tcPr>
            <w:tcW w:w="851" w:type="dxa"/>
          </w:tcPr>
          <w:p w14:paraId="376A3E8C" w14:textId="77777777" w:rsidR="006D1B54" w:rsidRPr="006D1B54" w:rsidRDefault="006D1B54" w:rsidP="00AF3768">
            <w:pPr>
              <w:rPr>
                <w:sz w:val="20"/>
                <w:szCs w:val="20"/>
              </w:rPr>
            </w:pPr>
            <w:r w:rsidRPr="006D1B54">
              <w:rPr>
                <w:sz w:val="20"/>
                <w:szCs w:val="20"/>
              </w:rPr>
              <w:t>−19.34</w:t>
            </w:r>
          </w:p>
        </w:tc>
        <w:tc>
          <w:tcPr>
            <w:tcW w:w="850" w:type="dxa"/>
          </w:tcPr>
          <w:p w14:paraId="01EE571B" w14:textId="77777777" w:rsidR="006D1B54" w:rsidRPr="006D1B54" w:rsidRDefault="006D1B54" w:rsidP="00AF3768">
            <w:pPr>
              <w:rPr>
                <w:sz w:val="20"/>
                <w:szCs w:val="20"/>
              </w:rPr>
            </w:pPr>
            <w:r w:rsidRPr="006D1B54">
              <w:rPr>
                <w:sz w:val="20"/>
                <w:szCs w:val="20"/>
              </w:rPr>
              <w:t>0.51</w:t>
            </w:r>
          </w:p>
        </w:tc>
        <w:tc>
          <w:tcPr>
            <w:tcW w:w="974" w:type="dxa"/>
          </w:tcPr>
          <w:p w14:paraId="2F905CE8" w14:textId="77777777" w:rsidR="006D1B54" w:rsidRPr="006D1B54" w:rsidRDefault="006D1B54" w:rsidP="00AF3768">
            <w:pPr>
              <w:rPr>
                <w:sz w:val="20"/>
                <w:szCs w:val="20"/>
              </w:rPr>
            </w:pPr>
            <w:r w:rsidRPr="006D1B54">
              <w:rPr>
                <w:sz w:val="20"/>
                <w:szCs w:val="20"/>
              </w:rPr>
              <w:t>−6.51</w:t>
            </w:r>
          </w:p>
        </w:tc>
        <w:tc>
          <w:tcPr>
            <w:tcW w:w="744" w:type="dxa"/>
          </w:tcPr>
          <w:p w14:paraId="50490FAB" w14:textId="77777777" w:rsidR="006D1B54" w:rsidRPr="006D1B54" w:rsidRDefault="006D1B54" w:rsidP="00AF3768">
            <w:pPr>
              <w:rPr>
                <w:sz w:val="20"/>
                <w:szCs w:val="20"/>
              </w:rPr>
            </w:pPr>
            <w:r w:rsidRPr="006D1B54">
              <w:rPr>
                <w:sz w:val="20"/>
                <w:szCs w:val="20"/>
              </w:rPr>
              <w:t>94.5</w:t>
            </w:r>
          </w:p>
        </w:tc>
      </w:tr>
      <w:tr w:rsidR="006D1B54" w14:paraId="7EE486CC" w14:textId="77777777" w:rsidTr="006848FB">
        <w:trPr>
          <w:jc w:val="center"/>
        </w:trPr>
        <w:tc>
          <w:tcPr>
            <w:tcW w:w="2566" w:type="dxa"/>
          </w:tcPr>
          <w:p w14:paraId="5794766B" w14:textId="77777777" w:rsidR="006D1B54" w:rsidRPr="006D1B54" w:rsidRDefault="006D1B54" w:rsidP="00AF3768">
            <w:pPr>
              <w:rPr>
                <w:b/>
                <w:bCs/>
                <w:sz w:val="20"/>
                <w:szCs w:val="20"/>
              </w:rPr>
            </w:pPr>
            <w:r w:rsidRPr="006D1B54">
              <w:rPr>
                <w:b/>
                <w:bCs/>
                <w:sz w:val="20"/>
                <w:szCs w:val="20"/>
              </w:rPr>
              <w:t>Dynamic base (controller on)</w:t>
            </w:r>
          </w:p>
        </w:tc>
        <w:tc>
          <w:tcPr>
            <w:tcW w:w="850" w:type="dxa"/>
          </w:tcPr>
          <w:p w14:paraId="758FD1A4" w14:textId="77777777" w:rsidR="006D1B54" w:rsidRPr="006D1B54" w:rsidRDefault="006D1B54" w:rsidP="00AF3768">
            <w:pPr>
              <w:rPr>
                <w:sz w:val="20"/>
                <w:szCs w:val="20"/>
              </w:rPr>
            </w:pPr>
            <w:r w:rsidRPr="006D1B54">
              <w:rPr>
                <w:sz w:val="20"/>
                <w:szCs w:val="20"/>
              </w:rPr>
              <w:t>109.3</w:t>
            </w:r>
          </w:p>
        </w:tc>
        <w:tc>
          <w:tcPr>
            <w:tcW w:w="851" w:type="dxa"/>
          </w:tcPr>
          <w:p w14:paraId="296A7A90" w14:textId="77777777" w:rsidR="006D1B54" w:rsidRPr="006D1B54" w:rsidRDefault="006D1B54" w:rsidP="00AF3768">
            <w:pPr>
              <w:rPr>
                <w:sz w:val="20"/>
                <w:szCs w:val="20"/>
              </w:rPr>
            </w:pPr>
            <w:r w:rsidRPr="006D1B54">
              <w:rPr>
                <w:sz w:val="20"/>
                <w:szCs w:val="20"/>
              </w:rPr>
              <w:t>11.27</w:t>
            </w:r>
          </w:p>
        </w:tc>
        <w:tc>
          <w:tcPr>
            <w:tcW w:w="850" w:type="dxa"/>
          </w:tcPr>
          <w:p w14:paraId="74ECB50F" w14:textId="77777777" w:rsidR="006D1B54" w:rsidRPr="006D1B54" w:rsidRDefault="006D1B54" w:rsidP="00AF3768">
            <w:pPr>
              <w:rPr>
                <w:sz w:val="20"/>
                <w:szCs w:val="20"/>
              </w:rPr>
            </w:pPr>
            <w:r w:rsidRPr="006D1B54">
              <w:rPr>
                <w:sz w:val="20"/>
                <w:szCs w:val="20"/>
              </w:rPr>
              <w:t>13.70</w:t>
            </w:r>
          </w:p>
        </w:tc>
        <w:tc>
          <w:tcPr>
            <w:tcW w:w="851" w:type="dxa"/>
          </w:tcPr>
          <w:p w14:paraId="37EAFCFB" w14:textId="77777777" w:rsidR="006D1B54" w:rsidRPr="006D1B54" w:rsidRDefault="006D1B54" w:rsidP="00AF3768">
            <w:pPr>
              <w:rPr>
                <w:sz w:val="20"/>
                <w:szCs w:val="20"/>
              </w:rPr>
            </w:pPr>
            <w:r w:rsidRPr="006D1B54">
              <w:rPr>
                <w:sz w:val="20"/>
                <w:szCs w:val="20"/>
              </w:rPr>
              <w:t>0.704</w:t>
            </w:r>
          </w:p>
        </w:tc>
        <w:tc>
          <w:tcPr>
            <w:tcW w:w="850" w:type="dxa"/>
          </w:tcPr>
          <w:p w14:paraId="4CF7FED3" w14:textId="77777777" w:rsidR="006D1B54" w:rsidRPr="006D1B54" w:rsidRDefault="006D1B54" w:rsidP="00AF3768">
            <w:pPr>
              <w:rPr>
                <w:sz w:val="20"/>
                <w:szCs w:val="20"/>
              </w:rPr>
            </w:pPr>
            <w:r w:rsidRPr="006D1B54">
              <w:rPr>
                <w:sz w:val="20"/>
                <w:szCs w:val="20"/>
              </w:rPr>
              <w:t>1.13</w:t>
            </w:r>
          </w:p>
        </w:tc>
        <w:tc>
          <w:tcPr>
            <w:tcW w:w="851" w:type="dxa"/>
          </w:tcPr>
          <w:p w14:paraId="60F7D618" w14:textId="77777777" w:rsidR="006D1B54" w:rsidRPr="006D1B54" w:rsidRDefault="006D1B54" w:rsidP="00AF3768">
            <w:pPr>
              <w:rPr>
                <w:sz w:val="20"/>
                <w:szCs w:val="20"/>
              </w:rPr>
            </w:pPr>
            <w:r w:rsidRPr="006D1B54">
              <w:rPr>
                <w:sz w:val="20"/>
                <w:szCs w:val="20"/>
              </w:rPr>
              <w:t>−17.64</w:t>
            </w:r>
          </w:p>
        </w:tc>
        <w:tc>
          <w:tcPr>
            <w:tcW w:w="850" w:type="dxa"/>
          </w:tcPr>
          <w:p w14:paraId="1EDD30B6" w14:textId="77777777" w:rsidR="006D1B54" w:rsidRPr="006D1B54" w:rsidRDefault="006D1B54" w:rsidP="00AF3768">
            <w:pPr>
              <w:rPr>
                <w:sz w:val="20"/>
                <w:szCs w:val="20"/>
              </w:rPr>
            </w:pPr>
            <w:r w:rsidRPr="006D1B54">
              <w:rPr>
                <w:sz w:val="20"/>
                <w:szCs w:val="20"/>
              </w:rPr>
              <w:t>0.64</w:t>
            </w:r>
          </w:p>
        </w:tc>
        <w:tc>
          <w:tcPr>
            <w:tcW w:w="974" w:type="dxa"/>
          </w:tcPr>
          <w:p w14:paraId="26A26F5D" w14:textId="77777777" w:rsidR="006D1B54" w:rsidRPr="006D1B54" w:rsidRDefault="006D1B54" w:rsidP="00AF3768">
            <w:pPr>
              <w:rPr>
                <w:sz w:val="20"/>
                <w:szCs w:val="20"/>
              </w:rPr>
            </w:pPr>
            <w:r w:rsidRPr="006D1B54">
              <w:rPr>
                <w:sz w:val="20"/>
                <w:szCs w:val="20"/>
              </w:rPr>
              <w:t>−6.93</w:t>
            </w:r>
          </w:p>
        </w:tc>
        <w:tc>
          <w:tcPr>
            <w:tcW w:w="744" w:type="dxa"/>
          </w:tcPr>
          <w:p w14:paraId="409713EF" w14:textId="77777777" w:rsidR="006D1B54" w:rsidRPr="006D1B54" w:rsidRDefault="006D1B54" w:rsidP="00AF3768">
            <w:pPr>
              <w:rPr>
                <w:sz w:val="20"/>
                <w:szCs w:val="20"/>
              </w:rPr>
            </w:pPr>
            <w:r w:rsidRPr="006D1B54">
              <w:rPr>
                <w:sz w:val="20"/>
                <w:szCs w:val="20"/>
              </w:rPr>
              <w:t>96.3</w:t>
            </w:r>
          </w:p>
        </w:tc>
      </w:tr>
      <w:tr w:rsidR="006D1B54" w14:paraId="12CF1C23" w14:textId="77777777" w:rsidTr="006848FB">
        <w:trPr>
          <w:jc w:val="center"/>
        </w:trPr>
        <w:tc>
          <w:tcPr>
            <w:tcW w:w="2566" w:type="dxa"/>
          </w:tcPr>
          <w:p w14:paraId="20142B2F" w14:textId="77777777" w:rsidR="006D1B54" w:rsidRPr="006D1B54" w:rsidRDefault="006D1B54" w:rsidP="00AF3768">
            <w:pPr>
              <w:rPr>
                <w:i/>
                <w:iCs/>
                <w:sz w:val="20"/>
                <w:szCs w:val="20"/>
              </w:rPr>
            </w:pPr>
            <w:r w:rsidRPr="006D1B54">
              <w:rPr>
                <w:i/>
                <w:iCs/>
                <w:sz w:val="20"/>
                <w:szCs w:val="20"/>
              </w:rPr>
              <w:t>+ Realized-vol overlay (backward)</w:t>
            </w:r>
          </w:p>
        </w:tc>
        <w:tc>
          <w:tcPr>
            <w:tcW w:w="850" w:type="dxa"/>
          </w:tcPr>
          <w:p w14:paraId="40C97348" w14:textId="77777777" w:rsidR="006D1B54" w:rsidRPr="006D1B54" w:rsidRDefault="006D1B54" w:rsidP="00AF3768">
            <w:pPr>
              <w:rPr>
                <w:sz w:val="20"/>
                <w:szCs w:val="20"/>
              </w:rPr>
            </w:pPr>
            <w:r w:rsidRPr="006D1B54">
              <w:rPr>
                <w:sz w:val="20"/>
                <w:szCs w:val="20"/>
              </w:rPr>
              <w:t>99.2</w:t>
            </w:r>
          </w:p>
        </w:tc>
        <w:tc>
          <w:tcPr>
            <w:tcW w:w="851" w:type="dxa"/>
          </w:tcPr>
          <w:p w14:paraId="0B585665" w14:textId="77777777" w:rsidR="006D1B54" w:rsidRPr="006D1B54" w:rsidRDefault="006D1B54" w:rsidP="00AF3768">
            <w:pPr>
              <w:rPr>
                <w:sz w:val="20"/>
                <w:szCs w:val="20"/>
              </w:rPr>
            </w:pPr>
            <w:r w:rsidRPr="006D1B54">
              <w:rPr>
                <w:sz w:val="20"/>
                <w:szCs w:val="20"/>
              </w:rPr>
              <w:t>10.48</w:t>
            </w:r>
          </w:p>
        </w:tc>
        <w:tc>
          <w:tcPr>
            <w:tcW w:w="850" w:type="dxa"/>
          </w:tcPr>
          <w:p w14:paraId="56F70DDF" w14:textId="77777777" w:rsidR="006D1B54" w:rsidRPr="006D1B54" w:rsidRDefault="006D1B54" w:rsidP="00AF3768">
            <w:pPr>
              <w:rPr>
                <w:sz w:val="20"/>
                <w:szCs w:val="20"/>
              </w:rPr>
            </w:pPr>
            <w:r w:rsidRPr="006D1B54">
              <w:rPr>
                <w:sz w:val="20"/>
                <w:szCs w:val="20"/>
              </w:rPr>
              <w:t>10.35</w:t>
            </w:r>
          </w:p>
        </w:tc>
        <w:tc>
          <w:tcPr>
            <w:tcW w:w="851" w:type="dxa"/>
          </w:tcPr>
          <w:p w14:paraId="5EDC1228" w14:textId="77777777" w:rsidR="006D1B54" w:rsidRPr="006D1B54" w:rsidRDefault="006D1B54" w:rsidP="00AF3768">
            <w:pPr>
              <w:rPr>
                <w:sz w:val="20"/>
                <w:szCs w:val="20"/>
              </w:rPr>
            </w:pPr>
            <w:r w:rsidRPr="006D1B54">
              <w:rPr>
                <w:sz w:val="20"/>
                <w:szCs w:val="20"/>
              </w:rPr>
              <w:t>0.824</w:t>
            </w:r>
          </w:p>
        </w:tc>
        <w:tc>
          <w:tcPr>
            <w:tcW w:w="850" w:type="dxa"/>
          </w:tcPr>
          <w:p w14:paraId="3BB162D2" w14:textId="77777777" w:rsidR="006D1B54" w:rsidRPr="006D1B54" w:rsidRDefault="006D1B54" w:rsidP="00AF3768">
            <w:pPr>
              <w:rPr>
                <w:sz w:val="20"/>
                <w:szCs w:val="20"/>
              </w:rPr>
            </w:pPr>
            <w:r w:rsidRPr="006D1B54">
              <w:rPr>
                <w:sz w:val="20"/>
                <w:szCs w:val="20"/>
              </w:rPr>
              <w:t>1.61</w:t>
            </w:r>
          </w:p>
        </w:tc>
        <w:tc>
          <w:tcPr>
            <w:tcW w:w="851" w:type="dxa"/>
          </w:tcPr>
          <w:p w14:paraId="1F28E769" w14:textId="77777777" w:rsidR="006D1B54" w:rsidRPr="006D1B54" w:rsidRDefault="006D1B54" w:rsidP="00AF3768">
            <w:pPr>
              <w:rPr>
                <w:sz w:val="20"/>
                <w:szCs w:val="20"/>
              </w:rPr>
            </w:pPr>
            <w:r w:rsidRPr="006D1B54">
              <w:rPr>
                <w:sz w:val="20"/>
                <w:szCs w:val="20"/>
              </w:rPr>
              <w:t>−11.61</w:t>
            </w:r>
          </w:p>
        </w:tc>
        <w:tc>
          <w:tcPr>
            <w:tcW w:w="850" w:type="dxa"/>
          </w:tcPr>
          <w:p w14:paraId="7F4267CE" w14:textId="77777777" w:rsidR="006D1B54" w:rsidRPr="006D1B54" w:rsidRDefault="006D1B54" w:rsidP="00AF3768">
            <w:pPr>
              <w:rPr>
                <w:sz w:val="20"/>
                <w:szCs w:val="20"/>
              </w:rPr>
            </w:pPr>
            <w:r w:rsidRPr="006D1B54">
              <w:rPr>
                <w:sz w:val="20"/>
                <w:szCs w:val="20"/>
              </w:rPr>
              <w:t>0.90</w:t>
            </w:r>
          </w:p>
        </w:tc>
        <w:tc>
          <w:tcPr>
            <w:tcW w:w="974" w:type="dxa"/>
          </w:tcPr>
          <w:p w14:paraId="319540AC" w14:textId="77777777" w:rsidR="006D1B54" w:rsidRPr="006D1B54" w:rsidRDefault="006D1B54" w:rsidP="00AF3768">
            <w:pPr>
              <w:rPr>
                <w:sz w:val="20"/>
                <w:szCs w:val="20"/>
              </w:rPr>
            </w:pPr>
            <w:r w:rsidRPr="006D1B54">
              <w:rPr>
                <w:sz w:val="20"/>
                <w:szCs w:val="20"/>
              </w:rPr>
              <w:t>−4.38</w:t>
            </w:r>
          </w:p>
        </w:tc>
        <w:tc>
          <w:tcPr>
            <w:tcW w:w="744" w:type="dxa"/>
          </w:tcPr>
          <w:p w14:paraId="45DEE39F" w14:textId="77777777" w:rsidR="006D1B54" w:rsidRPr="006D1B54" w:rsidRDefault="006D1B54" w:rsidP="00AF3768">
            <w:pPr>
              <w:rPr>
                <w:sz w:val="20"/>
                <w:szCs w:val="20"/>
              </w:rPr>
            </w:pPr>
            <w:r w:rsidRPr="006D1B54">
              <w:rPr>
                <w:sz w:val="20"/>
                <w:szCs w:val="20"/>
              </w:rPr>
              <w:t>98.4</w:t>
            </w:r>
          </w:p>
        </w:tc>
      </w:tr>
      <w:tr w:rsidR="006D1B54" w14:paraId="7CFD6E19" w14:textId="77777777" w:rsidTr="006848FB">
        <w:trPr>
          <w:jc w:val="center"/>
        </w:trPr>
        <w:tc>
          <w:tcPr>
            <w:tcW w:w="2566" w:type="dxa"/>
          </w:tcPr>
          <w:p w14:paraId="2E77283B" w14:textId="77777777" w:rsidR="006D1B54" w:rsidRPr="006D1B54" w:rsidRDefault="006D1B54" w:rsidP="00AF3768">
            <w:pPr>
              <w:rPr>
                <w:i/>
                <w:iCs/>
                <w:sz w:val="20"/>
                <w:szCs w:val="20"/>
              </w:rPr>
            </w:pPr>
            <w:r w:rsidRPr="006D1B54">
              <w:rPr>
                <w:i/>
                <w:iCs/>
                <w:sz w:val="20"/>
                <w:szCs w:val="20"/>
              </w:rPr>
              <w:t>+ Model-CVaR overlay (forward)</w:t>
            </w:r>
          </w:p>
        </w:tc>
        <w:tc>
          <w:tcPr>
            <w:tcW w:w="850" w:type="dxa"/>
          </w:tcPr>
          <w:p w14:paraId="2C4F3E25" w14:textId="77777777" w:rsidR="006D1B54" w:rsidRPr="006D1B54" w:rsidRDefault="006D1B54" w:rsidP="00AF3768">
            <w:pPr>
              <w:rPr>
                <w:sz w:val="20"/>
                <w:szCs w:val="20"/>
              </w:rPr>
            </w:pPr>
            <w:r w:rsidRPr="006D1B54">
              <w:rPr>
                <w:sz w:val="20"/>
                <w:szCs w:val="20"/>
              </w:rPr>
              <w:t>90.5</w:t>
            </w:r>
          </w:p>
        </w:tc>
        <w:tc>
          <w:tcPr>
            <w:tcW w:w="851" w:type="dxa"/>
          </w:tcPr>
          <w:p w14:paraId="770FDBB1" w14:textId="77777777" w:rsidR="006D1B54" w:rsidRPr="006D1B54" w:rsidRDefault="006D1B54" w:rsidP="00AF3768">
            <w:pPr>
              <w:rPr>
                <w:sz w:val="20"/>
                <w:szCs w:val="20"/>
              </w:rPr>
            </w:pPr>
            <w:r w:rsidRPr="006D1B54">
              <w:rPr>
                <w:sz w:val="20"/>
                <w:szCs w:val="20"/>
              </w:rPr>
              <w:t>9.77</w:t>
            </w:r>
          </w:p>
        </w:tc>
        <w:tc>
          <w:tcPr>
            <w:tcW w:w="850" w:type="dxa"/>
          </w:tcPr>
          <w:p w14:paraId="366C15BB" w14:textId="77777777" w:rsidR="006D1B54" w:rsidRPr="006D1B54" w:rsidRDefault="006D1B54" w:rsidP="00AF3768">
            <w:pPr>
              <w:rPr>
                <w:sz w:val="20"/>
                <w:szCs w:val="20"/>
              </w:rPr>
            </w:pPr>
            <w:r w:rsidRPr="006D1B54">
              <w:rPr>
                <w:sz w:val="20"/>
                <w:szCs w:val="20"/>
              </w:rPr>
              <w:t>10.77</w:t>
            </w:r>
          </w:p>
        </w:tc>
        <w:tc>
          <w:tcPr>
            <w:tcW w:w="851" w:type="dxa"/>
          </w:tcPr>
          <w:p w14:paraId="6B8A674B" w14:textId="77777777" w:rsidR="006D1B54" w:rsidRPr="006D1B54" w:rsidRDefault="006D1B54" w:rsidP="00AF3768">
            <w:pPr>
              <w:rPr>
                <w:sz w:val="20"/>
                <w:szCs w:val="20"/>
              </w:rPr>
            </w:pPr>
            <w:r w:rsidRPr="006D1B54">
              <w:rPr>
                <w:sz w:val="20"/>
                <w:szCs w:val="20"/>
              </w:rPr>
              <w:t>0.736</w:t>
            </w:r>
          </w:p>
        </w:tc>
        <w:tc>
          <w:tcPr>
            <w:tcW w:w="850" w:type="dxa"/>
          </w:tcPr>
          <w:p w14:paraId="37A9A993" w14:textId="77777777" w:rsidR="006D1B54" w:rsidRPr="006D1B54" w:rsidRDefault="006D1B54" w:rsidP="00AF3768">
            <w:pPr>
              <w:rPr>
                <w:sz w:val="20"/>
                <w:szCs w:val="20"/>
              </w:rPr>
            </w:pPr>
            <w:r w:rsidRPr="006D1B54">
              <w:rPr>
                <w:sz w:val="20"/>
                <w:szCs w:val="20"/>
              </w:rPr>
              <w:t>1.16</w:t>
            </w:r>
          </w:p>
        </w:tc>
        <w:tc>
          <w:tcPr>
            <w:tcW w:w="851" w:type="dxa"/>
          </w:tcPr>
          <w:p w14:paraId="02DB33AA" w14:textId="77777777" w:rsidR="006D1B54" w:rsidRPr="006D1B54" w:rsidRDefault="006D1B54" w:rsidP="00AF3768">
            <w:pPr>
              <w:rPr>
                <w:sz w:val="20"/>
                <w:szCs w:val="20"/>
              </w:rPr>
            </w:pPr>
            <w:r w:rsidRPr="006D1B54">
              <w:rPr>
                <w:sz w:val="20"/>
                <w:szCs w:val="20"/>
              </w:rPr>
              <w:t>−11.97</w:t>
            </w:r>
          </w:p>
        </w:tc>
        <w:tc>
          <w:tcPr>
            <w:tcW w:w="850" w:type="dxa"/>
          </w:tcPr>
          <w:p w14:paraId="2E59AA45" w14:textId="77777777" w:rsidR="006D1B54" w:rsidRPr="006D1B54" w:rsidRDefault="006D1B54" w:rsidP="00AF3768">
            <w:pPr>
              <w:rPr>
                <w:sz w:val="20"/>
                <w:szCs w:val="20"/>
              </w:rPr>
            </w:pPr>
            <w:r w:rsidRPr="006D1B54">
              <w:rPr>
                <w:sz w:val="20"/>
                <w:szCs w:val="20"/>
              </w:rPr>
              <w:t>0.82</w:t>
            </w:r>
          </w:p>
        </w:tc>
        <w:tc>
          <w:tcPr>
            <w:tcW w:w="974" w:type="dxa"/>
          </w:tcPr>
          <w:p w14:paraId="40E5E4AC" w14:textId="77777777" w:rsidR="006D1B54" w:rsidRPr="006D1B54" w:rsidRDefault="006D1B54" w:rsidP="00AF3768">
            <w:pPr>
              <w:rPr>
                <w:sz w:val="20"/>
                <w:szCs w:val="20"/>
              </w:rPr>
            </w:pPr>
            <w:r w:rsidRPr="006D1B54">
              <w:rPr>
                <w:sz w:val="20"/>
                <w:szCs w:val="20"/>
              </w:rPr>
              <w:t>−5.76</w:t>
            </w:r>
          </w:p>
        </w:tc>
        <w:tc>
          <w:tcPr>
            <w:tcW w:w="744" w:type="dxa"/>
          </w:tcPr>
          <w:p w14:paraId="4E826F87" w14:textId="77777777" w:rsidR="006D1B54" w:rsidRPr="006D1B54" w:rsidRDefault="006D1B54" w:rsidP="00AF3768">
            <w:pPr>
              <w:rPr>
                <w:sz w:val="20"/>
                <w:szCs w:val="20"/>
              </w:rPr>
            </w:pPr>
            <w:r w:rsidRPr="006D1B54">
              <w:rPr>
                <w:sz w:val="20"/>
                <w:szCs w:val="20"/>
              </w:rPr>
              <w:t>96.8</w:t>
            </w:r>
          </w:p>
        </w:tc>
      </w:tr>
      <w:tr w:rsidR="006D1B54" w14:paraId="0F2866D4" w14:textId="77777777" w:rsidTr="006848FB">
        <w:trPr>
          <w:jc w:val="center"/>
        </w:trPr>
        <w:tc>
          <w:tcPr>
            <w:tcW w:w="2566" w:type="dxa"/>
          </w:tcPr>
          <w:p w14:paraId="2175B00B" w14:textId="77777777" w:rsidR="006D1B54" w:rsidRPr="006D1B54" w:rsidRDefault="006D1B54" w:rsidP="00AF3768">
            <w:pPr>
              <w:rPr>
                <w:i/>
                <w:iCs/>
                <w:sz w:val="20"/>
                <w:szCs w:val="20"/>
              </w:rPr>
            </w:pPr>
            <w:r w:rsidRPr="006D1B54">
              <w:rPr>
                <w:i/>
                <w:iCs/>
                <w:sz w:val="20"/>
                <w:szCs w:val="20"/>
              </w:rPr>
              <w:t>+ Combined (managed portfolio)</w:t>
            </w:r>
          </w:p>
        </w:tc>
        <w:tc>
          <w:tcPr>
            <w:tcW w:w="850" w:type="dxa"/>
          </w:tcPr>
          <w:p w14:paraId="3AEF4C52" w14:textId="77777777" w:rsidR="006D1B54" w:rsidRPr="006D1B54" w:rsidRDefault="006D1B54" w:rsidP="00AF3768">
            <w:pPr>
              <w:rPr>
                <w:sz w:val="20"/>
                <w:szCs w:val="20"/>
              </w:rPr>
            </w:pPr>
            <w:r w:rsidRPr="006D1B54">
              <w:rPr>
                <w:sz w:val="20"/>
                <w:szCs w:val="20"/>
              </w:rPr>
              <w:t>84.5</w:t>
            </w:r>
          </w:p>
        </w:tc>
        <w:tc>
          <w:tcPr>
            <w:tcW w:w="851" w:type="dxa"/>
          </w:tcPr>
          <w:p w14:paraId="094FB3B8" w14:textId="77777777" w:rsidR="006D1B54" w:rsidRPr="006D1B54" w:rsidRDefault="006D1B54" w:rsidP="00AF3768">
            <w:pPr>
              <w:rPr>
                <w:sz w:val="20"/>
                <w:szCs w:val="20"/>
              </w:rPr>
            </w:pPr>
            <w:r w:rsidRPr="006D1B54">
              <w:rPr>
                <w:sz w:val="20"/>
                <w:szCs w:val="20"/>
              </w:rPr>
              <w:t>9.26</w:t>
            </w:r>
          </w:p>
        </w:tc>
        <w:tc>
          <w:tcPr>
            <w:tcW w:w="850" w:type="dxa"/>
          </w:tcPr>
          <w:p w14:paraId="51AE49B9" w14:textId="77777777" w:rsidR="006D1B54" w:rsidRPr="006D1B54" w:rsidRDefault="006D1B54" w:rsidP="00AF3768">
            <w:pPr>
              <w:rPr>
                <w:sz w:val="20"/>
                <w:szCs w:val="20"/>
              </w:rPr>
            </w:pPr>
            <w:r w:rsidRPr="006D1B54">
              <w:rPr>
                <w:sz w:val="20"/>
                <w:szCs w:val="20"/>
              </w:rPr>
              <w:t>8.33</w:t>
            </w:r>
          </w:p>
        </w:tc>
        <w:tc>
          <w:tcPr>
            <w:tcW w:w="851" w:type="dxa"/>
          </w:tcPr>
          <w:p w14:paraId="264F1AAC" w14:textId="77777777" w:rsidR="006D1B54" w:rsidRPr="006D1B54" w:rsidRDefault="006D1B54" w:rsidP="00AF3768">
            <w:pPr>
              <w:rPr>
                <w:sz w:val="20"/>
                <w:szCs w:val="20"/>
              </w:rPr>
            </w:pPr>
            <w:r w:rsidRPr="006D1B54">
              <w:rPr>
                <w:sz w:val="20"/>
                <w:szCs w:val="20"/>
              </w:rPr>
              <w:t>0.867</w:t>
            </w:r>
          </w:p>
        </w:tc>
        <w:tc>
          <w:tcPr>
            <w:tcW w:w="850" w:type="dxa"/>
          </w:tcPr>
          <w:p w14:paraId="43BEF181" w14:textId="77777777" w:rsidR="006D1B54" w:rsidRPr="006D1B54" w:rsidRDefault="006D1B54" w:rsidP="00AF3768">
            <w:pPr>
              <w:rPr>
                <w:sz w:val="20"/>
                <w:szCs w:val="20"/>
              </w:rPr>
            </w:pPr>
            <w:r w:rsidRPr="006D1B54">
              <w:rPr>
                <w:sz w:val="20"/>
                <w:szCs w:val="20"/>
              </w:rPr>
              <w:t>1.74</w:t>
            </w:r>
          </w:p>
        </w:tc>
        <w:tc>
          <w:tcPr>
            <w:tcW w:w="851" w:type="dxa"/>
          </w:tcPr>
          <w:p w14:paraId="0F43C479" w14:textId="77777777" w:rsidR="006D1B54" w:rsidRPr="006D1B54" w:rsidRDefault="006D1B54" w:rsidP="00AF3768">
            <w:pPr>
              <w:rPr>
                <w:sz w:val="20"/>
                <w:szCs w:val="20"/>
              </w:rPr>
            </w:pPr>
            <w:r w:rsidRPr="006D1B54">
              <w:rPr>
                <w:sz w:val="20"/>
                <w:szCs w:val="20"/>
              </w:rPr>
              <w:t>−7.31</w:t>
            </w:r>
          </w:p>
        </w:tc>
        <w:tc>
          <w:tcPr>
            <w:tcW w:w="850" w:type="dxa"/>
          </w:tcPr>
          <w:p w14:paraId="35D50AEF" w14:textId="77777777" w:rsidR="006D1B54" w:rsidRPr="006D1B54" w:rsidRDefault="006D1B54" w:rsidP="00AF3768">
            <w:pPr>
              <w:rPr>
                <w:sz w:val="20"/>
                <w:szCs w:val="20"/>
              </w:rPr>
            </w:pPr>
            <w:r w:rsidRPr="006D1B54">
              <w:rPr>
                <w:sz w:val="20"/>
                <w:szCs w:val="20"/>
              </w:rPr>
              <w:t>1.27</w:t>
            </w:r>
          </w:p>
        </w:tc>
        <w:tc>
          <w:tcPr>
            <w:tcW w:w="974" w:type="dxa"/>
          </w:tcPr>
          <w:p w14:paraId="49113669" w14:textId="77777777" w:rsidR="006D1B54" w:rsidRPr="006D1B54" w:rsidRDefault="006D1B54" w:rsidP="00AF3768">
            <w:pPr>
              <w:rPr>
                <w:sz w:val="20"/>
                <w:szCs w:val="20"/>
              </w:rPr>
            </w:pPr>
            <w:r w:rsidRPr="006D1B54">
              <w:rPr>
                <w:sz w:val="20"/>
                <w:szCs w:val="20"/>
              </w:rPr>
              <w:t>−3.56</w:t>
            </w:r>
          </w:p>
        </w:tc>
        <w:tc>
          <w:tcPr>
            <w:tcW w:w="744" w:type="dxa"/>
          </w:tcPr>
          <w:p w14:paraId="34612DD7" w14:textId="77777777" w:rsidR="006D1B54" w:rsidRPr="006D1B54" w:rsidRDefault="006D1B54" w:rsidP="00AF3768">
            <w:pPr>
              <w:rPr>
                <w:sz w:val="20"/>
                <w:szCs w:val="20"/>
              </w:rPr>
            </w:pPr>
            <w:r w:rsidRPr="006D1B54">
              <w:rPr>
                <w:sz w:val="20"/>
                <w:szCs w:val="20"/>
              </w:rPr>
              <w:t>98.9</w:t>
            </w:r>
          </w:p>
        </w:tc>
      </w:tr>
      <w:tr w:rsidR="006D1B54" w14:paraId="01893616" w14:textId="77777777" w:rsidTr="006848FB">
        <w:trPr>
          <w:jc w:val="center"/>
        </w:trPr>
        <w:tc>
          <w:tcPr>
            <w:tcW w:w="2566" w:type="dxa"/>
          </w:tcPr>
          <w:p w14:paraId="1BFD7EB4" w14:textId="77777777" w:rsidR="006D1B54" w:rsidRPr="006D1B54" w:rsidRDefault="006D1B54" w:rsidP="00AF3768">
            <w:pPr>
              <w:rPr>
                <w:b/>
                <w:bCs/>
                <w:sz w:val="20"/>
                <w:szCs w:val="20"/>
              </w:rPr>
            </w:pPr>
            <w:r w:rsidRPr="006D1B54">
              <w:rPr>
                <w:b/>
                <w:bCs/>
                <w:sz w:val="20"/>
                <w:szCs w:val="20"/>
              </w:rPr>
              <w:t>Benchmark 1/N</w:t>
            </w:r>
          </w:p>
        </w:tc>
        <w:tc>
          <w:tcPr>
            <w:tcW w:w="850" w:type="dxa"/>
          </w:tcPr>
          <w:p w14:paraId="66F26EE5" w14:textId="77777777" w:rsidR="006D1B54" w:rsidRPr="006D1B54" w:rsidRDefault="006D1B54" w:rsidP="00AF3768">
            <w:pPr>
              <w:rPr>
                <w:sz w:val="20"/>
                <w:szCs w:val="20"/>
              </w:rPr>
            </w:pPr>
            <w:r w:rsidRPr="006D1B54">
              <w:rPr>
                <w:sz w:val="20"/>
                <w:szCs w:val="20"/>
              </w:rPr>
              <w:t>98.4</w:t>
            </w:r>
          </w:p>
        </w:tc>
        <w:tc>
          <w:tcPr>
            <w:tcW w:w="851" w:type="dxa"/>
          </w:tcPr>
          <w:p w14:paraId="7D95272C" w14:textId="77777777" w:rsidR="006D1B54" w:rsidRPr="006D1B54" w:rsidRDefault="006D1B54" w:rsidP="00AF3768">
            <w:pPr>
              <w:rPr>
                <w:sz w:val="20"/>
                <w:szCs w:val="20"/>
              </w:rPr>
            </w:pPr>
            <w:r w:rsidRPr="006D1B54">
              <w:rPr>
                <w:sz w:val="20"/>
                <w:szCs w:val="20"/>
              </w:rPr>
              <w:t>10.41</w:t>
            </w:r>
          </w:p>
        </w:tc>
        <w:tc>
          <w:tcPr>
            <w:tcW w:w="850" w:type="dxa"/>
          </w:tcPr>
          <w:p w14:paraId="5E0CB6F9" w14:textId="77777777" w:rsidR="006D1B54" w:rsidRPr="006D1B54" w:rsidRDefault="006D1B54" w:rsidP="00AF3768">
            <w:pPr>
              <w:rPr>
                <w:sz w:val="20"/>
                <w:szCs w:val="20"/>
              </w:rPr>
            </w:pPr>
            <w:r w:rsidRPr="006D1B54">
              <w:rPr>
                <w:sz w:val="20"/>
                <w:szCs w:val="20"/>
              </w:rPr>
              <w:t>14.44</w:t>
            </w:r>
          </w:p>
        </w:tc>
        <w:tc>
          <w:tcPr>
            <w:tcW w:w="851" w:type="dxa"/>
          </w:tcPr>
          <w:p w14:paraId="28D44F31" w14:textId="77777777" w:rsidR="006D1B54" w:rsidRPr="006D1B54" w:rsidRDefault="006D1B54" w:rsidP="00AF3768">
            <w:pPr>
              <w:rPr>
                <w:sz w:val="20"/>
                <w:szCs w:val="20"/>
              </w:rPr>
            </w:pPr>
            <w:r w:rsidRPr="006D1B54">
              <w:rPr>
                <w:sz w:val="20"/>
                <w:szCs w:val="20"/>
              </w:rPr>
              <w:t>0.622</w:t>
            </w:r>
          </w:p>
        </w:tc>
        <w:tc>
          <w:tcPr>
            <w:tcW w:w="850" w:type="dxa"/>
          </w:tcPr>
          <w:p w14:paraId="73EED161" w14:textId="77777777" w:rsidR="006D1B54" w:rsidRPr="006D1B54" w:rsidRDefault="006D1B54" w:rsidP="00AF3768">
            <w:pPr>
              <w:rPr>
                <w:sz w:val="20"/>
                <w:szCs w:val="20"/>
              </w:rPr>
            </w:pPr>
            <w:r w:rsidRPr="006D1B54">
              <w:rPr>
                <w:sz w:val="20"/>
                <w:szCs w:val="20"/>
              </w:rPr>
              <w:t>0.82</w:t>
            </w:r>
          </w:p>
        </w:tc>
        <w:tc>
          <w:tcPr>
            <w:tcW w:w="851" w:type="dxa"/>
          </w:tcPr>
          <w:p w14:paraId="2BE37A7D" w14:textId="77777777" w:rsidR="006D1B54" w:rsidRPr="006D1B54" w:rsidRDefault="006D1B54" w:rsidP="00AF3768">
            <w:pPr>
              <w:rPr>
                <w:sz w:val="20"/>
                <w:szCs w:val="20"/>
              </w:rPr>
            </w:pPr>
            <w:r w:rsidRPr="006D1B54">
              <w:rPr>
                <w:sz w:val="20"/>
                <w:szCs w:val="20"/>
              </w:rPr>
              <w:t>−21.36</w:t>
            </w:r>
          </w:p>
        </w:tc>
        <w:tc>
          <w:tcPr>
            <w:tcW w:w="850" w:type="dxa"/>
          </w:tcPr>
          <w:p w14:paraId="50DED7D0" w14:textId="77777777" w:rsidR="006D1B54" w:rsidRPr="006D1B54" w:rsidRDefault="006D1B54" w:rsidP="00AF3768">
            <w:pPr>
              <w:rPr>
                <w:sz w:val="20"/>
                <w:szCs w:val="20"/>
              </w:rPr>
            </w:pPr>
            <w:r w:rsidRPr="006D1B54">
              <w:rPr>
                <w:sz w:val="20"/>
                <w:szCs w:val="20"/>
              </w:rPr>
              <w:t>0.49</w:t>
            </w:r>
          </w:p>
        </w:tc>
        <w:tc>
          <w:tcPr>
            <w:tcW w:w="974" w:type="dxa"/>
          </w:tcPr>
          <w:p w14:paraId="100A2E91" w14:textId="77777777" w:rsidR="006D1B54" w:rsidRPr="006D1B54" w:rsidRDefault="006D1B54" w:rsidP="00AF3768">
            <w:pPr>
              <w:rPr>
                <w:sz w:val="20"/>
                <w:szCs w:val="20"/>
              </w:rPr>
            </w:pPr>
            <w:r w:rsidRPr="006D1B54">
              <w:rPr>
                <w:sz w:val="20"/>
                <w:szCs w:val="20"/>
              </w:rPr>
              <w:t>−8.71</w:t>
            </w:r>
          </w:p>
        </w:tc>
        <w:tc>
          <w:tcPr>
            <w:tcW w:w="744" w:type="dxa"/>
          </w:tcPr>
          <w:p w14:paraId="71A928A5" w14:textId="77777777" w:rsidR="006D1B54" w:rsidRPr="006D1B54" w:rsidRDefault="006D1B54" w:rsidP="00AF3768">
            <w:pPr>
              <w:rPr>
                <w:sz w:val="20"/>
                <w:szCs w:val="20"/>
              </w:rPr>
            </w:pPr>
            <w:r w:rsidRPr="006D1B54">
              <w:rPr>
                <w:sz w:val="20"/>
                <w:szCs w:val="20"/>
              </w:rPr>
              <w:t>93.7</w:t>
            </w:r>
          </w:p>
        </w:tc>
      </w:tr>
      <w:tr w:rsidR="006D1B54" w14:paraId="36C70B0D" w14:textId="77777777" w:rsidTr="006848FB">
        <w:trPr>
          <w:jc w:val="center"/>
        </w:trPr>
        <w:tc>
          <w:tcPr>
            <w:tcW w:w="2566" w:type="dxa"/>
          </w:tcPr>
          <w:p w14:paraId="07EC8C17" w14:textId="77777777" w:rsidR="006D1B54" w:rsidRPr="006D1B54" w:rsidRDefault="006D1B54" w:rsidP="00AF3768">
            <w:pPr>
              <w:rPr>
                <w:b/>
                <w:bCs/>
                <w:sz w:val="20"/>
                <w:szCs w:val="20"/>
              </w:rPr>
            </w:pPr>
            <w:r w:rsidRPr="006D1B54">
              <w:rPr>
                <w:b/>
                <w:bCs/>
                <w:sz w:val="20"/>
                <w:szCs w:val="20"/>
              </w:rPr>
              <w:t>Benchmark Markowitz max-Sharpe</w:t>
            </w:r>
          </w:p>
        </w:tc>
        <w:tc>
          <w:tcPr>
            <w:tcW w:w="850" w:type="dxa"/>
          </w:tcPr>
          <w:p w14:paraId="18C6F446" w14:textId="77777777" w:rsidR="006D1B54" w:rsidRPr="006D1B54" w:rsidRDefault="006D1B54" w:rsidP="00AF3768">
            <w:pPr>
              <w:rPr>
                <w:sz w:val="20"/>
                <w:szCs w:val="20"/>
              </w:rPr>
            </w:pPr>
            <w:r w:rsidRPr="006D1B54">
              <w:rPr>
                <w:sz w:val="20"/>
                <w:szCs w:val="20"/>
              </w:rPr>
              <w:t>26.0</w:t>
            </w:r>
          </w:p>
        </w:tc>
        <w:tc>
          <w:tcPr>
            <w:tcW w:w="851" w:type="dxa"/>
          </w:tcPr>
          <w:p w14:paraId="2395DCF6" w14:textId="77777777" w:rsidR="006D1B54" w:rsidRPr="006D1B54" w:rsidRDefault="006D1B54" w:rsidP="00AF3768">
            <w:pPr>
              <w:rPr>
                <w:sz w:val="20"/>
                <w:szCs w:val="20"/>
              </w:rPr>
            </w:pPr>
            <w:r w:rsidRPr="006D1B54">
              <w:rPr>
                <w:sz w:val="20"/>
                <w:szCs w:val="20"/>
              </w:rPr>
              <w:t>3.40</w:t>
            </w:r>
          </w:p>
        </w:tc>
        <w:tc>
          <w:tcPr>
            <w:tcW w:w="850" w:type="dxa"/>
          </w:tcPr>
          <w:p w14:paraId="474A9C0D" w14:textId="77777777" w:rsidR="006D1B54" w:rsidRPr="006D1B54" w:rsidRDefault="006D1B54" w:rsidP="00AF3768">
            <w:pPr>
              <w:rPr>
                <w:sz w:val="20"/>
                <w:szCs w:val="20"/>
              </w:rPr>
            </w:pPr>
            <w:r w:rsidRPr="006D1B54">
              <w:rPr>
                <w:sz w:val="20"/>
                <w:szCs w:val="20"/>
              </w:rPr>
              <w:t>5.57</w:t>
            </w:r>
          </w:p>
        </w:tc>
        <w:tc>
          <w:tcPr>
            <w:tcW w:w="851" w:type="dxa"/>
          </w:tcPr>
          <w:p w14:paraId="14517648" w14:textId="77777777" w:rsidR="006D1B54" w:rsidRPr="006D1B54" w:rsidRDefault="006D1B54" w:rsidP="00AF3768">
            <w:pPr>
              <w:rPr>
                <w:sz w:val="20"/>
                <w:szCs w:val="20"/>
              </w:rPr>
            </w:pPr>
            <w:r w:rsidRPr="006D1B54">
              <w:rPr>
                <w:sz w:val="20"/>
                <w:szCs w:val="20"/>
              </w:rPr>
              <w:t>0.270</w:t>
            </w:r>
          </w:p>
        </w:tc>
        <w:tc>
          <w:tcPr>
            <w:tcW w:w="850" w:type="dxa"/>
          </w:tcPr>
          <w:p w14:paraId="143351F8" w14:textId="77777777" w:rsidR="006D1B54" w:rsidRPr="006D1B54" w:rsidRDefault="006D1B54" w:rsidP="00AF3768">
            <w:pPr>
              <w:rPr>
                <w:sz w:val="20"/>
                <w:szCs w:val="20"/>
              </w:rPr>
            </w:pPr>
            <w:r w:rsidRPr="006D1B54">
              <w:rPr>
                <w:sz w:val="20"/>
                <w:szCs w:val="20"/>
              </w:rPr>
              <w:t>0.26</w:t>
            </w:r>
          </w:p>
        </w:tc>
        <w:tc>
          <w:tcPr>
            <w:tcW w:w="851" w:type="dxa"/>
          </w:tcPr>
          <w:p w14:paraId="0FDC5836" w14:textId="77777777" w:rsidR="006D1B54" w:rsidRPr="006D1B54" w:rsidRDefault="006D1B54" w:rsidP="00AF3768">
            <w:pPr>
              <w:rPr>
                <w:sz w:val="20"/>
                <w:szCs w:val="20"/>
              </w:rPr>
            </w:pPr>
            <w:r w:rsidRPr="006D1B54">
              <w:rPr>
                <w:sz w:val="20"/>
                <w:szCs w:val="20"/>
              </w:rPr>
              <w:t>−15.45</w:t>
            </w:r>
          </w:p>
        </w:tc>
        <w:tc>
          <w:tcPr>
            <w:tcW w:w="850" w:type="dxa"/>
          </w:tcPr>
          <w:p w14:paraId="1330BD2D" w14:textId="77777777" w:rsidR="006D1B54" w:rsidRPr="006D1B54" w:rsidRDefault="006D1B54" w:rsidP="00AF3768">
            <w:pPr>
              <w:rPr>
                <w:sz w:val="20"/>
                <w:szCs w:val="20"/>
              </w:rPr>
            </w:pPr>
            <w:r w:rsidRPr="006D1B54">
              <w:rPr>
                <w:sz w:val="20"/>
                <w:szCs w:val="20"/>
              </w:rPr>
              <w:t>0.22</w:t>
            </w:r>
          </w:p>
        </w:tc>
        <w:tc>
          <w:tcPr>
            <w:tcW w:w="974" w:type="dxa"/>
          </w:tcPr>
          <w:p w14:paraId="4FD62B9B" w14:textId="77777777" w:rsidR="006D1B54" w:rsidRPr="006D1B54" w:rsidRDefault="006D1B54" w:rsidP="00AF3768">
            <w:pPr>
              <w:rPr>
                <w:sz w:val="20"/>
                <w:szCs w:val="20"/>
              </w:rPr>
            </w:pPr>
            <w:r w:rsidRPr="006D1B54">
              <w:rPr>
                <w:sz w:val="20"/>
                <w:szCs w:val="20"/>
              </w:rPr>
              <w:t>−3.85</w:t>
            </w:r>
          </w:p>
        </w:tc>
        <w:tc>
          <w:tcPr>
            <w:tcW w:w="744" w:type="dxa"/>
          </w:tcPr>
          <w:p w14:paraId="6653C55A" w14:textId="77777777" w:rsidR="006D1B54" w:rsidRPr="006D1B54" w:rsidRDefault="006D1B54" w:rsidP="00AF3768">
            <w:pPr>
              <w:rPr>
                <w:sz w:val="20"/>
                <w:szCs w:val="20"/>
              </w:rPr>
            </w:pPr>
            <w:r w:rsidRPr="006D1B54">
              <w:rPr>
                <w:sz w:val="20"/>
                <w:szCs w:val="20"/>
              </w:rPr>
              <w:t>75.0</w:t>
            </w:r>
          </w:p>
        </w:tc>
      </w:tr>
      <w:tr w:rsidR="006D1B54" w14:paraId="4B0A95F1" w14:textId="77777777" w:rsidTr="006848FB">
        <w:trPr>
          <w:jc w:val="center"/>
        </w:trPr>
        <w:tc>
          <w:tcPr>
            <w:tcW w:w="2566" w:type="dxa"/>
          </w:tcPr>
          <w:p w14:paraId="0CFFC725" w14:textId="77777777" w:rsidR="006D1B54" w:rsidRPr="006D1B54" w:rsidRDefault="006D1B54" w:rsidP="00AF3768">
            <w:pPr>
              <w:rPr>
                <w:b/>
                <w:bCs/>
                <w:sz w:val="20"/>
                <w:szCs w:val="20"/>
              </w:rPr>
            </w:pPr>
            <w:r w:rsidRPr="006D1B54">
              <w:rPr>
                <w:b/>
                <w:bCs/>
                <w:sz w:val="20"/>
                <w:szCs w:val="20"/>
              </w:rPr>
              <w:t>Benchmark Markowitz min-variance</w:t>
            </w:r>
          </w:p>
        </w:tc>
        <w:tc>
          <w:tcPr>
            <w:tcW w:w="850" w:type="dxa"/>
          </w:tcPr>
          <w:p w14:paraId="4B878C9D" w14:textId="77777777" w:rsidR="006D1B54" w:rsidRPr="006D1B54" w:rsidRDefault="006D1B54" w:rsidP="00AF3768">
            <w:pPr>
              <w:rPr>
                <w:sz w:val="20"/>
                <w:szCs w:val="20"/>
              </w:rPr>
            </w:pPr>
            <w:r w:rsidRPr="006D1B54">
              <w:rPr>
                <w:sz w:val="20"/>
                <w:szCs w:val="20"/>
              </w:rPr>
              <w:t>14.6</w:t>
            </w:r>
          </w:p>
        </w:tc>
        <w:tc>
          <w:tcPr>
            <w:tcW w:w="851" w:type="dxa"/>
          </w:tcPr>
          <w:p w14:paraId="2A2A4964" w14:textId="77777777" w:rsidR="006D1B54" w:rsidRPr="006D1B54" w:rsidRDefault="006D1B54" w:rsidP="00AF3768">
            <w:pPr>
              <w:rPr>
                <w:sz w:val="20"/>
                <w:szCs w:val="20"/>
              </w:rPr>
            </w:pPr>
            <w:r w:rsidRPr="006D1B54">
              <w:rPr>
                <w:sz w:val="20"/>
                <w:szCs w:val="20"/>
              </w:rPr>
              <w:t>1.99</w:t>
            </w:r>
          </w:p>
        </w:tc>
        <w:tc>
          <w:tcPr>
            <w:tcW w:w="850" w:type="dxa"/>
          </w:tcPr>
          <w:p w14:paraId="334E3973" w14:textId="77777777" w:rsidR="006D1B54" w:rsidRPr="006D1B54" w:rsidRDefault="006D1B54" w:rsidP="00AF3768">
            <w:pPr>
              <w:rPr>
                <w:sz w:val="20"/>
                <w:szCs w:val="20"/>
              </w:rPr>
            </w:pPr>
            <w:r w:rsidRPr="006D1B54">
              <w:rPr>
                <w:sz w:val="20"/>
                <w:szCs w:val="20"/>
              </w:rPr>
              <w:t>1.68</w:t>
            </w:r>
          </w:p>
        </w:tc>
        <w:tc>
          <w:tcPr>
            <w:tcW w:w="851" w:type="dxa"/>
          </w:tcPr>
          <w:p w14:paraId="5AFECC7D" w14:textId="77777777" w:rsidR="006D1B54" w:rsidRPr="006D1B54" w:rsidRDefault="006D1B54" w:rsidP="00AF3768">
            <w:pPr>
              <w:rPr>
                <w:sz w:val="20"/>
                <w:szCs w:val="20"/>
              </w:rPr>
            </w:pPr>
            <w:r w:rsidRPr="006D1B54">
              <w:rPr>
                <w:sz w:val="20"/>
                <w:szCs w:val="20"/>
              </w:rPr>
              <w:t>−0.01</w:t>
            </w:r>
          </w:p>
        </w:tc>
        <w:tc>
          <w:tcPr>
            <w:tcW w:w="850" w:type="dxa"/>
          </w:tcPr>
          <w:p w14:paraId="7BF7BDD5" w14:textId="77777777" w:rsidR="006D1B54" w:rsidRPr="006D1B54" w:rsidRDefault="006D1B54" w:rsidP="00AF3768">
            <w:pPr>
              <w:rPr>
                <w:sz w:val="20"/>
                <w:szCs w:val="20"/>
              </w:rPr>
            </w:pPr>
            <w:r w:rsidRPr="006D1B54">
              <w:rPr>
                <w:sz w:val="20"/>
                <w:szCs w:val="20"/>
              </w:rPr>
              <w:t>0.00</w:t>
            </w:r>
          </w:p>
        </w:tc>
        <w:tc>
          <w:tcPr>
            <w:tcW w:w="851" w:type="dxa"/>
          </w:tcPr>
          <w:p w14:paraId="6A3AA031" w14:textId="77777777" w:rsidR="006D1B54" w:rsidRPr="006D1B54" w:rsidRDefault="006D1B54" w:rsidP="00AF3768">
            <w:pPr>
              <w:rPr>
                <w:sz w:val="20"/>
                <w:szCs w:val="20"/>
              </w:rPr>
            </w:pPr>
            <w:r w:rsidRPr="006D1B54">
              <w:rPr>
                <w:sz w:val="20"/>
                <w:szCs w:val="20"/>
              </w:rPr>
              <w:t>−5.18</w:t>
            </w:r>
          </w:p>
        </w:tc>
        <w:tc>
          <w:tcPr>
            <w:tcW w:w="850" w:type="dxa"/>
          </w:tcPr>
          <w:p w14:paraId="662075E7" w14:textId="77777777" w:rsidR="006D1B54" w:rsidRPr="006D1B54" w:rsidRDefault="006D1B54" w:rsidP="00AF3768">
            <w:pPr>
              <w:rPr>
                <w:sz w:val="20"/>
                <w:szCs w:val="20"/>
              </w:rPr>
            </w:pPr>
            <w:r w:rsidRPr="006D1B54">
              <w:rPr>
                <w:sz w:val="20"/>
                <w:szCs w:val="20"/>
              </w:rPr>
              <w:t>0.39</w:t>
            </w:r>
          </w:p>
        </w:tc>
        <w:tc>
          <w:tcPr>
            <w:tcW w:w="974" w:type="dxa"/>
          </w:tcPr>
          <w:p w14:paraId="065813A9" w14:textId="77777777" w:rsidR="006D1B54" w:rsidRPr="006D1B54" w:rsidRDefault="006D1B54" w:rsidP="00AF3768">
            <w:pPr>
              <w:rPr>
                <w:sz w:val="20"/>
                <w:szCs w:val="20"/>
              </w:rPr>
            </w:pPr>
            <w:r w:rsidRPr="006D1B54">
              <w:rPr>
                <w:sz w:val="20"/>
                <w:szCs w:val="20"/>
              </w:rPr>
              <w:t>−1.30</w:t>
            </w:r>
          </w:p>
        </w:tc>
        <w:tc>
          <w:tcPr>
            <w:tcW w:w="744" w:type="dxa"/>
          </w:tcPr>
          <w:p w14:paraId="7BF6EDB8" w14:textId="77777777" w:rsidR="006D1B54" w:rsidRPr="006D1B54" w:rsidRDefault="006D1B54" w:rsidP="00AF3768">
            <w:pPr>
              <w:rPr>
                <w:sz w:val="20"/>
                <w:szCs w:val="20"/>
              </w:rPr>
            </w:pPr>
            <w:r w:rsidRPr="006D1B54">
              <w:rPr>
                <w:sz w:val="20"/>
                <w:szCs w:val="20"/>
              </w:rPr>
              <w:t>49.4</w:t>
            </w:r>
          </w:p>
        </w:tc>
      </w:tr>
    </w:tbl>
    <w:p w14:paraId="7027202E" w14:textId="5937A419" w:rsidR="006D1B54" w:rsidRDefault="006D1B54" w:rsidP="006D1B54">
      <w:r>
        <w:t>PSR = Probabilistic Sharpe Ratio (probability the true Sharpe exceeds zero, adjusted for non-normality</w:t>
      </w:r>
      <w:r>
        <w:t xml:space="preserve"> </w:t>
      </w:r>
      <w:r>
        <w:t>and sample length).</w:t>
      </w:r>
    </w:p>
    <w:p w14:paraId="3DE84016" w14:textId="251EB9EA" w:rsidR="008318B7" w:rsidRPr="00B32C69" w:rsidRDefault="00F14A6A" w:rsidP="00B32C69">
      <w:pPr>
        <w:ind w:firstLine="720"/>
        <w:rPr>
          <w:lang w:val="en-GB"/>
        </w:rPr>
      </w:pPr>
      <w:r w:rsidRPr="00F14A6A">
        <w:rPr>
          <w:lang w:val="en-GB"/>
        </w:rPr>
        <w:t>Table 6.2 reports four further risk ratios. Treynor is annualised excess return per unit of market</w:t>
      </w:r>
      <w:r>
        <w:rPr>
          <w:lang w:val="en-GB"/>
        </w:rPr>
        <w:t>. D</w:t>
      </w:r>
      <w:r w:rsidRPr="00F14A6A">
        <w:rPr>
          <w:lang w:val="en-GB"/>
        </w:rPr>
        <w:t>ownside deviation is the annualised dispersion of below-zero</w:t>
      </w:r>
      <w:r>
        <w:rPr>
          <w:lang w:val="en-GB"/>
        </w:rPr>
        <w:t xml:space="preserve"> </w:t>
      </w:r>
      <w:r w:rsidRPr="00F14A6A">
        <w:rPr>
          <w:lang w:val="en-GB"/>
        </w:rPr>
        <w:t>monthly returns</w:t>
      </w:r>
      <w:r>
        <w:rPr>
          <w:lang w:val="en-GB"/>
        </w:rPr>
        <w:t>. T</w:t>
      </w:r>
      <w:r w:rsidRPr="00F14A6A">
        <w:rPr>
          <w:lang w:val="en-GB"/>
        </w:rPr>
        <w:t>he pain ratio is annualised excess return</w:t>
      </w:r>
      <w:r>
        <w:rPr>
          <w:lang w:val="en-GB"/>
        </w:rPr>
        <w:t xml:space="preserve"> </w:t>
      </w:r>
      <w:r w:rsidRPr="00F14A6A">
        <w:rPr>
          <w:lang w:val="en-GB"/>
        </w:rPr>
        <w:t>divided by the average drawdown depth</w:t>
      </w:r>
      <w:r>
        <w:rPr>
          <w:lang w:val="en-GB"/>
        </w:rPr>
        <w:t>,</w:t>
      </w:r>
      <w:r w:rsidRPr="00F14A6A">
        <w:rPr>
          <w:lang w:val="en-GB"/>
        </w:rPr>
        <w:t xml:space="preserve"> the mean of the underwater curve rewarding strategies that</w:t>
      </w:r>
      <w:r>
        <w:rPr>
          <w:lang w:val="en-GB"/>
        </w:rPr>
        <w:t xml:space="preserve"> </w:t>
      </w:r>
      <w:r w:rsidRPr="00F14A6A">
        <w:rPr>
          <w:lang w:val="en-GB"/>
        </w:rPr>
        <w:t>spend little time and depth below their peak</w:t>
      </w:r>
      <w:r>
        <w:rPr>
          <w:lang w:val="en-GB"/>
        </w:rPr>
        <w:t xml:space="preserve">. </w:t>
      </w:r>
      <w:r w:rsidRPr="00F14A6A">
        <w:rPr>
          <w:lang w:val="en-GB"/>
        </w:rPr>
        <w:t>MAD is the mean absolute deviation of monthly</w:t>
      </w:r>
      <w:r>
        <w:rPr>
          <w:lang w:val="en-GB"/>
        </w:rPr>
        <w:t xml:space="preserve"> </w:t>
      </w:r>
      <w:r w:rsidRPr="00F14A6A">
        <w:rPr>
          <w:lang w:val="en-GB"/>
        </w:rPr>
        <w:t xml:space="preserve">returns, a fat-tail-robust dispersion measure. All four move monotonically as the overlay engages: </w:t>
      </w:r>
      <w:r>
        <w:rPr>
          <w:lang w:val="en-GB"/>
        </w:rPr>
        <w:t>d</w:t>
      </w:r>
      <w:r w:rsidRPr="00F14A6A">
        <w:rPr>
          <w:rFonts w:hint="eastAsia"/>
          <w:lang w:val="en-GB"/>
        </w:rPr>
        <w:t xml:space="preserve">ownside deviation and MAD roughly halve, while Treynor (15.5 </w:t>
      </w:r>
      <w:r>
        <w:rPr>
          <w:lang w:val="en-GB"/>
        </w:rPr>
        <w:t xml:space="preserve">- </w:t>
      </w:r>
      <w:r w:rsidRPr="00F14A6A">
        <w:rPr>
          <w:rFonts w:hint="eastAsia"/>
          <w:lang w:val="en-GB"/>
        </w:rPr>
        <w:t xml:space="preserve">24.6) and the pain ratio (1.55 </w:t>
      </w:r>
      <w:r>
        <w:rPr>
          <w:lang w:val="en-GB"/>
        </w:rPr>
        <w:t>-</w:t>
      </w:r>
      <w:r w:rsidRPr="00F14A6A">
        <w:rPr>
          <w:rFonts w:hint="eastAsia"/>
          <w:lang w:val="en-GB"/>
        </w:rPr>
        <w:t xml:space="preserve"> 4.47) rise sharply. The combined arm earns the most return per</w:t>
      </w:r>
      <w:r>
        <w:rPr>
          <w:lang w:val="en-GB"/>
        </w:rPr>
        <w:t xml:space="preserve"> </w:t>
      </w:r>
      <w:r w:rsidRPr="00F14A6A">
        <w:rPr>
          <w:lang w:val="en-GB"/>
        </w:rPr>
        <w:t xml:space="preserve">unit of market risk and per unit of drawdown pain, and dominates the 1/N benchmark on </w:t>
      </w:r>
      <w:proofErr w:type="spellStart"/>
      <w:r w:rsidRPr="00F14A6A">
        <w:rPr>
          <w:lang w:val="en-GB"/>
        </w:rPr>
        <w:t>every one</w:t>
      </w:r>
      <w:proofErr w:type="spellEnd"/>
      <w:r w:rsidRPr="00F14A6A">
        <w:rPr>
          <w:lang w:val="en-GB"/>
        </w:rPr>
        <w:t>.</w:t>
      </w:r>
    </w:p>
    <w:p w14:paraId="7DF92952" w14:textId="0AE0F6E8" w:rsidR="00F14A6A" w:rsidRPr="00F14A6A" w:rsidRDefault="00F14A6A" w:rsidP="00F14A6A">
      <w:pPr>
        <w:rPr>
          <w:lang w:val="en-GB"/>
        </w:rPr>
      </w:pPr>
      <w:r w:rsidRPr="00F14A6A">
        <w:rPr>
          <w:lang w:val="en-GB"/>
        </w:rPr>
        <w:t xml:space="preserve">Table 6.2 </w:t>
      </w:r>
      <w:r w:rsidR="00721657">
        <w:rPr>
          <w:lang w:val="en-GB"/>
        </w:rPr>
        <w:t xml:space="preserve">- </w:t>
      </w:r>
      <w:r w:rsidRPr="00F14A6A">
        <w:rPr>
          <w:lang w:val="en-GB"/>
        </w:rPr>
        <w:t>Additional risk ratios.</w:t>
      </w:r>
    </w:p>
    <w:tbl>
      <w:tblPr>
        <w:tblStyle w:val="TableGrid"/>
        <w:tblW w:w="0" w:type="auto"/>
        <w:jc w:val="center"/>
        <w:tblLook w:val="04A0" w:firstRow="1" w:lastRow="0" w:firstColumn="1" w:lastColumn="0" w:noHBand="0" w:noVBand="1"/>
      </w:tblPr>
      <w:tblGrid>
        <w:gridCol w:w="2804"/>
        <w:gridCol w:w="1440"/>
        <w:gridCol w:w="1440"/>
        <w:gridCol w:w="1440"/>
        <w:gridCol w:w="1440"/>
      </w:tblGrid>
      <w:tr w:rsidR="00F14A6A" w:rsidRPr="00F14A6A" w14:paraId="19621EBE" w14:textId="77777777" w:rsidTr="00F14A6A">
        <w:trPr>
          <w:jc w:val="center"/>
        </w:trPr>
        <w:tc>
          <w:tcPr>
            <w:tcW w:w="2804" w:type="dxa"/>
          </w:tcPr>
          <w:p w14:paraId="5AB31DE8" w14:textId="77777777" w:rsidR="00F14A6A" w:rsidRPr="00F14A6A" w:rsidRDefault="00F14A6A" w:rsidP="00AF3768">
            <w:pPr>
              <w:rPr>
                <w:lang w:val="en-GB"/>
              </w:rPr>
            </w:pPr>
            <w:r w:rsidRPr="00F14A6A">
              <w:rPr>
                <w:lang w:val="en-GB"/>
              </w:rPr>
              <w:t>Strategy</w:t>
            </w:r>
          </w:p>
        </w:tc>
        <w:tc>
          <w:tcPr>
            <w:tcW w:w="1440" w:type="dxa"/>
          </w:tcPr>
          <w:p w14:paraId="2504891B" w14:textId="77777777" w:rsidR="00F14A6A" w:rsidRPr="00F14A6A" w:rsidRDefault="00F14A6A" w:rsidP="00AF3768">
            <w:pPr>
              <w:rPr>
                <w:lang w:val="en-GB"/>
              </w:rPr>
            </w:pPr>
            <w:r w:rsidRPr="00F14A6A">
              <w:rPr>
                <w:lang w:val="en-GB"/>
              </w:rPr>
              <w:t>Treynor %</w:t>
            </w:r>
          </w:p>
        </w:tc>
        <w:tc>
          <w:tcPr>
            <w:tcW w:w="1440" w:type="dxa"/>
          </w:tcPr>
          <w:p w14:paraId="3A0C9239" w14:textId="77777777" w:rsidR="00F14A6A" w:rsidRPr="00F14A6A" w:rsidRDefault="00F14A6A" w:rsidP="00AF3768">
            <w:pPr>
              <w:rPr>
                <w:lang w:val="en-GB"/>
              </w:rPr>
            </w:pPr>
            <w:r w:rsidRPr="00F14A6A">
              <w:rPr>
                <w:lang w:val="en-GB"/>
              </w:rPr>
              <w:t>Downside dev % (ann.)</w:t>
            </w:r>
          </w:p>
        </w:tc>
        <w:tc>
          <w:tcPr>
            <w:tcW w:w="1440" w:type="dxa"/>
          </w:tcPr>
          <w:p w14:paraId="0F525E24" w14:textId="77777777" w:rsidR="00F14A6A" w:rsidRPr="00F14A6A" w:rsidRDefault="00F14A6A" w:rsidP="00AF3768">
            <w:pPr>
              <w:rPr>
                <w:lang w:val="en-GB"/>
              </w:rPr>
            </w:pPr>
            <w:r w:rsidRPr="00F14A6A">
              <w:rPr>
                <w:lang w:val="en-GB"/>
              </w:rPr>
              <w:t>Pain ratio</w:t>
            </w:r>
          </w:p>
        </w:tc>
        <w:tc>
          <w:tcPr>
            <w:tcW w:w="1440" w:type="dxa"/>
          </w:tcPr>
          <w:p w14:paraId="65F23EDA" w14:textId="77777777" w:rsidR="00F14A6A" w:rsidRPr="00F14A6A" w:rsidRDefault="00F14A6A" w:rsidP="00AF3768">
            <w:pPr>
              <w:rPr>
                <w:lang w:val="en-GB"/>
              </w:rPr>
            </w:pPr>
            <w:r w:rsidRPr="00F14A6A">
              <w:rPr>
                <w:lang w:val="en-GB"/>
              </w:rPr>
              <w:t>MAD % (monthly)</w:t>
            </w:r>
          </w:p>
        </w:tc>
      </w:tr>
      <w:tr w:rsidR="00F14A6A" w:rsidRPr="00F14A6A" w14:paraId="42FD82EC" w14:textId="77777777" w:rsidTr="00F14A6A">
        <w:trPr>
          <w:jc w:val="center"/>
        </w:trPr>
        <w:tc>
          <w:tcPr>
            <w:tcW w:w="2804" w:type="dxa"/>
          </w:tcPr>
          <w:p w14:paraId="644227ED" w14:textId="77777777" w:rsidR="00F14A6A" w:rsidRPr="00F14A6A" w:rsidRDefault="00F14A6A" w:rsidP="00AF3768">
            <w:pPr>
              <w:rPr>
                <w:lang w:val="en-GB"/>
              </w:rPr>
            </w:pPr>
            <w:r w:rsidRPr="00F14A6A">
              <w:rPr>
                <w:lang w:val="en-GB"/>
              </w:rPr>
              <w:t>Static allocator</w:t>
            </w:r>
          </w:p>
        </w:tc>
        <w:tc>
          <w:tcPr>
            <w:tcW w:w="1440" w:type="dxa"/>
          </w:tcPr>
          <w:p w14:paraId="5587E01A" w14:textId="77777777" w:rsidR="00F14A6A" w:rsidRPr="00F14A6A" w:rsidRDefault="00F14A6A" w:rsidP="00AF3768">
            <w:pPr>
              <w:rPr>
                <w:lang w:val="en-GB"/>
              </w:rPr>
            </w:pPr>
            <w:r w:rsidRPr="00F14A6A">
              <w:rPr>
                <w:lang w:val="en-GB"/>
              </w:rPr>
              <w:t>15.5</w:t>
            </w:r>
          </w:p>
        </w:tc>
        <w:tc>
          <w:tcPr>
            <w:tcW w:w="1440" w:type="dxa"/>
          </w:tcPr>
          <w:p w14:paraId="58AD3217" w14:textId="77777777" w:rsidR="00F14A6A" w:rsidRPr="00F14A6A" w:rsidRDefault="00F14A6A" w:rsidP="00AF3768">
            <w:pPr>
              <w:rPr>
                <w:lang w:val="en-GB"/>
              </w:rPr>
            </w:pPr>
            <w:r w:rsidRPr="00F14A6A">
              <w:rPr>
                <w:lang w:val="en-GB"/>
              </w:rPr>
              <w:t>8.04</w:t>
            </w:r>
          </w:p>
        </w:tc>
        <w:tc>
          <w:tcPr>
            <w:tcW w:w="1440" w:type="dxa"/>
          </w:tcPr>
          <w:p w14:paraId="076784BC" w14:textId="77777777" w:rsidR="00F14A6A" w:rsidRPr="00F14A6A" w:rsidRDefault="00F14A6A" w:rsidP="00AF3768">
            <w:pPr>
              <w:rPr>
                <w:lang w:val="en-GB"/>
              </w:rPr>
            </w:pPr>
            <w:r w:rsidRPr="00F14A6A">
              <w:rPr>
                <w:lang w:val="en-GB"/>
              </w:rPr>
              <w:t>1.55</w:t>
            </w:r>
          </w:p>
        </w:tc>
        <w:tc>
          <w:tcPr>
            <w:tcW w:w="1440" w:type="dxa"/>
          </w:tcPr>
          <w:p w14:paraId="295BD4C0" w14:textId="77777777" w:rsidR="00F14A6A" w:rsidRPr="00F14A6A" w:rsidRDefault="00F14A6A" w:rsidP="00AF3768">
            <w:pPr>
              <w:rPr>
                <w:lang w:val="en-GB"/>
              </w:rPr>
            </w:pPr>
            <w:r w:rsidRPr="00F14A6A">
              <w:rPr>
                <w:lang w:val="en-GB"/>
              </w:rPr>
              <w:t>3.14</w:t>
            </w:r>
          </w:p>
        </w:tc>
      </w:tr>
      <w:tr w:rsidR="00F14A6A" w:rsidRPr="00F14A6A" w14:paraId="420D6F10" w14:textId="77777777" w:rsidTr="00F14A6A">
        <w:trPr>
          <w:jc w:val="center"/>
        </w:trPr>
        <w:tc>
          <w:tcPr>
            <w:tcW w:w="2804" w:type="dxa"/>
          </w:tcPr>
          <w:p w14:paraId="129461EB" w14:textId="77777777" w:rsidR="00F14A6A" w:rsidRPr="00F14A6A" w:rsidRDefault="00F14A6A" w:rsidP="00AF3768">
            <w:pPr>
              <w:rPr>
                <w:lang w:val="en-GB"/>
              </w:rPr>
            </w:pPr>
            <w:r w:rsidRPr="00F14A6A">
              <w:rPr>
                <w:lang w:val="en-GB"/>
              </w:rPr>
              <w:t>Dynamic base</w:t>
            </w:r>
          </w:p>
        </w:tc>
        <w:tc>
          <w:tcPr>
            <w:tcW w:w="1440" w:type="dxa"/>
          </w:tcPr>
          <w:p w14:paraId="186BCD25" w14:textId="77777777" w:rsidR="00F14A6A" w:rsidRPr="00F14A6A" w:rsidRDefault="00F14A6A" w:rsidP="00AF3768">
            <w:pPr>
              <w:rPr>
                <w:lang w:val="en-GB"/>
              </w:rPr>
            </w:pPr>
            <w:r w:rsidRPr="00F14A6A">
              <w:rPr>
                <w:lang w:val="en-GB"/>
              </w:rPr>
              <w:t>17.3</w:t>
            </w:r>
          </w:p>
        </w:tc>
        <w:tc>
          <w:tcPr>
            <w:tcW w:w="1440" w:type="dxa"/>
          </w:tcPr>
          <w:p w14:paraId="7AA9D117" w14:textId="77777777" w:rsidR="00F14A6A" w:rsidRPr="00F14A6A" w:rsidRDefault="00F14A6A" w:rsidP="00AF3768">
            <w:pPr>
              <w:rPr>
                <w:lang w:val="en-GB"/>
              </w:rPr>
            </w:pPr>
            <w:r w:rsidRPr="00F14A6A">
              <w:rPr>
                <w:lang w:val="en-GB"/>
              </w:rPr>
              <w:t>8.20</w:t>
            </w:r>
          </w:p>
        </w:tc>
        <w:tc>
          <w:tcPr>
            <w:tcW w:w="1440" w:type="dxa"/>
          </w:tcPr>
          <w:p w14:paraId="5FC75896" w14:textId="77777777" w:rsidR="00F14A6A" w:rsidRPr="00F14A6A" w:rsidRDefault="00F14A6A" w:rsidP="00AF3768">
            <w:pPr>
              <w:rPr>
                <w:lang w:val="en-GB"/>
              </w:rPr>
            </w:pPr>
            <w:r w:rsidRPr="00F14A6A">
              <w:rPr>
                <w:lang w:val="en-GB"/>
              </w:rPr>
              <w:t>2.50</w:t>
            </w:r>
          </w:p>
        </w:tc>
        <w:tc>
          <w:tcPr>
            <w:tcW w:w="1440" w:type="dxa"/>
          </w:tcPr>
          <w:p w14:paraId="7D9E6ECB" w14:textId="77777777" w:rsidR="00F14A6A" w:rsidRPr="00F14A6A" w:rsidRDefault="00F14A6A" w:rsidP="00AF3768">
            <w:pPr>
              <w:rPr>
                <w:lang w:val="en-GB"/>
              </w:rPr>
            </w:pPr>
            <w:r w:rsidRPr="00F14A6A">
              <w:rPr>
                <w:lang w:val="en-GB"/>
              </w:rPr>
              <w:t>3.20</w:t>
            </w:r>
          </w:p>
        </w:tc>
      </w:tr>
      <w:tr w:rsidR="00F14A6A" w:rsidRPr="00F14A6A" w14:paraId="10A6C911" w14:textId="77777777" w:rsidTr="00F14A6A">
        <w:trPr>
          <w:jc w:val="center"/>
        </w:trPr>
        <w:tc>
          <w:tcPr>
            <w:tcW w:w="2804" w:type="dxa"/>
          </w:tcPr>
          <w:p w14:paraId="186A8278" w14:textId="77777777" w:rsidR="00F14A6A" w:rsidRPr="00F14A6A" w:rsidRDefault="00F14A6A" w:rsidP="00AF3768">
            <w:pPr>
              <w:rPr>
                <w:lang w:val="en-GB"/>
              </w:rPr>
            </w:pPr>
            <w:r w:rsidRPr="00F14A6A">
              <w:rPr>
                <w:lang w:val="en-GB"/>
              </w:rPr>
              <w:t>+ Realized-vol overlay</w:t>
            </w:r>
          </w:p>
        </w:tc>
        <w:tc>
          <w:tcPr>
            <w:tcW w:w="1440" w:type="dxa"/>
          </w:tcPr>
          <w:p w14:paraId="51F6A49C" w14:textId="77777777" w:rsidR="00F14A6A" w:rsidRPr="00F14A6A" w:rsidRDefault="00F14A6A" w:rsidP="00AF3768">
            <w:pPr>
              <w:rPr>
                <w:lang w:val="en-GB"/>
              </w:rPr>
            </w:pPr>
            <w:r w:rsidRPr="00F14A6A">
              <w:rPr>
                <w:lang w:val="en-GB"/>
              </w:rPr>
              <w:t>22.4</w:t>
            </w:r>
          </w:p>
        </w:tc>
        <w:tc>
          <w:tcPr>
            <w:tcW w:w="1440" w:type="dxa"/>
          </w:tcPr>
          <w:p w14:paraId="7E15E510" w14:textId="77777777" w:rsidR="00F14A6A" w:rsidRPr="00F14A6A" w:rsidRDefault="00F14A6A" w:rsidP="00AF3768">
            <w:pPr>
              <w:rPr>
                <w:lang w:val="en-GB"/>
              </w:rPr>
            </w:pPr>
            <w:r w:rsidRPr="00F14A6A">
              <w:rPr>
                <w:lang w:val="en-GB"/>
              </w:rPr>
              <w:t>5.53</w:t>
            </w:r>
          </w:p>
        </w:tc>
        <w:tc>
          <w:tcPr>
            <w:tcW w:w="1440" w:type="dxa"/>
          </w:tcPr>
          <w:p w14:paraId="29018256" w14:textId="77777777" w:rsidR="00F14A6A" w:rsidRPr="00F14A6A" w:rsidRDefault="00F14A6A" w:rsidP="00AF3768">
            <w:pPr>
              <w:rPr>
                <w:lang w:val="en-GB"/>
              </w:rPr>
            </w:pPr>
            <w:r w:rsidRPr="00F14A6A">
              <w:rPr>
                <w:lang w:val="en-GB"/>
              </w:rPr>
              <w:t>3.17</w:t>
            </w:r>
          </w:p>
        </w:tc>
        <w:tc>
          <w:tcPr>
            <w:tcW w:w="1440" w:type="dxa"/>
          </w:tcPr>
          <w:p w14:paraId="39F1E9E5" w14:textId="77777777" w:rsidR="00F14A6A" w:rsidRPr="00F14A6A" w:rsidRDefault="00F14A6A" w:rsidP="00AF3768">
            <w:pPr>
              <w:rPr>
                <w:lang w:val="en-GB"/>
              </w:rPr>
            </w:pPr>
            <w:r w:rsidRPr="00F14A6A">
              <w:rPr>
                <w:lang w:val="en-GB"/>
              </w:rPr>
              <w:t>2.40</w:t>
            </w:r>
          </w:p>
        </w:tc>
      </w:tr>
      <w:tr w:rsidR="00F14A6A" w:rsidRPr="00F14A6A" w14:paraId="391FE437" w14:textId="77777777" w:rsidTr="00F14A6A">
        <w:trPr>
          <w:jc w:val="center"/>
        </w:trPr>
        <w:tc>
          <w:tcPr>
            <w:tcW w:w="2804" w:type="dxa"/>
          </w:tcPr>
          <w:p w14:paraId="697C409A" w14:textId="77777777" w:rsidR="00F14A6A" w:rsidRPr="00F14A6A" w:rsidRDefault="00F14A6A" w:rsidP="00AF3768">
            <w:pPr>
              <w:rPr>
                <w:lang w:val="en-GB"/>
              </w:rPr>
            </w:pPr>
            <w:r w:rsidRPr="00F14A6A">
              <w:rPr>
                <w:lang w:val="en-GB"/>
              </w:rPr>
              <w:t>+ Model-CVaR overlay</w:t>
            </w:r>
          </w:p>
        </w:tc>
        <w:tc>
          <w:tcPr>
            <w:tcW w:w="1440" w:type="dxa"/>
          </w:tcPr>
          <w:p w14:paraId="1FD468E7" w14:textId="77777777" w:rsidR="00F14A6A" w:rsidRPr="00F14A6A" w:rsidRDefault="00F14A6A" w:rsidP="00AF3768">
            <w:pPr>
              <w:rPr>
                <w:lang w:val="en-GB"/>
              </w:rPr>
            </w:pPr>
            <w:r w:rsidRPr="00F14A6A">
              <w:rPr>
                <w:lang w:val="en-GB"/>
              </w:rPr>
              <w:t>18.8</w:t>
            </w:r>
          </w:p>
        </w:tc>
        <w:tc>
          <w:tcPr>
            <w:tcW w:w="1440" w:type="dxa"/>
          </w:tcPr>
          <w:p w14:paraId="32C91FEA" w14:textId="77777777" w:rsidR="00F14A6A" w:rsidRPr="00F14A6A" w:rsidRDefault="00F14A6A" w:rsidP="00AF3768">
            <w:pPr>
              <w:rPr>
                <w:lang w:val="en-GB"/>
              </w:rPr>
            </w:pPr>
            <w:r w:rsidRPr="00F14A6A">
              <w:rPr>
                <w:lang w:val="en-GB"/>
              </w:rPr>
              <w:t>6.40</w:t>
            </w:r>
          </w:p>
        </w:tc>
        <w:tc>
          <w:tcPr>
            <w:tcW w:w="1440" w:type="dxa"/>
          </w:tcPr>
          <w:p w14:paraId="68DA1E1C" w14:textId="77777777" w:rsidR="00F14A6A" w:rsidRPr="00F14A6A" w:rsidRDefault="00F14A6A" w:rsidP="00AF3768">
            <w:pPr>
              <w:rPr>
                <w:lang w:val="en-GB"/>
              </w:rPr>
            </w:pPr>
            <w:r w:rsidRPr="00F14A6A">
              <w:rPr>
                <w:lang w:val="en-GB"/>
              </w:rPr>
              <w:t>3.64</w:t>
            </w:r>
          </w:p>
        </w:tc>
        <w:tc>
          <w:tcPr>
            <w:tcW w:w="1440" w:type="dxa"/>
          </w:tcPr>
          <w:p w14:paraId="12C20AAA" w14:textId="77777777" w:rsidR="00F14A6A" w:rsidRPr="00F14A6A" w:rsidRDefault="00F14A6A" w:rsidP="00AF3768">
            <w:pPr>
              <w:rPr>
                <w:lang w:val="en-GB"/>
              </w:rPr>
            </w:pPr>
            <w:r w:rsidRPr="00F14A6A">
              <w:rPr>
                <w:lang w:val="en-GB"/>
              </w:rPr>
              <w:t>2.50</w:t>
            </w:r>
          </w:p>
        </w:tc>
      </w:tr>
      <w:tr w:rsidR="00F14A6A" w:rsidRPr="00F14A6A" w14:paraId="2DAA938A" w14:textId="77777777" w:rsidTr="00F14A6A">
        <w:trPr>
          <w:jc w:val="center"/>
        </w:trPr>
        <w:tc>
          <w:tcPr>
            <w:tcW w:w="2804" w:type="dxa"/>
          </w:tcPr>
          <w:p w14:paraId="1782DE43" w14:textId="77777777" w:rsidR="00F14A6A" w:rsidRPr="00F14A6A" w:rsidRDefault="00F14A6A" w:rsidP="00AF3768">
            <w:pPr>
              <w:rPr>
                <w:lang w:val="en-GB"/>
              </w:rPr>
            </w:pPr>
            <w:r w:rsidRPr="00F14A6A">
              <w:rPr>
                <w:lang w:val="en-GB"/>
              </w:rPr>
              <w:t>+ Combined (managed)</w:t>
            </w:r>
          </w:p>
        </w:tc>
        <w:tc>
          <w:tcPr>
            <w:tcW w:w="1440" w:type="dxa"/>
          </w:tcPr>
          <w:p w14:paraId="079EE08D" w14:textId="77777777" w:rsidR="00F14A6A" w:rsidRPr="00F14A6A" w:rsidRDefault="00F14A6A" w:rsidP="00AF3768">
            <w:pPr>
              <w:rPr>
                <w:lang w:val="en-GB"/>
              </w:rPr>
            </w:pPr>
            <w:r w:rsidRPr="00F14A6A">
              <w:rPr>
                <w:lang w:val="en-GB"/>
              </w:rPr>
              <w:t>24.6</w:t>
            </w:r>
          </w:p>
        </w:tc>
        <w:tc>
          <w:tcPr>
            <w:tcW w:w="1440" w:type="dxa"/>
          </w:tcPr>
          <w:p w14:paraId="75193200" w14:textId="77777777" w:rsidR="00F14A6A" w:rsidRPr="00F14A6A" w:rsidRDefault="00F14A6A" w:rsidP="00AF3768">
            <w:pPr>
              <w:rPr>
                <w:lang w:val="en-GB"/>
              </w:rPr>
            </w:pPr>
            <w:r w:rsidRPr="00F14A6A">
              <w:rPr>
                <w:lang w:val="en-GB"/>
              </w:rPr>
              <w:t>4.28</w:t>
            </w:r>
          </w:p>
        </w:tc>
        <w:tc>
          <w:tcPr>
            <w:tcW w:w="1440" w:type="dxa"/>
          </w:tcPr>
          <w:p w14:paraId="62A00D5A" w14:textId="77777777" w:rsidR="00F14A6A" w:rsidRPr="00F14A6A" w:rsidRDefault="00F14A6A" w:rsidP="00AF3768">
            <w:pPr>
              <w:rPr>
                <w:lang w:val="en-GB"/>
              </w:rPr>
            </w:pPr>
            <w:r w:rsidRPr="00F14A6A">
              <w:rPr>
                <w:lang w:val="en-GB"/>
              </w:rPr>
              <w:t>4.47</w:t>
            </w:r>
          </w:p>
        </w:tc>
        <w:tc>
          <w:tcPr>
            <w:tcW w:w="1440" w:type="dxa"/>
          </w:tcPr>
          <w:p w14:paraId="312D3081" w14:textId="77777777" w:rsidR="00F14A6A" w:rsidRPr="00F14A6A" w:rsidRDefault="00F14A6A" w:rsidP="00AF3768">
            <w:pPr>
              <w:rPr>
                <w:lang w:val="en-GB"/>
              </w:rPr>
            </w:pPr>
            <w:r w:rsidRPr="00F14A6A">
              <w:rPr>
                <w:lang w:val="en-GB"/>
              </w:rPr>
              <w:t>1.92</w:t>
            </w:r>
          </w:p>
        </w:tc>
      </w:tr>
      <w:tr w:rsidR="00F14A6A" w:rsidRPr="00F14A6A" w14:paraId="3DC918A1" w14:textId="77777777" w:rsidTr="00F14A6A">
        <w:trPr>
          <w:jc w:val="center"/>
        </w:trPr>
        <w:tc>
          <w:tcPr>
            <w:tcW w:w="2804" w:type="dxa"/>
          </w:tcPr>
          <w:p w14:paraId="03EAE456" w14:textId="77777777" w:rsidR="00F14A6A" w:rsidRPr="00F14A6A" w:rsidRDefault="00F14A6A" w:rsidP="00AF3768">
            <w:pPr>
              <w:rPr>
                <w:lang w:val="en-GB"/>
              </w:rPr>
            </w:pPr>
            <w:r w:rsidRPr="00F14A6A">
              <w:rPr>
                <w:lang w:val="en-GB"/>
              </w:rPr>
              <w:t>Benchmark 1/N</w:t>
            </w:r>
          </w:p>
        </w:tc>
        <w:tc>
          <w:tcPr>
            <w:tcW w:w="1440" w:type="dxa"/>
          </w:tcPr>
          <w:p w14:paraId="597046E7" w14:textId="77777777" w:rsidR="00F14A6A" w:rsidRPr="00F14A6A" w:rsidRDefault="00F14A6A" w:rsidP="00AF3768">
            <w:pPr>
              <w:rPr>
                <w:lang w:val="en-GB"/>
              </w:rPr>
            </w:pPr>
            <w:r w:rsidRPr="00F14A6A">
              <w:rPr>
                <w:lang w:val="en-GB"/>
              </w:rPr>
              <w:t>11.0</w:t>
            </w:r>
          </w:p>
        </w:tc>
        <w:tc>
          <w:tcPr>
            <w:tcW w:w="1440" w:type="dxa"/>
          </w:tcPr>
          <w:p w14:paraId="435CF1AC" w14:textId="77777777" w:rsidR="00F14A6A" w:rsidRPr="00F14A6A" w:rsidRDefault="00F14A6A" w:rsidP="00AF3768">
            <w:pPr>
              <w:rPr>
                <w:lang w:val="en-GB"/>
              </w:rPr>
            </w:pPr>
            <w:r w:rsidRPr="00F14A6A">
              <w:rPr>
                <w:lang w:val="en-GB"/>
              </w:rPr>
              <w:t>9.27</w:t>
            </w:r>
          </w:p>
        </w:tc>
        <w:tc>
          <w:tcPr>
            <w:tcW w:w="1440" w:type="dxa"/>
          </w:tcPr>
          <w:p w14:paraId="5FB02095" w14:textId="77777777" w:rsidR="00F14A6A" w:rsidRPr="00F14A6A" w:rsidRDefault="00F14A6A" w:rsidP="00AF3768">
            <w:pPr>
              <w:rPr>
                <w:lang w:val="en-GB"/>
              </w:rPr>
            </w:pPr>
            <w:r w:rsidRPr="00F14A6A">
              <w:rPr>
                <w:lang w:val="en-GB"/>
              </w:rPr>
              <w:t>1.93</w:t>
            </w:r>
          </w:p>
        </w:tc>
        <w:tc>
          <w:tcPr>
            <w:tcW w:w="1440" w:type="dxa"/>
          </w:tcPr>
          <w:p w14:paraId="02DEF0D0" w14:textId="77777777" w:rsidR="00F14A6A" w:rsidRPr="00F14A6A" w:rsidRDefault="00F14A6A" w:rsidP="00AF3768">
            <w:pPr>
              <w:rPr>
                <w:lang w:val="en-GB"/>
              </w:rPr>
            </w:pPr>
            <w:r w:rsidRPr="00F14A6A">
              <w:rPr>
                <w:lang w:val="en-GB"/>
              </w:rPr>
              <w:t>3.14</w:t>
            </w:r>
          </w:p>
        </w:tc>
      </w:tr>
    </w:tbl>
    <w:p w14:paraId="6EB9BD4C" w14:textId="77777777" w:rsidR="00F14A6A" w:rsidRDefault="00F14A6A"/>
    <w:p w14:paraId="56726316" w14:textId="77777777" w:rsidR="00F14A6A" w:rsidRPr="00721657" w:rsidRDefault="00F14A6A" w:rsidP="00721657">
      <w:pPr>
        <w:spacing w:before="160" w:after="60"/>
        <w:rPr>
          <w:b/>
          <w:color w:val="163A5F"/>
          <w:sz w:val="25"/>
        </w:rPr>
      </w:pPr>
      <w:r w:rsidRPr="00721657">
        <w:rPr>
          <w:b/>
          <w:color w:val="163A5F"/>
          <w:sz w:val="25"/>
        </w:rPr>
        <w:t>Statistical significance</w:t>
      </w:r>
    </w:p>
    <w:p w14:paraId="0F973841" w14:textId="7BAA7C60" w:rsidR="00F14A6A" w:rsidRPr="00F14A6A" w:rsidRDefault="00F14A6A" w:rsidP="00626563">
      <w:pPr>
        <w:ind w:firstLine="720"/>
        <w:rPr>
          <w:lang w:val="en-GB"/>
        </w:rPr>
      </w:pPr>
      <w:r w:rsidRPr="00F14A6A">
        <w:rPr>
          <w:lang w:val="en-GB"/>
        </w:rPr>
        <w:t>The combined arm's improvements are tested with a paired stationary</w:t>
      </w:r>
      <w:r>
        <w:rPr>
          <w:lang w:val="en-GB"/>
        </w:rPr>
        <w:t xml:space="preserve"> </w:t>
      </w:r>
      <w:r w:rsidRPr="00F14A6A">
        <w:rPr>
          <w:lang w:val="en-GB"/>
        </w:rPr>
        <w:t>bootstrap (5,000 resamples) on the common months, and with the Deflated Sharpe Ratio (DSR), which</w:t>
      </w:r>
      <w:r>
        <w:rPr>
          <w:lang w:val="en-GB"/>
        </w:rPr>
        <w:t xml:space="preserve"> </w:t>
      </w:r>
      <w:r w:rsidRPr="00F14A6A">
        <w:rPr>
          <w:lang w:val="en-GB"/>
        </w:rPr>
        <w:t xml:space="preserve">discounts the observed Sharpe for multiple testing. </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F14A6A" w14:paraId="3CB04D8D" w14:textId="77777777" w:rsidTr="00AF3768">
        <w:trPr>
          <w:jc w:val="center"/>
        </w:trPr>
        <w:tc>
          <w:tcPr>
            <w:tcW w:w="1728" w:type="dxa"/>
          </w:tcPr>
          <w:p w14:paraId="7A59B638" w14:textId="77777777" w:rsidR="00F14A6A" w:rsidRPr="00F14A6A" w:rsidRDefault="00F14A6A" w:rsidP="00AF3768">
            <w:pPr>
              <w:rPr>
                <w:lang w:val="en-GB"/>
              </w:rPr>
            </w:pPr>
            <w:r w:rsidRPr="00F14A6A">
              <w:rPr>
                <w:lang w:val="en-GB"/>
              </w:rPr>
              <w:t>Comparison (treatment = Combined)</w:t>
            </w:r>
          </w:p>
        </w:tc>
        <w:tc>
          <w:tcPr>
            <w:tcW w:w="1728" w:type="dxa"/>
          </w:tcPr>
          <w:p w14:paraId="5EB08877" w14:textId="77777777" w:rsidR="00F14A6A" w:rsidRPr="00F14A6A" w:rsidRDefault="00F14A6A" w:rsidP="00AF3768">
            <w:pPr>
              <w:rPr>
                <w:lang w:val="en-GB"/>
              </w:rPr>
            </w:pPr>
            <w:r w:rsidRPr="00F14A6A">
              <w:rPr>
                <w:lang w:val="en-GB"/>
              </w:rPr>
              <w:t>Δ Sharpe</w:t>
            </w:r>
          </w:p>
        </w:tc>
        <w:tc>
          <w:tcPr>
            <w:tcW w:w="1728" w:type="dxa"/>
          </w:tcPr>
          <w:p w14:paraId="35701C77" w14:textId="77777777" w:rsidR="00F14A6A" w:rsidRPr="00F14A6A" w:rsidRDefault="00F14A6A" w:rsidP="00AF3768">
            <w:pPr>
              <w:rPr>
                <w:lang w:val="en-GB"/>
              </w:rPr>
            </w:pPr>
            <w:r w:rsidRPr="00F14A6A">
              <w:rPr>
                <w:lang w:val="en-GB"/>
              </w:rPr>
              <w:t>P(better)</w:t>
            </w:r>
          </w:p>
        </w:tc>
        <w:tc>
          <w:tcPr>
            <w:tcW w:w="1728" w:type="dxa"/>
          </w:tcPr>
          <w:p w14:paraId="2900D5E7" w14:textId="77777777" w:rsidR="00F14A6A" w:rsidRPr="00F14A6A" w:rsidRDefault="00F14A6A" w:rsidP="00AF3768">
            <w:pPr>
              <w:rPr>
                <w:lang w:val="en-GB"/>
              </w:rPr>
            </w:pPr>
            <w:r w:rsidRPr="00F14A6A">
              <w:rPr>
                <w:lang w:val="en-GB"/>
              </w:rPr>
              <w:t xml:space="preserve">Δ </w:t>
            </w:r>
            <w:proofErr w:type="spellStart"/>
            <w:r w:rsidRPr="00F14A6A">
              <w:rPr>
                <w:lang w:val="en-GB"/>
              </w:rPr>
              <w:t>MaxDD</w:t>
            </w:r>
            <w:proofErr w:type="spellEnd"/>
          </w:p>
        </w:tc>
        <w:tc>
          <w:tcPr>
            <w:tcW w:w="1728" w:type="dxa"/>
          </w:tcPr>
          <w:p w14:paraId="201ABC23" w14:textId="77777777" w:rsidR="00F14A6A" w:rsidRPr="00F14A6A" w:rsidRDefault="00F14A6A" w:rsidP="00AF3768">
            <w:pPr>
              <w:rPr>
                <w:lang w:val="en-GB"/>
              </w:rPr>
            </w:pPr>
            <w:r w:rsidRPr="00F14A6A">
              <w:rPr>
                <w:lang w:val="en-GB"/>
              </w:rPr>
              <w:t>P(shallower)</w:t>
            </w:r>
          </w:p>
        </w:tc>
      </w:tr>
      <w:tr w:rsidR="00F14A6A" w14:paraId="36A3CAB2" w14:textId="77777777" w:rsidTr="00AF3768">
        <w:trPr>
          <w:jc w:val="center"/>
        </w:trPr>
        <w:tc>
          <w:tcPr>
            <w:tcW w:w="1728" w:type="dxa"/>
          </w:tcPr>
          <w:p w14:paraId="529BF4F6" w14:textId="77777777" w:rsidR="00F14A6A" w:rsidRPr="00F14A6A" w:rsidRDefault="00F14A6A" w:rsidP="00AF3768">
            <w:pPr>
              <w:rPr>
                <w:lang w:val="en-GB"/>
              </w:rPr>
            </w:pPr>
            <w:r w:rsidRPr="00F14A6A">
              <w:rPr>
                <w:lang w:val="en-GB"/>
              </w:rPr>
              <w:lastRenderedPageBreak/>
              <w:t>vs Realized-vol overlay</w:t>
            </w:r>
          </w:p>
        </w:tc>
        <w:tc>
          <w:tcPr>
            <w:tcW w:w="1728" w:type="dxa"/>
          </w:tcPr>
          <w:p w14:paraId="441159EF" w14:textId="77777777" w:rsidR="00F14A6A" w:rsidRPr="00F14A6A" w:rsidRDefault="00F14A6A" w:rsidP="00AF3768">
            <w:pPr>
              <w:rPr>
                <w:lang w:val="en-GB"/>
              </w:rPr>
            </w:pPr>
            <w:r w:rsidRPr="00F14A6A">
              <w:rPr>
                <w:lang w:val="en-GB"/>
              </w:rPr>
              <w:t>+0.043</w:t>
            </w:r>
          </w:p>
        </w:tc>
        <w:tc>
          <w:tcPr>
            <w:tcW w:w="1728" w:type="dxa"/>
          </w:tcPr>
          <w:p w14:paraId="68B3F41F" w14:textId="77777777" w:rsidR="00F14A6A" w:rsidRPr="00F14A6A" w:rsidRDefault="00F14A6A" w:rsidP="00AF3768">
            <w:pPr>
              <w:rPr>
                <w:lang w:val="en-GB"/>
              </w:rPr>
            </w:pPr>
            <w:r w:rsidRPr="00F14A6A">
              <w:rPr>
                <w:lang w:val="en-GB"/>
              </w:rPr>
              <w:t>0.69</w:t>
            </w:r>
          </w:p>
        </w:tc>
        <w:tc>
          <w:tcPr>
            <w:tcW w:w="1728" w:type="dxa"/>
          </w:tcPr>
          <w:p w14:paraId="5AA94258" w14:textId="77777777" w:rsidR="00F14A6A" w:rsidRPr="00F14A6A" w:rsidRDefault="00F14A6A" w:rsidP="00AF3768">
            <w:pPr>
              <w:rPr>
                <w:lang w:val="en-GB"/>
              </w:rPr>
            </w:pPr>
            <w:r w:rsidRPr="00F14A6A">
              <w:rPr>
                <w:lang w:val="en-GB"/>
              </w:rPr>
              <w:t>+0.043</w:t>
            </w:r>
          </w:p>
        </w:tc>
        <w:tc>
          <w:tcPr>
            <w:tcW w:w="1728" w:type="dxa"/>
          </w:tcPr>
          <w:p w14:paraId="2A631831" w14:textId="77777777" w:rsidR="00F14A6A" w:rsidRPr="00F14A6A" w:rsidRDefault="00F14A6A" w:rsidP="00AF3768">
            <w:pPr>
              <w:rPr>
                <w:lang w:val="en-GB"/>
              </w:rPr>
            </w:pPr>
            <w:r w:rsidRPr="00F14A6A">
              <w:rPr>
                <w:lang w:val="en-GB"/>
              </w:rPr>
              <w:t>0.99</w:t>
            </w:r>
          </w:p>
        </w:tc>
      </w:tr>
      <w:tr w:rsidR="00F14A6A" w14:paraId="31641979" w14:textId="77777777" w:rsidTr="00AF3768">
        <w:trPr>
          <w:jc w:val="center"/>
        </w:trPr>
        <w:tc>
          <w:tcPr>
            <w:tcW w:w="1728" w:type="dxa"/>
          </w:tcPr>
          <w:p w14:paraId="44A3DFA9" w14:textId="77777777" w:rsidR="00F14A6A" w:rsidRPr="00F14A6A" w:rsidRDefault="00F14A6A" w:rsidP="00AF3768">
            <w:pPr>
              <w:rPr>
                <w:lang w:val="en-GB"/>
              </w:rPr>
            </w:pPr>
            <w:r w:rsidRPr="00F14A6A">
              <w:rPr>
                <w:lang w:val="en-GB"/>
              </w:rPr>
              <w:t>vs 1/N</w:t>
            </w:r>
          </w:p>
        </w:tc>
        <w:tc>
          <w:tcPr>
            <w:tcW w:w="1728" w:type="dxa"/>
          </w:tcPr>
          <w:p w14:paraId="5DC83DCB" w14:textId="77777777" w:rsidR="00F14A6A" w:rsidRPr="00F14A6A" w:rsidRDefault="00F14A6A" w:rsidP="00AF3768">
            <w:pPr>
              <w:rPr>
                <w:lang w:val="en-GB"/>
              </w:rPr>
            </w:pPr>
            <w:r w:rsidRPr="00F14A6A">
              <w:rPr>
                <w:lang w:val="en-GB"/>
              </w:rPr>
              <w:t>+0.245</w:t>
            </w:r>
          </w:p>
        </w:tc>
        <w:tc>
          <w:tcPr>
            <w:tcW w:w="1728" w:type="dxa"/>
          </w:tcPr>
          <w:p w14:paraId="65F7880F" w14:textId="77777777" w:rsidR="00F14A6A" w:rsidRPr="00F14A6A" w:rsidRDefault="00F14A6A" w:rsidP="00AF3768">
            <w:pPr>
              <w:rPr>
                <w:lang w:val="en-GB"/>
              </w:rPr>
            </w:pPr>
            <w:r w:rsidRPr="00F14A6A">
              <w:rPr>
                <w:lang w:val="en-GB"/>
              </w:rPr>
              <w:t>0.78</w:t>
            </w:r>
          </w:p>
        </w:tc>
        <w:tc>
          <w:tcPr>
            <w:tcW w:w="1728" w:type="dxa"/>
          </w:tcPr>
          <w:p w14:paraId="642B9631" w14:textId="77777777" w:rsidR="00F14A6A" w:rsidRPr="00F14A6A" w:rsidRDefault="00F14A6A" w:rsidP="00AF3768">
            <w:pPr>
              <w:rPr>
                <w:lang w:val="en-GB"/>
              </w:rPr>
            </w:pPr>
            <w:r w:rsidRPr="00F14A6A">
              <w:rPr>
                <w:lang w:val="en-GB"/>
              </w:rPr>
              <w:t>+0.141</w:t>
            </w:r>
          </w:p>
        </w:tc>
        <w:tc>
          <w:tcPr>
            <w:tcW w:w="1728" w:type="dxa"/>
          </w:tcPr>
          <w:p w14:paraId="772DC178" w14:textId="77777777" w:rsidR="00F14A6A" w:rsidRPr="00F14A6A" w:rsidRDefault="00F14A6A" w:rsidP="00AF3768">
            <w:pPr>
              <w:rPr>
                <w:lang w:val="en-GB"/>
              </w:rPr>
            </w:pPr>
            <w:r w:rsidRPr="00F14A6A">
              <w:rPr>
                <w:lang w:val="en-GB"/>
              </w:rPr>
              <w:t>0.99</w:t>
            </w:r>
          </w:p>
        </w:tc>
      </w:tr>
      <w:tr w:rsidR="00F14A6A" w14:paraId="1875F58F" w14:textId="77777777" w:rsidTr="00AF3768">
        <w:trPr>
          <w:jc w:val="center"/>
        </w:trPr>
        <w:tc>
          <w:tcPr>
            <w:tcW w:w="1728" w:type="dxa"/>
          </w:tcPr>
          <w:p w14:paraId="6831FA9D" w14:textId="77777777" w:rsidR="00F14A6A" w:rsidRPr="00F14A6A" w:rsidRDefault="00F14A6A" w:rsidP="00AF3768">
            <w:pPr>
              <w:rPr>
                <w:lang w:val="en-GB"/>
              </w:rPr>
            </w:pPr>
            <w:r w:rsidRPr="00F14A6A">
              <w:rPr>
                <w:lang w:val="en-GB"/>
              </w:rPr>
              <w:t>vs Dynamic base</w:t>
            </w:r>
          </w:p>
        </w:tc>
        <w:tc>
          <w:tcPr>
            <w:tcW w:w="1728" w:type="dxa"/>
          </w:tcPr>
          <w:p w14:paraId="60685A0F" w14:textId="77777777" w:rsidR="00F14A6A" w:rsidRPr="00F14A6A" w:rsidRDefault="00F14A6A" w:rsidP="00AF3768">
            <w:pPr>
              <w:rPr>
                <w:lang w:val="en-GB"/>
              </w:rPr>
            </w:pPr>
            <w:r w:rsidRPr="00F14A6A">
              <w:rPr>
                <w:lang w:val="en-GB"/>
              </w:rPr>
              <w:t>+0.163</w:t>
            </w:r>
          </w:p>
        </w:tc>
        <w:tc>
          <w:tcPr>
            <w:tcW w:w="1728" w:type="dxa"/>
          </w:tcPr>
          <w:p w14:paraId="1E53E969" w14:textId="77777777" w:rsidR="00F14A6A" w:rsidRPr="00F14A6A" w:rsidRDefault="00F14A6A" w:rsidP="00AF3768">
            <w:pPr>
              <w:rPr>
                <w:lang w:val="en-GB"/>
              </w:rPr>
            </w:pPr>
            <w:r w:rsidRPr="00F14A6A">
              <w:rPr>
                <w:lang w:val="en-GB"/>
              </w:rPr>
              <w:t>0.87</w:t>
            </w:r>
          </w:p>
        </w:tc>
        <w:tc>
          <w:tcPr>
            <w:tcW w:w="1728" w:type="dxa"/>
          </w:tcPr>
          <w:p w14:paraId="142E3392" w14:textId="77777777" w:rsidR="00F14A6A" w:rsidRPr="00F14A6A" w:rsidRDefault="00F14A6A" w:rsidP="00AF3768">
            <w:pPr>
              <w:rPr>
                <w:lang w:val="en-GB"/>
              </w:rPr>
            </w:pPr>
            <w:r w:rsidRPr="00F14A6A">
              <w:rPr>
                <w:lang w:val="en-GB"/>
              </w:rPr>
              <w:t>+0.103</w:t>
            </w:r>
          </w:p>
        </w:tc>
        <w:tc>
          <w:tcPr>
            <w:tcW w:w="1728" w:type="dxa"/>
          </w:tcPr>
          <w:p w14:paraId="4B7D1406" w14:textId="77777777" w:rsidR="00F14A6A" w:rsidRPr="00F14A6A" w:rsidRDefault="00F14A6A" w:rsidP="00AF3768">
            <w:pPr>
              <w:rPr>
                <w:lang w:val="en-GB"/>
              </w:rPr>
            </w:pPr>
            <w:r w:rsidRPr="00F14A6A">
              <w:rPr>
                <w:lang w:val="en-GB"/>
              </w:rPr>
              <w:t>1.00</w:t>
            </w:r>
          </w:p>
        </w:tc>
      </w:tr>
    </w:tbl>
    <w:p w14:paraId="24889FC7" w14:textId="77777777" w:rsidR="00F14A6A" w:rsidRDefault="00F14A6A"/>
    <w:p w14:paraId="50B8D4FB" w14:textId="10AD93AE" w:rsidR="002309CF" w:rsidRDefault="002309CF" w:rsidP="002309CF">
      <w:pPr>
        <w:spacing w:before="160" w:after="60"/>
        <w:ind w:firstLine="720"/>
      </w:pPr>
      <w:r>
        <w:t>The reduction in maximum drawdown is statistically robust: in 99–100% of the bootstrap resamples the combined portfolio sustains a shallower worst-case loss than the comparator. The improvement is therefore very unlikely to reflect the particular path this sample happened to take, and instead appears to be a genuine property of the strategy.</w:t>
      </w:r>
    </w:p>
    <w:p w14:paraId="7F473D77" w14:textId="067D04DC" w:rsidR="002309CF" w:rsidRDefault="002309CF" w:rsidP="002309CF">
      <w:pPr>
        <w:spacing w:before="160" w:after="60"/>
        <w:ind w:firstLine="720"/>
      </w:pPr>
      <w:r>
        <w:t xml:space="preserve">The evidence on risk-adjusted return is </w:t>
      </w:r>
      <w:proofErr w:type="spellStart"/>
      <w:r>
        <w:t>favourable</w:t>
      </w:r>
      <w:proofErr w:type="spellEnd"/>
      <w:r>
        <w:t xml:space="preserve"> in level terms but weaker in significance. Two selection-aware statistics speak to whether the combined arm's Sharpe ratio is genuine rather than a product of chance. Its Probabilistic Sharpe Ratio </w:t>
      </w:r>
      <w:r>
        <w:t xml:space="preserve">- </w:t>
      </w:r>
      <w:r>
        <w:t xml:space="preserve">the probability that the true Sharpe ratio is positive once the short sample and the non-normality of returns are accounted for </w:t>
      </w:r>
      <w:r>
        <w:t xml:space="preserve">- </w:t>
      </w:r>
      <w:r>
        <w:t xml:space="preserve">is 98.9%. Its Deflated Sharpe Ratio, which additionally </w:t>
      </w:r>
      <w:r>
        <w:t>penalizes</w:t>
      </w:r>
      <w:r>
        <w:t xml:space="preserve"> the Sharpe for the number of strategy configurations explored during the research, is 95.8%. Both clear the conventional 95% threshold, indicating that the positive performance is unlikely to be an artefact of either estimation noise or data-mining. The deflated figure is, moreover, insensitive to the exact trial count </w:t>
      </w:r>
      <w:r>
        <w:t>-</w:t>
      </w:r>
      <w:r>
        <w:t xml:space="preserve"> it stays in the 96–97% range whether ten or forty configurations are counted </w:t>
      </w:r>
      <w:r>
        <w:t>-</w:t>
      </w:r>
      <w:r>
        <w:t xml:space="preserve"> because the deflation is governed mainly by the small dispersion of Sharpe ratios across the genuine strategy variants (the external 1/N and Markowitz portfolios are comparators).</w:t>
      </w:r>
    </w:p>
    <w:p w14:paraId="3C83B53E" w14:textId="23CCE165" w:rsidR="00771007" w:rsidRDefault="002309CF" w:rsidP="00771007">
      <w:pPr>
        <w:spacing w:before="160" w:after="60"/>
        <w:ind w:firstLine="720"/>
      </w:pPr>
      <w:r>
        <w:t xml:space="preserve">What the data do not support is a claim of superior risk-adjusted return over the simpler realized-volatility overlay: the Sharpe-ratio difference of +0.04 is positive but falls well short of significance, with the combined arm superior in only 69% of resamples. The honest interpretation is therefore that the strategy's contribution is downside-risk control </w:t>
      </w:r>
      <w:r>
        <w:t xml:space="preserve">- </w:t>
      </w:r>
      <w:r>
        <w:t xml:space="preserve">a statistically significant reduction in tail losses </w:t>
      </w:r>
      <w:r>
        <w:t>-</w:t>
      </w:r>
      <w:r>
        <w:t xml:space="preserve"> rather than a decisive gain in risk-adjusted return.</w:t>
      </w:r>
    </w:p>
    <w:p w14:paraId="099C38F2" w14:textId="76E2199F" w:rsidR="00F14A6A" w:rsidRPr="00721657" w:rsidRDefault="00F14A6A" w:rsidP="002309CF">
      <w:pPr>
        <w:spacing w:before="160" w:after="60"/>
        <w:ind w:firstLine="720"/>
        <w:rPr>
          <w:b/>
          <w:color w:val="163A5F"/>
          <w:sz w:val="25"/>
        </w:rPr>
      </w:pPr>
      <w:r w:rsidRPr="00721657">
        <w:rPr>
          <w:b/>
          <w:color w:val="163A5F"/>
          <w:sz w:val="25"/>
        </w:rPr>
        <w:t>Portfolio composition and concentration</w:t>
      </w:r>
    </w:p>
    <w:p w14:paraId="79F9355A" w14:textId="77777777" w:rsidR="00F14A6A" w:rsidRDefault="00F14A6A" w:rsidP="00F14A6A">
      <w:r>
        <w:rPr>
          <w:noProof/>
        </w:rPr>
        <w:drawing>
          <wp:inline distT="0" distB="0" distL="0" distR="0" wp14:anchorId="607E2FBB" wp14:editId="6B4D58A2">
            <wp:extent cx="6621165" cy="2613804"/>
            <wp:effectExtent l="0" t="0" r="8255" b="0"/>
            <wp:docPr id="13121837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32357" cy="2618222"/>
                    </a:xfrm>
                    <a:prstGeom prst="rect">
                      <a:avLst/>
                    </a:prstGeom>
                    <a:noFill/>
                    <a:ln>
                      <a:noFill/>
                    </a:ln>
                  </pic:spPr>
                </pic:pic>
              </a:graphicData>
            </a:graphic>
          </wp:inline>
        </w:drawing>
      </w:r>
    </w:p>
    <w:p w14:paraId="2BFF74EB" w14:textId="77777777" w:rsidR="00F14A6A" w:rsidRDefault="00F14A6A" w:rsidP="00F14A6A"/>
    <w:p w14:paraId="499E3FF6" w14:textId="512613E5" w:rsidR="00F14A6A" w:rsidRDefault="00F14A6A" w:rsidP="00F14A6A">
      <w:r>
        <w:rPr>
          <w:noProof/>
        </w:rPr>
        <w:lastRenderedPageBreak/>
        <w:drawing>
          <wp:inline distT="0" distB="0" distL="0" distR="0" wp14:anchorId="3F1B9880" wp14:editId="58FBCAE0">
            <wp:extent cx="6654901" cy="2631057"/>
            <wp:effectExtent l="0" t="0" r="0" b="0"/>
            <wp:docPr id="13231273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66057" cy="2635467"/>
                    </a:xfrm>
                    <a:prstGeom prst="rect">
                      <a:avLst/>
                    </a:prstGeom>
                    <a:noFill/>
                    <a:ln>
                      <a:noFill/>
                    </a:ln>
                  </pic:spPr>
                </pic:pic>
              </a:graphicData>
            </a:graphic>
          </wp:inline>
        </w:drawing>
      </w:r>
    </w:p>
    <w:p w14:paraId="7D958882" w14:textId="77777777" w:rsidR="00F14A6A" w:rsidRDefault="00F14A6A" w:rsidP="00F14A6A"/>
    <w:p w14:paraId="7B30F211" w14:textId="3FACD20E" w:rsidR="00F14A6A" w:rsidRPr="00721657" w:rsidRDefault="00F14A6A" w:rsidP="00721657">
      <w:pPr>
        <w:spacing w:before="160" w:after="60"/>
        <w:rPr>
          <w:b/>
          <w:color w:val="163A5F"/>
          <w:sz w:val="25"/>
        </w:rPr>
      </w:pPr>
      <w:r w:rsidRPr="00721657">
        <w:rPr>
          <w:b/>
          <w:color w:val="163A5F"/>
          <w:sz w:val="25"/>
        </w:rPr>
        <w:t>Turnover</w:t>
      </w:r>
    </w:p>
    <w:p w14:paraId="16D5AFDD" w14:textId="17990804" w:rsidR="00F14A6A" w:rsidRDefault="00F14A6A" w:rsidP="00F14A6A">
      <w:r>
        <w:t>Despite monthly re-</w:t>
      </w:r>
      <w:proofErr w:type="spellStart"/>
      <w:r>
        <w:t>optimisation</w:t>
      </w:r>
      <w:proofErr w:type="spellEnd"/>
      <w:r>
        <w:t xml:space="preserve">, the strategy trades infrequently. </w:t>
      </w:r>
      <w:r>
        <w:t>T</w:t>
      </w:r>
      <w:r>
        <w:t>he portfolio is left completely unchanged in 50 of 82 months (61%)</w:t>
      </w:r>
      <w:r>
        <w:t>,</w:t>
      </w:r>
      <w:r>
        <w:t xml:space="preserve"> and</w:t>
      </w:r>
      <w:r>
        <w:t xml:space="preserve"> </w:t>
      </w:r>
      <w:r>
        <w:t>trading is concentrated in a small number of large rebalances: 15 months see turnover of 10% or more</w:t>
      </w:r>
      <w:r>
        <w:t xml:space="preserve"> </w:t>
      </w:r>
      <w:r>
        <w:t>(up to 88%). The result is negligible cost: cumulative transaction cost over the seven-year sample is</w:t>
      </w:r>
      <w:r>
        <w:t xml:space="preserve"> </w:t>
      </w:r>
      <w:r>
        <w:t>0.47% of capital. This pattern reflects the corner-solution</w:t>
      </w:r>
      <w:r>
        <w:t xml:space="preserve"> </w:t>
      </w:r>
      <w:r>
        <w:t>nature of the linear-programming allocator (its optimal vertex is stable until the estimated inputs</w:t>
      </w:r>
      <w:r>
        <w:t xml:space="preserve"> </w:t>
      </w:r>
      <w:r>
        <w:t>cross a threshold) together with the partial-rebalancing execution, which moves the book only part of</w:t>
      </w:r>
      <w:r>
        <w:t xml:space="preserve"> </w:t>
      </w:r>
      <w:r>
        <w:t>the way to each target.</w:t>
      </w:r>
    </w:p>
    <w:p w14:paraId="67F30A7A" w14:textId="1BC1B64F" w:rsidR="00F14A6A" w:rsidRDefault="00F14A6A" w:rsidP="00F14A6A">
      <w:r>
        <w:rPr>
          <w:noProof/>
        </w:rPr>
        <w:drawing>
          <wp:inline distT="0" distB="0" distL="0" distR="0" wp14:anchorId="0C1272B6" wp14:editId="624F6AD1">
            <wp:extent cx="5943600" cy="1845945"/>
            <wp:effectExtent l="0" t="0" r="0" b="1905"/>
            <wp:docPr id="2514502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845945"/>
                    </a:xfrm>
                    <a:prstGeom prst="rect">
                      <a:avLst/>
                    </a:prstGeom>
                    <a:noFill/>
                    <a:ln>
                      <a:noFill/>
                    </a:ln>
                  </pic:spPr>
                </pic:pic>
              </a:graphicData>
            </a:graphic>
          </wp:inline>
        </w:drawing>
      </w:r>
    </w:p>
    <w:p w14:paraId="36193DD2" w14:textId="77777777" w:rsidR="005468D5" w:rsidRDefault="005468D5" w:rsidP="00F14A6A"/>
    <w:p w14:paraId="2993DC4E" w14:textId="1BE47614" w:rsidR="005468D5" w:rsidRPr="00721657" w:rsidRDefault="005468D5" w:rsidP="00721657">
      <w:pPr>
        <w:spacing w:before="160" w:after="60"/>
        <w:rPr>
          <w:b/>
          <w:color w:val="163A5F"/>
          <w:sz w:val="25"/>
        </w:rPr>
      </w:pPr>
      <w:r w:rsidRPr="00721657">
        <w:rPr>
          <w:b/>
          <w:color w:val="163A5F"/>
          <w:sz w:val="25"/>
        </w:rPr>
        <w:t>Dynamic optimizer parameters</w:t>
      </w:r>
    </w:p>
    <w:p w14:paraId="76D1B626" w14:textId="6886C69C" w:rsidR="005468D5" w:rsidRDefault="005468D5" w:rsidP="005468D5">
      <w:r>
        <w:t xml:space="preserve">The dynamic-parameter controller adjusts two </w:t>
      </w:r>
      <w:proofErr w:type="spellStart"/>
      <w:r>
        <w:t>optimiser</w:t>
      </w:r>
      <w:proofErr w:type="spellEnd"/>
      <w:r>
        <w:t xml:space="preserve"> settings each month</w:t>
      </w:r>
      <w:r>
        <w:t>:</w:t>
      </w:r>
      <w:r>
        <w:t xml:space="preserve"> the CVaR confidence level α and the L1 turnover penalty λ — from a score `</w:t>
      </w:r>
      <w:proofErr w:type="spellStart"/>
      <w:r>
        <w:t>s_t</w:t>
      </w:r>
      <w:proofErr w:type="spellEnd"/>
      <w:r>
        <w:t xml:space="preserve"> = 0.70·(performance) + 0.30·(market regime)` bounded to [−1, 1]. Figure 6.5 plots their </w:t>
      </w:r>
      <w:proofErr w:type="spellStart"/>
      <w:r>
        <w:t>realised</w:t>
      </w:r>
      <w:proofErr w:type="spellEnd"/>
      <w:r>
        <w:t xml:space="preserve"> paths. Over the sample, α moved within [0.920, 0.972] around its base of 0.95 and λ within [0.0100, 0.0138] around its base of 0.01, with the driving score ranging from −0.44 to +0.59.</w:t>
      </w:r>
    </w:p>
    <w:p w14:paraId="62319EE3" w14:textId="77F9169D" w:rsidR="005468D5" w:rsidRDefault="005468D5" w:rsidP="005468D5">
      <w:r>
        <w:lastRenderedPageBreak/>
        <w:t xml:space="preserve">The two parameters behave as a risk </w:t>
      </w:r>
      <w:r>
        <w:t>measure</w:t>
      </w:r>
      <w:r>
        <w:t xml:space="preserve"> that moves inversely with the regime. In the 2020 and</w:t>
      </w:r>
      <w:r>
        <w:t xml:space="preserve"> </w:t>
      </w:r>
      <w:r>
        <w:t>2022 risk-off episodes the score turns negative, which pushes α up toward 0.97</w:t>
      </w:r>
      <w:r>
        <w:t>,</w:t>
      </w:r>
      <w:r>
        <w:t xml:space="preserve"> sending the C</w:t>
      </w:r>
      <w:r>
        <w:t>v</w:t>
      </w:r>
      <w:r>
        <w:t>aR</w:t>
      </w:r>
      <w:r>
        <w:t xml:space="preserve"> </w:t>
      </w:r>
      <w:r>
        <w:t>constraint deeper into the tail and tightening the self-scaling budget and λ down to its 0.01 floor,</w:t>
      </w:r>
      <w:r>
        <w:t xml:space="preserve"> </w:t>
      </w:r>
      <w:r>
        <w:t xml:space="preserve">making it cheaper for the </w:t>
      </w:r>
      <w:proofErr w:type="spellStart"/>
      <w:r>
        <w:t>optimiser</w:t>
      </w:r>
      <w:proofErr w:type="spellEnd"/>
      <w:r>
        <w:t xml:space="preserve"> to reposition out of risk</w:t>
      </w:r>
      <w:r>
        <w:t>.</w:t>
      </w:r>
      <w:r>
        <w:t xml:space="preserve"> </w:t>
      </w:r>
      <w:r>
        <w:t>I</w:t>
      </w:r>
      <w:r>
        <w:t>n calm, positive-score periods the moves</w:t>
      </w:r>
      <w:r>
        <w:t xml:space="preserve"> </w:t>
      </w:r>
      <w:r>
        <w:t>reverse (α drifts toward 0.92, λ rises toward 0.0138). Because α defines both the constraint and the</w:t>
      </w:r>
      <w:r>
        <w:t xml:space="preserve"> </w:t>
      </w:r>
      <w:r>
        <w:t>budget, this tilts the book toward more tail-robust allocations precisely when the market deteriorates.</w:t>
      </w:r>
      <w:r>
        <w:t xml:space="preserve"> </w:t>
      </w:r>
      <w:r>
        <w:t>Empirically the α channel is the active one; λ spends much of the stressed periods pinned at its floor.</w:t>
      </w:r>
    </w:p>
    <w:p w14:paraId="2C7490A7" w14:textId="570889A6" w:rsidR="00F14A6A" w:rsidRDefault="00F14A6A" w:rsidP="00F14A6A">
      <w:r>
        <w:rPr>
          <w:noProof/>
        </w:rPr>
        <w:drawing>
          <wp:inline distT="0" distB="0" distL="0" distR="0" wp14:anchorId="53512481" wp14:editId="3C86581C">
            <wp:extent cx="5943600" cy="3950970"/>
            <wp:effectExtent l="0" t="0" r="0" b="0"/>
            <wp:docPr id="9728110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950970"/>
                    </a:xfrm>
                    <a:prstGeom prst="rect">
                      <a:avLst/>
                    </a:prstGeom>
                    <a:noFill/>
                    <a:ln>
                      <a:noFill/>
                    </a:ln>
                  </pic:spPr>
                </pic:pic>
              </a:graphicData>
            </a:graphic>
          </wp:inline>
        </w:drawing>
      </w:r>
    </w:p>
    <w:p w14:paraId="69BD7EEE" w14:textId="77777777" w:rsidR="00F14A6A" w:rsidRDefault="00F14A6A" w:rsidP="00F14A6A"/>
    <w:p w14:paraId="4359C78B" w14:textId="77777777" w:rsidR="005468D5" w:rsidRPr="00721657" w:rsidRDefault="005468D5" w:rsidP="00721657">
      <w:pPr>
        <w:spacing w:before="160" w:after="60"/>
        <w:rPr>
          <w:b/>
          <w:color w:val="163A5F"/>
          <w:sz w:val="25"/>
        </w:rPr>
      </w:pPr>
      <w:r w:rsidRPr="00721657">
        <w:rPr>
          <w:b/>
          <w:color w:val="163A5F"/>
          <w:sz w:val="25"/>
        </w:rPr>
        <w:t>How the controller performed, and its significance</w:t>
      </w:r>
    </w:p>
    <w:p w14:paraId="096648EA" w14:textId="4C9E5A88" w:rsidR="00771007" w:rsidRDefault="005468D5" w:rsidP="00B32C69">
      <w:pPr>
        <w:ind w:firstLine="720"/>
        <w:rPr>
          <w:lang w:val="en-GB"/>
        </w:rPr>
      </w:pPr>
      <w:r w:rsidRPr="005468D5">
        <w:rPr>
          <w:lang w:val="en-GB"/>
        </w:rPr>
        <w:t>Enabling the controller improves the</w:t>
      </w:r>
      <w:r>
        <w:rPr>
          <w:lang w:val="en-GB"/>
        </w:rPr>
        <w:t xml:space="preserve"> </w:t>
      </w:r>
      <w:r w:rsidRPr="005468D5">
        <w:rPr>
          <w:lang w:val="en-GB"/>
        </w:rPr>
        <w:t>risk-adjusted performance: it lifts the Sharpe ratio from 0.624 (Static) to</w:t>
      </w:r>
      <w:r>
        <w:rPr>
          <w:lang w:val="en-GB"/>
        </w:rPr>
        <w:t xml:space="preserve"> </w:t>
      </w:r>
      <w:r w:rsidRPr="005468D5">
        <w:rPr>
          <w:lang w:val="en-GB"/>
        </w:rPr>
        <w:t>0.704 (Dynamic base) and reduces the maximum drawdown from −19.3% to −17.6% (Table 6.1). The effect</w:t>
      </w:r>
      <w:r>
        <w:rPr>
          <w:lang w:val="en-GB"/>
        </w:rPr>
        <w:t xml:space="preserve"> </w:t>
      </w:r>
      <w:r w:rsidRPr="005468D5">
        <w:rPr>
          <w:lang w:val="en-GB"/>
        </w:rPr>
        <w:t xml:space="preserve">is economically sensible </w:t>
      </w:r>
      <w:r>
        <w:rPr>
          <w:lang w:val="en-GB"/>
        </w:rPr>
        <w:t>-</w:t>
      </w:r>
      <w:r w:rsidRPr="005468D5">
        <w:rPr>
          <w:lang w:val="en-GB"/>
        </w:rPr>
        <w:t xml:space="preserve"> the controller tightens tail control in exactly the stress months visible in</w:t>
      </w:r>
      <w:r>
        <w:rPr>
          <w:lang w:val="en-GB"/>
        </w:rPr>
        <w:t xml:space="preserve"> </w:t>
      </w:r>
      <w:r w:rsidRPr="005468D5">
        <w:rPr>
          <w:lang w:val="en-GB"/>
        </w:rPr>
        <w:t xml:space="preserve">the score panel of Figure 6.5 </w:t>
      </w:r>
      <w:r>
        <w:rPr>
          <w:lang w:val="en-GB"/>
        </w:rPr>
        <w:t>B</w:t>
      </w:r>
      <w:r w:rsidRPr="005468D5">
        <w:rPr>
          <w:lang w:val="en-GB"/>
        </w:rPr>
        <w:t>ut it is a secondary contributor: the improvement, while</w:t>
      </w:r>
      <w:r>
        <w:rPr>
          <w:lang w:val="en-GB"/>
        </w:rPr>
        <w:t xml:space="preserve"> </w:t>
      </w:r>
      <w:r w:rsidRPr="005468D5">
        <w:rPr>
          <w:lang w:val="en-GB"/>
        </w:rPr>
        <w:t>consistent in direction, is modest in magnitude relative to the overlay, and the bulk of the risk</w:t>
      </w:r>
      <w:r>
        <w:rPr>
          <w:lang w:val="en-GB"/>
        </w:rPr>
        <w:t xml:space="preserve"> </w:t>
      </w:r>
      <w:r w:rsidRPr="005468D5">
        <w:rPr>
          <w:lang w:val="en-GB"/>
        </w:rPr>
        <w:t>reduction in the managed portfolio is delivered by the combined volatility/CVaR-timing overlay rather</w:t>
      </w:r>
      <w:r>
        <w:rPr>
          <w:lang w:val="en-GB"/>
        </w:rPr>
        <w:t xml:space="preserve"> </w:t>
      </w:r>
      <w:r w:rsidRPr="005468D5">
        <w:rPr>
          <w:lang w:val="en-GB"/>
        </w:rPr>
        <w:t>than by the parameter adaptation. The decisive, bootstrap-significant effects in this study (the</w:t>
      </w:r>
      <w:r>
        <w:rPr>
          <w:lang w:val="en-GB"/>
        </w:rPr>
        <w:t xml:space="preserve"> </w:t>
      </w:r>
      <w:r w:rsidRPr="005468D5">
        <w:rPr>
          <w:lang w:val="en-GB"/>
        </w:rPr>
        <w:t>drawdown reductions of §6.1) are attributable to the overlay</w:t>
      </w:r>
      <w:r>
        <w:rPr>
          <w:lang w:val="en-GB"/>
        </w:rPr>
        <w:t>. T</w:t>
      </w:r>
      <w:r w:rsidRPr="005468D5">
        <w:rPr>
          <w:lang w:val="en-GB"/>
        </w:rPr>
        <w:t>he controller's role is to make the</w:t>
      </w:r>
      <w:r>
        <w:rPr>
          <w:lang w:val="en-GB"/>
        </w:rPr>
        <w:t xml:space="preserve"> </w:t>
      </w:r>
      <w:r w:rsidRPr="005468D5">
        <w:rPr>
          <w:lang w:val="en-GB"/>
        </w:rPr>
        <w:t>allocation itself modestly more responsive to the cycle.</w:t>
      </w:r>
    </w:p>
    <w:p w14:paraId="1E0740A9" w14:textId="77777777" w:rsidR="00B32C69" w:rsidRDefault="00B32C69" w:rsidP="00B32C69">
      <w:pPr>
        <w:ind w:firstLine="720"/>
      </w:pPr>
    </w:p>
    <w:p w14:paraId="5C0E670D" w14:textId="77777777" w:rsidR="00480A68" w:rsidRDefault="00000000">
      <w:pPr>
        <w:spacing w:before="280" w:after="80"/>
      </w:pPr>
      <w:r>
        <w:rPr>
          <w:b/>
          <w:color w:val="163A5F"/>
          <w:sz w:val="30"/>
        </w:rPr>
        <w:lastRenderedPageBreak/>
        <w:t>References</w:t>
      </w:r>
    </w:p>
    <w:p w14:paraId="661A9EB1" w14:textId="5AA017CA" w:rsidR="002309CF" w:rsidRDefault="002309CF" w:rsidP="002309CF">
      <w:pPr>
        <w:spacing w:after="120"/>
      </w:pPr>
      <w:proofErr w:type="spellStart"/>
      <w:r>
        <w:t>Artzner</w:t>
      </w:r>
      <w:proofErr w:type="spellEnd"/>
      <w:r>
        <w:t xml:space="preserve">, P., </w:t>
      </w:r>
      <w:proofErr w:type="spellStart"/>
      <w:r>
        <w:t>Delbaen</w:t>
      </w:r>
      <w:proofErr w:type="spellEnd"/>
      <w:r>
        <w:t>, F., Eber, J.-M., &amp; Heath, D. (1999). Coherent measures of risk. Mathematical Finance, 9(3), 203–228. https://doi.org/10.1111/1467-9965.00068</w:t>
      </w:r>
    </w:p>
    <w:p w14:paraId="0493A019" w14:textId="0974A30E" w:rsidR="002309CF" w:rsidRDefault="002309CF" w:rsidP="002309CF">
      <w:pPr>
        <w:spacing w:after="120"/>
      </w:pPr>
      <w:r>
        <w:t xml:space="preserve">Bailey, D. H., &amp; López de Prado, M. (2014). The deflated Sharpe ratio: Correcting for selection bias, </w:t>
      </w:r>
      <w:proofErr w:type="spellStart"/>
      <w:r>
        <w:t>backtest</w:t>
      </w:r>
      <w:proofErr w:type="spellEnd"/>
      <w:r>
        <w:t xml:space="preserve"> overfitting, and non-normality. The Journal of Portfolio Management, 40(5), 94–107. https://doi.org/10.3905/jpm.2014.40.5.094</w:t>
      </w:r>
    </w:p>
    <w:p w14:paraId="56C2819A" w14:textId="2B94E07B" w:rsidR="002309CF" w:rsidRDefault="002309CF" w:rsidP="002309CF">
      <w:pPr>
        <w:spacing w:after="120"/>
      </w:pPr>
      <w:r>
        <w:t>Ban, G.-Y., El Karoui, N., &amp; Lim, A. E. B. (2018). Machine learning and portfolio optimization. Management Science, 64(3), 1136–1154. https://doi.org/10.1287/mnsc.2016.2644</w:t>
      </w:r>
    </w:p>
    <w:p w14:paraId="453D3CF7" w14:textId="33F3D090" w:rsidR="002309CF" w:rsidRDefault="002309CF" w:rsidP="002309CF">
      <w:pPr>
        <w:spacing w:after="120"/>
      </w:pPr>
      <w:r>
        <w:t>Barroso, P., &amp; Saxena, K. (2022). Lest we forget: Learn from out-of-sample forecast errors when optimizing portfolios. The Review of Financial Studies, 35(3), 1222–1278. https://doi.org/10.1093/rfs/hhab041</w:t>
      </w:r>
    </w:p>
    <w:p w14:paraId="391D9B55" w14:textId="7C71C732" w:rsidR="002309CF" w:rsidRDefault="002309CF" w:rsidP="002309CF">
      <w:pPr>
        <w:spacing w:after="120"/>
      </w:pPr>
      <w:r>
        <w:t xml:space="preserve">Bauder, D., Bodnar, T., </w:t>
      </w:r>
      <w:proofErr w:type="spellStart"/>
      <w:r>
        <w:t>Parolya</w:t>
      </w:r>
      <w:proofErr w:type="spellEnd"/>
      <w:r>
        <w:t>, N., &amp; Schmid, W. (2021). Bayesian mean–variance analysis: Optimal portfolio selection under parameter uncertainty. Quantitative Finance, 21(2), 221–242. https://doi.org/10.1080/14697688.2020.1748214</w:t>
      </w:r>
    </w:p>
    <w:p w14:paraId="185FD5C7" w14:textId="70F1846A" w:rsidR="002309CF" w:rsidRDefault="002309CF" w:rsidP="002309CF">
      <w:pPr>
        <w:spacing w:after="120"/>
      </w:pPr>
      <w:r>
        <w:t>Bianchi, M. L., &amp; Tassinari, G. L. (2020). Forward-looking portfolio selection with multivariate non-Gaussian models. Quantitative Finance, 20(10), 1645–1661. https://doi.org/10.1080/14697688.2020.1733057</w:t>
      </w:r>
    </w:p>
    <w:p w14:paraId="1904D7CB" w14:textId="61D2D991" w:rsidR="002309CF" w:rsidRDefault="002309CF" w:rsidP="002309CF">
      <w:pPr>
        <w:spacing w:after="120"/>
      </w:pPr>
      <w:r>
        <w:t xml:space="preserve">Bodnar, T., Lindholm, M., Niklasson, V., &amp; </w:t>
      </w:r>
      <w:proofErr w:type="spellStart"/>
      <w:r>
        <w:t>Thorsén</w:t>
      </w:r>
      <w:proofErr w:type="spellEnd"/>
      <w:r>
        <w:t xml:space="preserve">, E. (2022). Bayesian portfolio selection using </w:t>
      </w:r>
      <w:proofErr w:type="spellStart"/>
      <w:r>
        <w:t>VaR</w:t>
      </w:r>
      <w:proofErr w:type="spellEnd"/>
      <w:r>
        <w:t xml:space="preserve"> and CVaR. Applied Mathematics and Computation, 427, 127120. https://doi.org/10.1016/j.amc.2022.127120</w:t>
      </w:r>
    </w:p>
    <w:p w14:paraId="7FD33A88" w14:textId="0267C3E5" w:rsidR="002309CF" w:rsidRDefault="002309CF" w:rsidP="002309CF">
      <w:pPr>
        <w:spacing w:after="120"/>
      </w:pPr>
      <w:r>
        <w:t xml:space="preserve">Carvalho, C. M., Polson, N. G., &amp; Scott, J. G. (2010). The horseshoe estimator for sparse signals. </w:t>
      </w:r>
      <w:proofErr w:type="spellStart"/>
      <w:r>
        <w:t>Biometrika</w:t>
      </w:r>
      <w:proofErr w:type="spellEnd"/>
      <w:r>
        <w:t>, 97(2), 465–480. https://doi.org/10.1093/biomet/asq017</w:t>
      </w:r>
    </w:p>
    <w:p w14:paraId="7FD373BA" w14:textId="72C1730E" w:rsidR="002309CF" w:rsidRDefault="002309CF" w:rsidP="002309CF">
      <w:pPr>
        <w:spacing w:after="120"/>
      </w:pPr>
      <w:r>
        <w:t>Cederburg, S., O'Doherty, M. S., Wang, F., &amp; Yan, X. S. (2020). On the performance of volatility-managed portfolios. Journal of Financial Economics, 138(1), 95–117. https://doi.org/10.1016/j.jfineco.2020.04.015</w:t>
      </w:r>
    </w:p>
    <w:p w14:paraId="4CD6909C" w14:textId="4ABD9A11" w:rsidR="002309CF" w:rsidRDefault="002309CF" w:rsidP="002309CF">
      <w:pPr>
        <w:spacing w:after="120"/>
      </w:pPr>
      <w:r>
        <w:t>De Nicolò, G. (2023). Tail risk-managed portfolios [Working paper]. SSRN. https://doi.org/10.2139/ssrn.4320434</w:t>
      </w:r>
    </w:p>
    <w:p w14:paraId="047E9756" w14:textId="22D658C2" w:rsidR="002309CF" w:rsidRDefault="002309CF" w:rsidP="002309CF">
      <w:pPr>
        <w:spacing w:after="120"/>
      </w:pPr>
      <w:r>
        <w:t>DeMiguel, V., Garlappi, L., &amp; Uppal, R. (2009). Optimal versus naive diversification: How inefficient is the 1/N portfolio strategy? The Review of Financial Studies, 22(5), 1915–1953. https://doi.org/10.1093/rfs/hhm075</w:t>
      </w:r>
    </w:p>
    <w:p w14:paraId="63E844EA" w14:textId="093073C7" w:rsidR="002309CF" w:rsidRDefault="002309CF" w:rsidP="002309CF">
      <w:pPr>
        <w:spacing w:after="120"/>
      </w:pPr>
      <w:r>
        <w:t>DeMiguel, V., Martín-Utrera, A., &amp; Uppal, R. (2024). A multifactor perspective on volatility-managed portfolios. The Journal of Finance, 79(6), 3859–3891. https://doi.org/10.1111/jofi.13395</w:t>
      </w:r>
    </w:p>
    <w:p w14:paraId="407835C7" w14:textId="5F16CFD8" w:rsidR="002309CF" w:rsidRDefault="002309CF" w:rsidP="002309CF">
      <w:pPr>
        <w:spacing w:after="120"/>
      </w:pPr>
      <w:proofErr w:type="spellStart"/>
      <w:r>
        <w:t>Garlappi</w:t>
      </w:r>
      <w:proofErr w:type="spellEnd"/>
      <w:r>
        <w:t>, L., Uppal, R., &amp; Wang, T. (2007). Portfolio selection with parameter and model uncertainty: A multi-prior approach. The Review of Financial Studies, 20(1), 41–81. https://doi.org/10.1093/rfs/hhl003</w:t>
      </w:r>
    </w:p>
    <w:p w14:paraId="39ED2862" w14:textId="3F273B32" w:rsidR="002309CF" w:rsidRDefault="002309CF" w:rsidP="002309CF">
      <w:pPr>
        <w:spacing w:after="120"/>
      </w:pPr>
      <w:proofErr w:type="spellStart"/>
      <w:r>
        <w:t>Gelmini</w:t>
      </w:r>
      <w:proofErr w:type="spellEnd"/>
      <w:r>
        <w:t>, M., &amp; Uberti, P. (2024). The equally weighted portfolio still remains a challenging benchmark. International Economics, 179, 100525. https://doi.org/10.1016/j.inteco.2024.100525</w:t>
      </w:r>
    </w:p>
    <w:p w14:paraId="7361F708" w14:textId="704C6E0F" w:rsidR="002309CF" w:rsidRDefault="002309CF" w:rsidP="002309CF">
      <w:pPr>
        <w:spacing w:after="120"/>
      </w:pPr>
      <w:r>
        <w:t>Gotoh, J.-Y., Shinozaki, K., &amp; Takeda, A. (2013). Robust portfolio techniques for mitigating the fragility of CVaR minimization and generalization to coherent risk measures. Quantitative Finance, 13(10), 1621–1635. https://doi.org/10.1080/14697688.2012.738930</w:t>
      </w:r>
    </w:p>
    <w:p w14:paraId="3D794C49" w14:textId="1417DE8D" w:rsidR="002309CF" w:rsidRDefault="002309CF" w:rsidP="002309CF">
      <w:pPr>
        <w:spacing w:after="120"/>
      </w:pPr>
      <w:proofErr w:type="spellStart"/>
      <w:r>
        <w:t>Happersberger</w:t>
      </w:r>
      <w:proofErr w:type="spellEnd"/>
      <w:r>
        <w:t>, D., Lohre, H., &amp; Nolte, I. (2020). Estimating portfolio risk for tail risk protection strategies. European Financial Management, 26(4), 1107–1146. https://doi.org/10.1111/eufm.12256</w:t>
      </w:r>
    </w:p>
    <w:p w14:paraId="7CC3AF3E" w14:textId="5CE24A62" w:rsidR="002309CF" w:rsidRDefault="002309CF" w:rsidP="002309CF">
      <w:pPr>
        <w:spacing w:after="120"/>
      </w:pPr>
      <w:r>
        <w:lastRenderedPageBreak/>
        <w:t>Harvey, C. R., Liu, Y., &amp; Zhu, H. (2016). … and the cross-section of expected returns. The Review of Financial Studies, 29(1), 5–68. https://doi.org/10.1093/rfs/hhv059</w:t>
      </w:r>
    </w:p>
    <w:p w14:paraId="3E3D8F87" w14:textId="062F3A75" w:rsidR="002309CF" w:rsidRDefault="002309CF" w:rsidP="002309CF">
      <w:pPr>
        <w:spacing w:after="120"/>
      </w:pPr>
      <w:r>
        <w:t>Kita, A., Ronchetti, D., &amp; Zhang, Y. (2023). Option-based volatility timing [Working paper]. SSRN. https://doi.org/10.2139/ssrn.4391540</w:t>
      </w:r>
    </w:p>
    <w:p w14:paraId="5FDCC8BD" w14:textId="67496832" w:rsidR="002309CF" w:rsidRDefault="002309CF" w:rsidP="002309CF">
      <w:pPr>
        <w:spacing w:after="120"/>
      </w:pPr>
      <w:r>
        <w:t xml:space="preserve">Kostakis, A., </w:t>
      </w:r>
      <w:proofErr w:type="spellStart"/>
      <w:r>
        <w:t>Panigirtzoglou</w:t>
      </w:r>
      <w:proofErr w:type="spellEnd"/>
      <w:r>
        <w:t xml:space="preserve">, N., &amp; </w:t>
      </w:r>
      <w:proofErr w:type="spellStart"/>
      <w:r>
        <w:t>Skiadopoulos</w:t>
      </w:r>
      <w:proofErr w:type="spellEnd"/>
      <w:r>
        <w:t>, G. (2011). Market timing with option-implied distributions: A forward-looking approach. Management Science, 57(7), 1231–1249. https://doi.org/10.1287/mnsc.1110.1346</w:t>
      </w:r>
    </w:p>
    <w:p w14:paraId="15021D1E" w14:textId="51849B5F" w:rsidR="002309CF" w:rsidRDefault="002309CF" w:rsidP="002309CF">
      <w:pPr>
        <w:spacing w:after="120"/>
      </w:pPr>
      <w:proofErr w:type="spellStart"/>
      <w:r>
        <w:t>Lassance</w:t>
      </w:r>
      <w:proofErr w:type="spellEnd"/>
      <w:r>
        <w:t>, N., Martín-Utrera, A., &amp; Simaan, M. (2024). The risk of expected utility under parameter uncertainty. Management Science, 70(11), 7644–7663. https://doi.org/10.1287/mnsc.2023.00178</w:t>
      </w:r>
    </w:p>
    <w:p w14:paraId="0D23D05C" w14:textId="77777777" w:rsidR="002309CF" w:rsidRDefault="002309CF" w:rsidP="002309CF">
      <w:pPr>
        <w:spacing w:after="120"/>
      </w:pPr>
      <w:r>
        <w:t>Le, T. H. (2020). Forecasting value at risk and expected shortfall with mixed data sampling. International Journal of Forecasting, 36(4), 1362–1379. https://doi.org/10.1016/j.ijforecast.2020.01.008</w:t>
      </w:r>
    </w:p>
    <w:p w14:paraId="31FCFF56" w14:textId="77777777" w:rsidR="002309CF" w:rsidRDefault="002309CF" w:rsidP="002309CF">
      <w:pPr>
        <w:spacing w:after="120"/>
      </w:pPr>
    </w:p>
    <w:p w14:paraId="0DDA9D41" w14:textId="644BF861" w:rsidR="002309CF" w:rsidRDefault="002309CF" w:rsidP="002309CF">
      <w:pPr>
        <w:spacing w:after="120"/>
      </w:pPr>
      <w:proofErr w:type="spellStart"/>
      <w:r>
        <w:t>Ledoit</w:t>
      </w:r>
      <w:proofErr w:type="spellEnd"/>
      <w:r>
        <w:t>, O., &amp; Wolf, M. (2004). Honey, I shrunk the sample covariance matrix. The Journal of Portfolio Management, 30(4), 110–119. https://doi.org/10.3905/jpm.2004.110</w:t>
      </w:r>
    </w:p>
    <w:p w14:paraId="30241AAF" w14:textId="5887942A" w:rsidR="002309CF" w:rsidRDefault="002309CF" w:rsidP="002309CF">
      <w:pPr>
        <w:spacing w:after="120"/>
      </w:pPr>
      <w:r>
        <w:t xml:space="preserve">Lim, A. E. B., </w:t>
      </w:r>
      <w:proofErr w:type="spellStart"/>
      <w:r>
        <w:t>Shanthikumar</w:t>
      </w:r>
      <w:proofErr w:type="spellEnd"/>
      <w:r>
        <w:t>, J. G., &amp; Vahn, G.-Y. (2011). Conditional value-at-risk in portfolio optimization: Coherent but fragile. Operations Research Letters, 39(3), 163–171. https://doi.org/10.1016/j.orl.2011.03.004</w:t>
      </w:r>
    </w:p>
    <w:p w14:paraId="1DD64EC1" w14:textId="73888C9F" w:rsidR="002309CF" w:rsidRDefault="002309CF" w:rsidP="002309CF">
      <w:pPr>
        <w:spacing w:after="120"/>
      </w:pPr>
      <w:proofErr w:type="spellStart"/>
      <w:r>
        <w:t>Lyócsa</w:t>
      </w:r>
      <w:proofErr w:type="spellEnd"/>
      <w:r>
        <w:t xml:space="preserve">, Š., </w:t>
      </w:r>
      <w:proofErr w:type="spellStart"/>
      <w:r>
        <w:t>Plíhal</w:t>
      </w:r>
      <w:proofErr w:type="spellEnd"/>
      <w:r>
        <w:t xml:space="preserve">, T., &amp; </w:t>
      </w:r>
      <w:proofErr w:type="spellStart"/>
      <w:r>
        <w:t>Výrost</w:t>
      </w:r>
      <w:proofErr w:type="spellEnd"/>
      <w:r>
        <w:t>, T. (2024). Forecasting day-ahead expected shortfall on the EUR/USD exchange rate: The (</w:t>
      </w:r>
      <w:proofErr w:type="spellStart"/>
      <w:r>
        <w:t>i</w:t>
      </w:r>
      <w:proofErr w:type="spellEnd"/>
      <w:r>
        <w:t>)relevance of implied volatility. International Journal of Forecasting, 40(4), 1275–1301. https://doi.org/10.1016/j.ijforecast.2023.11.003</w:t>
      </w:r>
    </w:p>
    <w:p w14:paraId="7D5977AA" w14:textId="529279C3" w:rsidR="002309CF" w:rsidRDefault="002309CF" w:rsidP="002309CF">
      <w:pPr>
        <w:spacing w:after="120"/>
      </w:pPr>
      <w:proofErr w:type="spellStart"/>
      <w:r>
        <w:t>Mansini</w:t>
      </w:r>
      <w:proofErr w:type="spellEnd"/>
      <w:r>
        <w:t xml:space="preserve">, R., </w:t>
      </w:r>
      <w:proofErr w:type="spellStart"/>
      <w:r>
        <w:t>Ogryczak</w:t>
      </w:r>
      <w:proofErr w:type="spellEnd"/>
      <w:r>
        <w:t>, W., &amp; Speranza, M. G. (2007). Conditional value at risk and related linear programming models for portfolio optimization. Annals of Operations Research, 152(1), 227–256. https://doi.org/10.1007/s10479-006-0142-4</w:t>
      </w:r>
    </w:p>
    <w:p w14:paraId="6BEDF922" w14:textId="19F1212D" w:rsidR="002309CF" w:rsidRDefault="002309CF" w:rsidP="002309CF">
      <w:pPr>
        <w:spacing w:after="120"/>
      </w:pPr>
      <w:r>
        <w:t>Markowitz, H. (1952). Portfolio selection. The Journal of Finance, 7(1), 77–91. https://doi.org/10.1111/j.1540-6261.1952.tb01525.x</w:t>
      </w:r>
    </w:p>
    <w:p w14:paraId="548822A0" w14:textId="7B12C3DE" w:rsidR="002309CF" w:rsidRDefault="002309CF" w:rsidP="002309CF">
      <w:pPr>
        <w:spacing w:after="120"/>
      </w:pPr>
      <w:r>
        <w:t>Moreira, A., &amp; Muir, T. (2017). Volatility-managed portfolios. The Journal of Finance, 72(4), 1611–1644. https://doi.org/10.1111/jofi.12513</w:t>
      </w:r>
    </w:p>
    <w:p w14:paraId="30EEDFB8" w14:textId="4BE3F4E8" w:rsidR="002309CF" w:rsidRDefault="002309CF" w:rsidP="002309CF">
      <w:pPr>
        <w:spacing w:after="120"/>
      </w:pPr>
      <w:r>
        <w:t>Nakagawa, K., &amp; Ito, K. (2021). Taming tail risk: Regularized multiple β worst-case CVaR portfolio. Symmetry, 13(6), 922. https://doi.org/10.3390/sym13060922</w:t>
      </w:r>
    </w:p>
    <w:p w14:paraId="1B8232A0" w14:textId="033749B1" w:rsidR="002309CF" w:rsidRDefault="002309CF" w:rsidP="002309CF">
      <w:pPr>
        <w:spacing w:after="120"/>
      </w:pPr>
      <w:r>
        <w:t xml:space="preserve">Pflug, G. C. (2000). Some remarks on the value-at-risk and the conditional value-at-risk. In S. </w:t>
      </w:r>
      <w:proofErr w:type="spellStart"/>
      <w:r>
        <w:t>Uryasev</w:t>
      </w:r>
      <w:proofErr w:type="spellEnd"/>
      <w:r>
        <w:t xml:space="preserve"> (Ed.), Probabilistic constrained optimization: Methodology and applications (pp. 272–281). Springer. https://doi.org/10.1007/978-1-4757-3150-7_15</w:t>
      </w:r>
    </w:p>
    <w:p w14:paraId="721F3FE5" w14:textId="58561371" w:rsidR="002309CF" w:rsidRDefault="002309CF" w:rsidP="002309CF">
      <w:pPr>
        <w:spacing w:after="120"/>
      </w:pPr>
      <w:r>
        <w:t xml:space="preserve">Rickenberg, L. (2019). Tail risk targeting: Target </w:t>
      </w:r>
      <w:proofErr w:type="spellStart"/>
      <w:r>
        <w:t>VaR</w:t>
      </w:r>
      <w:proofErr w:type="spellEnd"/>
      <w:r>
        <w:t xml:space="preserve"> and CVaR strategies [Working paper]. SSRN. https://doi.org/10.2139/ssrn.3444999</w:t>
      </w:r>
    </w:p>
    <w:p w14:paraId="2D49E4DB" w14:textId="7934BB93" w:rsidR="002309CF" w:rsidRDefault="002309CF" w:rsidP="002309CF">
      <w:pPr>
        <w:spacing w:after="120"/>
      </w:pPr>
      <w:proofErr w:type="spellStart"/>
      <w:r>
        <w:t>Rockafellar</w:t>
      </w:r>
      <w:proofErr w:type="spellEnd"/>
      <w:r>
        <w:t>, R. T., &amp; Uryasev, S. (2000). Optimization of conditional value-at-risk. The Journal of Risk, 2(3), 21–41. https://doi.org/10.21314/JOR.2000.038</w:t>
      </w:r>
    </w:p>
    <w:p w14:paraId="77737FFF" w14:textId="770CFB52" w:rsidR="002309CF" w:rsidRDefault="002309CF" w:rsidP="002309CF">
      <w:pPr>
        <w:spacing w:after="120"/>
      </w:pPr>
      <w:proofErr w:type="spellStart"/>
      <w:r>
        <w:lastRenderedPageBreak/>
        <w:t>Rockafellar</w:t>
      </w:r>
      <w:proofErr w:type="spellEnd"/>
      <w:r>
        <w:t xml:space="preserve">, R. T., &amp; Uryasev, S. (2001). Conditional value-at-risk: Optimization approach. In S. </w:t>
      </w:r>
      <w:proofErr w:type="spellStart"/>
      <w:r>
        <w:t>Uryasev</w:t>
      </w:r>
      <w:proofErr w:type="spellEnd"/>
      <w:r>
        <w:t xml:space="preserve"> &amp; P. M. </w:t>
      </w:r>
      <w:proofErr w:type="spellStart"/>
      <w:r>
        <w:t>Pardalos</w:t>
      </w:r>
      <w:proofErr w:type="spellEnd"/>
      <w:r>
        <w:t xml:space="preserve"> (Eds.), Stochastic optimization: Algorithms and applications (pp. 411–435). Springer. https://doi.org/10.1007/978-1-4757-6594-6_17</w:t>
      </w:r>
    </w:p>
    <w:p w14:paraId="631B62DB" w14:textId="481281FC" w:rsidR="002309CF" w:rsidRDefault="002309CF" w:rsidP="002309CF">
      <w:pPr>
        <w:spacing w:after="120"/>
      </w:pPr>
      <w:r>
        <w:t xml:space="preserve">Schwalbach, B., &amp; </w:t>
      </w:r>
      <w:proofErr w:type="spellStart"/>
      <w:r>
        <w:t>Auret</w:t>
      </w:r>
      <w:proofErr w:type="spellEnd"/>
      <w:r>
        <w:t xml:space="preserve">, C. (2023). Leveraging </w:t>
      </w:r>
      <w:proofErr w:type="spellStart"/>
      <w:r>
        <w:t>defence</w:t>
      </w:r>
      <w:proofErr w:type="spellEnd"/>
      <w:r>
        <w:t xml:space="preserve"> into offence: Enhancing absolute and risk-adjusted equity returns with tail risk management overlays. Investment Analysts Journal, 52(3), 246–258. https://doi.org/10.1080/10293523.2023.2245243</w:t>
      </w:r>
    </w:p>
    <w:p w14:paraId="6D728C3A" w14:textId="66CC576A" w:rsidR="002309CF" w:rsidRDefault="002309CF" w:rsidP="002309CF">
      <w:pPr>
        <w:spacing w:after="120"/>
      </w:pPr>
      <w:r>
        <w:t xml:space="preserve">Suhonen, A., </w:t>
      </w:r>
      <w:proofErr w:type="spellStart"/>
      <w:r>
        <w:t>Lennkh</w:t>
      </w:r>
      <w:proofErr w:type="spellEnd"/>
      <w:r>
        <w:t xml:space="preserve">, M., &amp; Perez, F. (2017). Quantifying </w:t>
      </w:r>
      <w:proofErr w:type="spellStart"/>
      <w:r>
        <w:t>backtest</w:t>
      </w:r>
      <w:proofErr w:type="spellEnd"/>
      <w:r>
        <w:t xml:space="preserve"> overfitting in alternative beta strategies. The Journal of Portfolio Management, 43(2), 90–104. https://doi.org/10.3905/jpm.2017.43.2.090</w:t>
      </w:r>
    </w:p>
    <w:p w14:paraId="1A321A27" w14:textId="09116A81" w:rsidR="002309CF" w:rsidRDefault="002309CF" w:rsidP="002309CF">
      <w:pPr>
        <w:spacing w:after="120"/>
      </w:pPr>
      <w:r>
        <w:t>Taylor, J. W. (2019). Forecasting value at risk and expected shortfall using a semiparametric approach based on the asymmetric Laplace distribution. Journal of Business &amp; Economic Statistics, 37(1), 121–133. https://doi.org/10.1080/07350015.2017.1281815</w:t>
      </w:r>
    </w:p>
    <w:p w14:paraId="29456F80" w14:textId="7C2F950D" w:rsidR="002309CF" w:rsidRDefault="002309CF" w:rsidP="002309CF">
      <w:pPr>
        <w:spacing w:after="120"/>
      </w:pPr>
      <w:r>
        <w:t>Wang, F., &amp; Yan, X. S. (2021). Downside risk and the performance of volatility-managed portfolios. Journal of Banking &amp; Finance, 131, 106198. https://doi.org/10.1016/j.jbankfin.2021.106198</w:t>
      </w:r>
    </w:p>
    <w:p w14:paraId="2D8D0205" w14:textId="48760AC9" w:rsidR="002309CF" w:rsidRDefault="002309CF" w:rsidP="002309CF">
      <w:pPr>
        <w:spacing w:after="120"/>
      </w:pPr>
      <w:r>
        <w:t xml:space="preserve">Wiecki, T., Campbell, A., Lent, J., &amp; Stauth, J. (2016). All that glitters is not gold: Comparing </w:t>
      </w:r>
      <w:proofErr w:type="spellStart"/>
      <w:r>
        <w:t>backtest</w:t>
      </w:r>
      <w:proofErr w:type="spellEnd"/>
      <w:r>
        <w:t xml:space="preserve"> and out-of-sample performance on a large cohort of trading algorithms. The Journal of Investing, 25(3), 69–80. https://doi.org/10.3905/joi.2016.25.3.069</w:t>
      </w:r>
    </w:p>
    <w:p w14:paraId="56A055C7" w14:textId="1593384F" w:rsidR="00480A68" w:rsidRDefault="002309CF" w:rsidP="002309CF">
      <w:pPr>
        <w:spacing w:after="120"/>
      </w:pPr>
      <w:r>
        <w:t>Yuan, M., &amp; Zhou, G. (2023). Why naive 1/N diversification is not so naive, and how to beat it? Journal of Financial and Quantitative Analysis, 59(8), 3601–3632. https://doi.org/10.1017/S0022109023001175</w:t>
      </w:r>
    </w:p>
    <w:sectPr w:rsidR="00480A6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EFC71F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43E309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5D32093"/>
    <w:multiLevelType w:val="hybridMultilevel"/>
    <w:tmpl w:val="0D4217D4"/>
    <w:lvl w:ilvl="0" w:tplc="3214AD7C">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53854C1C"/>
    <w:multiLevelType w:val="hybridMultilevel"/>
    <w:tmpl w:val="BF6C3E30"/>
    <w:lvl w:ilvl="0" w:tplc="F4843306">
      <w:start w:val="6"/>
      <w:numFmt w:val="bullet"/>
      <w:lvlText w:val="-"/>
      <w:lvlJc w:val="left"/>
      <w:pPr>
        <w:ind w:left="720" w:hanging="360"/>
      </w:pPr>
      <w:rPr>
        <w:rFonts w:ascii="Calibri" w:eastAsiaTheme="minorEastAsia" w:hAnsi="Calibri" w:cs="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425422149">
    <w:abstractNumId w:val="8"/>
  </w:num>
  <w:num w:numId="2" w16cid:durableId="1753350803">
    <w:abstractNumId w:val="6"/>
  </w:num>
  <w:num w:numId="3" w16cid:durableId="1759667197">
    <w:abstractNumId w:val="5"/>
  </w:num>
  <w:num w:numId="4" w16cid:durableId="237206578">
    <w:abstractNumId w:val="4"/>
  </w:num>
  <w:num w:numId="5" w16cid:durableId="1108618144">
    <w:abstractNumId w:val="7"/>
  </w:num>
  <w:num w:numId="6" w16cid:durableId="504133511">
    <w:abstractNumId w:val="3"/>
  </w:num>
  <w:num w:numId="7" w16cid:durableId="1212884865">
    <w:abstractNumId w:val="2"/>
  </w:num>
  <w:num w:numId="8" w16cid:durableId="148789967">
    <w:abstractNumId w:val="1"/>
  </w:num>
  <w:num w:numId="9" w16cid:durableId="317078188">
    <w:abstractNumId w:val="0"/>
  </w:num>
  <w:num w:numId="10" w16cid:durableId="1287589471">
    <w:abstractNumId w:val="10"/>
  </w:num>
  <w:num w:numId="11" w16cid:durableId="1840730880">
    <w:abstractNumId w:val="7"/>
    <w:lvlOverride w:ilvl="0">
      <w:startOverride w:val="6"/>
    </w:lvlOverride>
  </w:num>
  <w:num w:numId="12" w16cid:durableId="408162808">
    <w:abstractNumId w:val="9"/>
  </w:num>
  <w:num w:numId="13" w16cid:durableId="479658964">
    <w:abstractNumId w:val="7"/>
  </w:num>
  <w:num w:numId="14" w16cid:durableId="2027511967">
    <w:abstractNumId w:val="7"/>
    <w:lvlOverride w:ilvl="0">
      <w:startOverride w:val="1"/>
    </w:lvlOverride>
  </w:num>
  <w:num w:numId="15" w16cid:durableId="8859160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6C5"/>
    <w:rsid w:val="00131A4B"/>
    <w:rsid w:val="0015074B"/>
    <w:rsid w:val="001D6CD7"/>
    <w:rsid w:val="001F36DE"/>
    <w:rsid w:val="002309CF"/>
    <w:rsid w:val="00270D7C"/>
    <w:rsid w:val="0029639D"/>
    <w:rsid w:val="00326F90"/>
    <w:rsid w:val="00446A58"/>
    <w:rsid w:val="00480A68"/>
    <w:rsid w:val="004924F4"/>
    <w:rsid w:val="00517998"/>
    <w:rsid w:val="005468D5"/>
    <w:rsid w:val="00565D58"/>
    <w:rsid w:val="005C2FC3"/>
    <w:rsid w:val="005F2963"/>
    <w:rsid w:val="00626563"/>
    <w:rsid w:val="006848FB"/>
    <w:rsid w:val="006D1B54"/>
    <w:rsid w:val="00721657"/>
    <w:rsid w:val="00771007"/>
    <w:rsid w:val="008318B7"/>
    <w:rsid w:val="008633A2"/>
    <w:rsid w:val="00A31411"/>
    <w:rsid w:val="00AA1D8D"/>
    <w:rsid w:val="00B32C69"/>
    <w:rsid w:val="00B47730"/>
    <w:rsid w:val="00C6678F"/>
    <w:rsid w:val="00CA7485"/>
    <w:rsid w:val="00CB0664"/>
    <w:rsid w:val="00CC1A88"/>
    <w:rsid w:val="00EC26E5"/>
    <w:rsid w:val="00F14A6A"/>
    <w:rsid w:val="00F22FF8"/>
    <w:rsid w:val="00F55753"/>
    <w:rsid w:val="00FA65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7F8C74"/>
  <w14:defaultImageDpi w14:val="300"/>
  <w15:docId w15:val="{00399F6D-D7A8-4BE1-BEF5-8E95135AF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131A4B"/>
    <w:rPr>
      <w:color w:val="666666"/>
    </w:rPr>
  </w:style>
  <w:style w:type="table" w:styleId="PlainTable2">
    <w:name w:val="Plain Table 2"/>
    <w:basedOn w:val="TableNormal"/>
    <w:uiPriority w:val="99"/>
    <w:rsid w:val="00B32C6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20</Pages>
  <Words>6601</Words>
  <Characters>37632</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Вячеслав Зиновьев</cp:lastModifiedBy>
  <cp:revision>24</cp:revision>
  <dcterms:created xsi:type="dcterms:W3CDTF">2013-12-23T23:15:00Z</dcterms:created>
  <dcterms:modified xsi:type="dcterms:W3CDTF">2026-06-20T22:18:00Z</dcterms:modified>
  <cp:category/>
</cp:coreProperties>
</file>