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Chatbot Overview: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chatbot is designed to respond to financial queries using data from a CSV file uploaded by the user. It processes the input systematically to retrieve the relevant financial data. Here's how it functions: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Loading Data: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the user uploads a CSV file, the chatbot loads it into a Pandas DataFrame. The column names are formatted to ensure consistency and ease of querying.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Interpreting Queries: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chatbot utilizes regular expressions (regex) to extract crucial information from the user's question, such as: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- Company name (e.g., Microsoft, Tesla, Apple)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- Year (e.g., 2024, 2023, 2022)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- **Financial metric** (e.g., total revenue, net income, operating cash flow, etc.)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 Finding Relevant Data: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Once the query components are extracted, the chatbot searches the DataFrame for the corresponding company, year, and financial metric, returning the requested value if found.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Response Generation: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the data matches the query, the chatbot will display the requested value. If not, it informs the user that no data was found.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 Exit Command: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Users can type "exit" at any time to end the conversation, and the chatbot will reply with a friendly goodbye message.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Example Queries: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chatbot is capable of responding to queries like: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"What is the total revenue for Apple in 2022?"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"What is the net income for Microsoft in 2023?"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"What is the operating cash flow for Tesla in 2024?"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The financial metrics recognized by the chatbot include: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Total revenue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Net income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Operating cash flow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Total assets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Total liabilities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Liabilities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Limitations: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- Data Structure: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chatbot assumes that the CSV file uploaded by the user contains the necessary financial data in the expected format, with company names, years, and financial metrics present.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- Column Matching: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chatbot matches column names based on substring similarities. If the user queries a metric that doesn’t match the column name exactly, the chatbot may not find the relevant data.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Company and Year Constraints: The chatbot recognizes only a few companies (Microsoft, Tesla, Apple) and years (2022, 2023, 2024) based on the regex patterns. If other companies or years are required, the regex must be updated accordingly.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