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E065" w14:textId="77777777" w:rsidR="00CE1C35" w:rsidRPr="003B3DC6" w:rsidRDefault="00CE1C35" w:rsidP="00CE1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DC6">
        <w:rPr>
          <w:rFonts w:ascii="Times New Roman" w:hAnsi="Times New Roman" w:cs="Times New Roman"/>
          <w:b/>
          <w:bCs/>
          <w:sz w:val="28"/>
          <w:szCs w:val="28"/>
        </w:rPr>
        <w:t xml:space="preserve">Ingeniería Genética de la Quinua para Resistencia al Estrés Abiótico: Avances en la Identificación y Validación de Genes NHX </w:t>
      </w:r>
    </w:p>
    <w:p w14:paraId="5B53CEBA" w14:textId="6B8FE43C" w:rsidR="00CE1C35" w:rsidRPr="003B3DC6" w:rsidRDefault="00CE1C35" w:rsidP="00CE1C35">
      <w:pPr>
        <w:spacing w:after="0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3B3DC6">
        <w:rPr>
          <w:rFonts w:ascii="Times New Roman" w:hAnsi="Times New Roman" w:cs="Times New Roman"/>
          <w:b/>
          <w:bCs/>
        </w:rPr>
        <w:t>M.Sc</w:t>
      </w:r>
      <w:proofErr w:type="spellEnd"/>
      <w:r w:rsidRPr="003B3DC6">
        <w:rPr>
          <w:rFonts w:ascii="Times New Roman" w:hAnsi="Times New Roman" w:cs="Times New Roman"/>
          <w:b/>
          <w:bCs/>
        </w:rPr>
        <w:t>. Candia Valeria</w:t>
      </w:r>
    </w:p>
    <w:p w14:paraId="0A33CEB5" w14:textId="6E425840" w:rsidR="00CE1C35" w:rsidRPr="003B3DC6" w:rsidRDefault="00CE1C35" w:rsidP="00CE1C3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3B3DC6">
        <w:rPr>
          <w:rFonts w:ascii="Times New Roman" w:hAnsi="Times New Roman" w:cs="Times New Roman"/>
          <w:b/>
          <w:bCs/>
        </w:rPr>
        <w:t>Instituto de genética (GYU)</w:t>
      </w:r>
    </w:p>
    <w:p w14:paraId="02408664" w14:textId="77777777" w:rsidR="003157A7" w:rsidRPr="003B3DC6" w:rsidRDefault="003157A7" w:rsidP="00CE1C3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0B2CEFC" w14:textId="1C895377" w:rsidR="00CE1C35" w:rsidRPr="003B3DC6" w:rsidRDefault="00CE1C35" w:rsidP="00CE1C35">
      <w:pPr>
        <w:spacing w:after="0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3B3DC6">
        <w:rPr>
          <w:rFonts w:ascii="Times New Roman" w:hAnsi="Times New Roman" w:cs="Times New Roman"/>
          <w:b/>
          <w:bCs/>
        </w:rPr>
        <w:t>Abstract</w:t>
      </w:r>
      <w:proofErr w:type="spellEnd"/>
    </w:p>
    <w:p w14:paraId="215CACFE" w14:textId="7DBE0FD3" w:rsidR="00CE1C35" w:rsidRPr="003B3DC6" w:rsidRDefault="00CE1C35" w:rsidP="00CE1C35">
      <w:pPr>
        <w:spacing w:after="0"/>
        <w:jc w:val="both"/>
        <w:rPr>
          <w:rFonts w:ascii="Times New Roman" w:hAnsi="Times New Roman" w:cs="Times New Roman"/>
        </w:rPr>
      </w:pPr>
      <w:r w:rsidRPr="003B3DC6">
        <w:rPr>
          <w:rFonts w:ascii="Times New Roman" w:hAnsi="Times New Roman" w:cs="Times New Roman"/>
        </w:rPr>
        <w:br/>
        <w:t>Quinoa (</w:t>
      </w:r>
      <w:proofErr w:type="spellStart"/>
      <w:r w:rsidRPr="003B3DC6">
        <w:rPr>
          <w:rFonts w:ascii="Times New Roman" w:hAnsi="Times New Roman" w:cs="Times New Roman"/>
        </w:rPr>
        <w:t>Chenopodium</w:t>
      </w:r>
      <w:proofErr w:type="spellEnd"/>
      <w:r w:rsidRPr="003B3DC6">
        <w:rPr>
          <w:rFonts w:ascii="Times New Roman" w:hAnsi="Times New Roman" w:cs="Times New Roman"/>
        </w:rPr>
        <w:t xml:space="preserve"> quinoa) stands </w:t>
      </w:r>
      <w:proofErr w:type="spellStart"/>
      <w:r w:rsidRPr="003B3DC6">
        <w:rPr>
          <w:rFonts w:ascii="Times New Roman" w:hAnsi="Times New Roman" w:cs="Times New Roman"/>
        </w:rPr>
        <w:t>out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for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its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ability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to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grow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under</w:t>
      </w:r>
      <w:proofErr w:type="spellEnd"/>
      <w:r w:rsidRPr="003B3DC6">
        <w:rPr>
          <w:rFonts w:ascii="Times New Roman" w:hAnsi="Times New Roman" w:cs="Times New Roman"/>
        </w:rPr>
        <w:t xml:space="preserve"> extreme </w:t>
      </w:r>
      <w:proofErr w:type="spellStart"/>
      <w:r w:rsidRPr="003B3DC6">
        <w:rPr>
          <w:rFonts w:ascii="Times New Roman" w:hAnsi="Times New Roman" w:cs="Times New Roman"/>
        </w:rPr>
        <w:t>environmental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conditions</w:t>
      </w:r>
      <w:proofErr w:type="spellEnd"/>
      <w:r w:rsidRPr="003B3DC6">
        <w:rPr>
          <w:rFonts w:ascii="Times New Roman" w:hAnsi="Times New Roman" w:cs="Times New Roman"/>
        </w:rPr>
        <w:t xml:space="preserve">. </w:t>
      </w:r>
      <w:proofErr w:type="spellStart"/>
      <w:r w:rsidRPr="003B3DC6">
        <w:rPr>
          <w:rFonts w:ascii="Times New Roman" w:hAnsi="Times New Roman" w:cs="Times New Roman"/>
        </w:rPr>
        <w:t>This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study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summarizes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recent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advances</w:t>
      </w:r>
      <w:proofErr w:type="spellEnd"/>
      <w:r w:rsidRPr="003B3DC6">
        <w:rPr>
          <w:rFonts w:ascii="Times New Roman" w:hAnsi="Times New Roman" w:cs="Times New Roman"/>
        </w:rPr>
        <w:t xml:space="preserve"> in </w:t>
      </w:r>
      <w:proofErr w:type="spellStart"/>
      <w:r w:rsidRPr="003B3DC6">
        <w:rPr>
          <w:rFonts w:ascii="Times New Roman" w:hAnsi="Times New Roman" w:cs="Times New Roman"/>
        </w:rPr>
        <w:t>the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genetic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modification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of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this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crop</w:t>
      </w:r>
      <w:proofErr w:type="spellEnd"/>
      <w:r w:rsidRPr="003B3DC6">
        <w:rPr>
          <w:rFonts w:ascii="Times New Roman" w:hAnsi="Times New Roman" w:cs="Times New Roman"/>
        </w:rPr>
        <w:t xml:space="preserve">, </w:t>
      </w:r>
      <w:proofErr w:type="spellStart"/>
      <w:r w:rsidRPr="003B3DC6">
        <w:rPr>
          <w:rFonts w:ascii="Times New Roman" w:hAnsi="Times New Roman" w:cs="Times New Roman"/>
        </w:rPr>
        <w:t>focusing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on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the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identification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of</w:t>
      </w:r>
      <w:proofErr w:type="spellEnd"/>
      <w:r w:rsidRPr="003B3DC6">
        <w:rPr>
          <w:rFonts w:ascii="Times New Roman" w:hAnsi="Times New Roman" w:cs="Times New Roman"/>
        </w:rPr>
        <w:t xml:space="preserve"> NHX (</w:t>
      </w:r>
      <w:proofErr w:type="spellStart"/>
      <w:r w:rsidRPr="003B3DC6">
        <w:rPr>
          <w:rFonts w:ascii="Times New Roman" w:hAnsi="Times New Roman" w:cs="Times New Roman"/>
        </w:rPr>
        <w:t>sodium</w:t>
      </w:r>
      <w:proofErr w:type="spellEnd"/>
      <w:r w:rsidRPr="003B3DC6">
        <w:rPr>
          <w:rFonts w:ascii="Times New Roman" w:hAnsi="Times New Roman" w:cs="Times New Roman"/>
        </w:rPr>
        <w:t>/</w:t>
      </w:r>
      <w:proofErr w:type="spellStart"/>
      <w:r w:rsidRPr="003B3DC6">
        <w:rPr>
          <w:rFonts w:ascii="Times New Roman" w:hAnsi="Times New Roman" w:cs="Times New Roman"/>
        </w:rPr>
        <w:t>hydrogen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antiporter</w:t>
      </w:r>
      <w:proofErr w:type="spellEnd"/>
      <w:r w:rsidRPr="003B3DC6">
        <w:rPr>
          <w:rFonts w:ascii="Times New Roman" w:hAnsi="Times New Roman" w:cs="Times New Roman"/>
        </w:rPr>
        <w:t xml:space="preserve">) genes </w:t>
      </w:r>
      <w:proofErr w:type="spellStart"/>
      <w:r w:rsidRPr="003B3DC6">
        <w:rPr>
          <w:rFonts w:ascii="Times New Roman" w:hAnsi="Times New Roman" w:cs="Times New Roman"/>
        </w:rPr>
        <w:t>that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regulate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tolerance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to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salt</w:t>
      </w:r>
      <w:proofErr w:type="spellEnd"/>
      <w:r w:rsidRPr="003B3DC6">
        <w:rPr>
          <w:rFonts w:ascii="Times New Roman" w:hAnsi="Times New Roman" w:cs="Times New Roman"/>
        </w:rPr>
        <w:t xml:space="preserve"> stress and </w:t>
      </w:r>
      <w:proofErr w:type="spellStart"/>
      <w:r w:rsidRPr="003B3DC6">
        <w:rPr>
          <w:rFonts w:ascii="Times New Roman" w:hAnsi="Times New Roman" w:cs="Times New Roman"/>
        </w:rPr>
        <w:t>drought</w:t>
      </w:r>
      <w:proofErr w:type="spellEnd"/>
      <w:r w:rsidRPr="003B3DC6">
        <w:rPr>
          <w:rFonts w:ascii="Times New Roman" w:hAnsi="Times New Roman" w:cs="Times New Roman"/>
        </w:rPr>
        <w:t xml:space="preserve">. </w:t>
      </w:r>
      <w:proofErr w:type="spellStart"/>
      <w:r w:rsidRPr="003B3DC6">
        <w:rPr>
          <w:rFonts w:ascii="Times New Roman" w:hAnsi="Times New Roman" w:cs="Times New Roman"/>
        </w:rPr>
        <w:t>The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findings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demonstrate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how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genome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editing</w:t>
      </w:r>
      <w:proofErr w:type="spellEnd"/>
      <w:r w:rsidRPr="003B3DC6">
        <w:rPr>
          <w:rFonts w:ascii="Times New Roman" w:hAnsi="Times New Roman" w:cs="Times New Roman"/>
        </w:rPr>
        <w:t xml:space="preserve"> and </w:t>
      </w:r>
      <w:proofErr w:type="spellStart"/>
      <w:r w:rsidRPr="003B3DC6">
        <w:rPr>
          <w:rFonts w:ascii="Times New Roman" w:hAnsi="Times New Roman" w:cs="Times New Roman"/>
        </w:rPr>
        <w:t>bioinformatics</w:t>
      </w:r>
      <w:proofErr w:type="spellEnd"/>
      <w:r w:rsidRPr="003B3DC6">
        <w:rPr>
          <w:rFonts w:ascii="Times New Roman" w:hAnsi="Times New Roman" w:cs="Times New Roman"/>
        </w:rPr>
        <w:t xml:space="preserve"> are </w:t>
      </w:r>
      <w:proofErr w:type="spellStart"/>
      <w:r w:rsidRPr="003B3DC6">
        <w:rPr>
          <w:rFonts w:ascii="Times New Roman" w:hAnsi="Times New Roman" w:cs="Times New Roman"/>
        </w:rPr>
        <w:t>enabling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the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development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of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improved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varieties</w:t>
      </w:r>
      <w:proofErr w:type="spellEnd"/>
      <w:r w:rsidRPr="003B3DC6">
        <w:rPr>
          <w:rFonts w:ascii="Times New Roman" w:hAnsi="Times New Roman" w:cs="Times New Roman"/>
        </w:rPr>
        <w:t xml:space="preserve">, </w:t>
      </w:r>
      <w:proofErr w:type="spellStart"/>
      <w:r w:rsidRPr="003B3DC6">
        <w:rPr>
          <w:rFonts w:ascii="Times New Roman" w:hAnsi="Times New Roman" w:cs="Times New Roman"/>
        </w:rPr>
        <w:t>with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direct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implications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for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food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security</w:t>
      </w:r>
      <w:proofErr w:type="spellEnd"/>
      <w:r w:rsidRPr="003B3DC6">
        <w:rPr>
          <w:rFonts w:ascii="Times New Roman" w:hAnsi="Times New Roman" w:cs="Times New Roman"/>
        </w:rPr>
        <w:t xml:space="preserve"> in </w:t>
      </w:r>
      <w:proofErr w:type="spellStart"/>
      <w:r w:rsidRPr="003B3DC6">
        <w:rPr>
          <w:rFonts w:ascii="Times New Roman" w:hAnsi="Times New Roman" w:cs="Times New Roman"/>
        </w:rPr>
        <w:t>arid</w:t>
      </w:r>
      <w:proofErr w:type="spellEnd"/>
      <w:r w:rsidRPr="003B3DC6">
        <w:rPr>
          <w:rFonts w:ascii="Times New Roman" w:hAnsi="Times New Roman" w:cs="Times New Roman"/>
        </w:rPr>
        <w:t xml:space="preserve"> </w:t>
      </w:r>
      <w:proofErr w:type="spellStart"/>
      <w:r w:rsidRPr="003B3DC6">
        <w:rPr>
          <w:rFonts w:ascii="Times New Roman" w:hAnsi="Times New Roman" w:cs="Times New Roman"/>
        </w:rPr>
        <w:t>areas</w:t>
      </w:r>
      <w:proofErr w:type="spellEnd"/>
      <w:r w:rsidRPr="003B3DC6">
        <w:rPr>
          <w:rFonts w:ascii="Times New Roman" w:hAnsi="Times New Roman" w:cs="Times New Roman"/>
        </w:rPr>
        <w:t>.</w:t>
      </w:r>
    </w:p>
    <w:p w14:paraId="7F72097F" w14:textId="54E34EB0" w:rsidR="00CE1C35" w:rsidRPr="003B3DC6" w:rsidRDefault="00CE1C35" w:rsidP="00CE1C35">
      <w:pPr>
        <w:spacing w:after="0"/>
        <w:jc w:val="both"/>
        <w:rPr>
          <w:rFonts w:ascii="Times New Roman" w:hAnsi="Times New Roman" w:cs="Times New Roman"/>
        </w:rPr>
      </w:pPr>
    </w:p>
    <w:p w14:paraId="2F4E9207" w14:textId="7444D315" w:rsidR="00CE1C35" w:rsidRPr="003B3DC6" w:rsidRDefault="00CE1C35" w:rsidP="00CE1C35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1C35" w:rsidRPr="003B3DC6" w14:paraId="326F9BB7" w14:textId="77777777" w:rsidTr="006F6821">
        <w:trPr>
          <w:trHeight w:val="68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8969465" w14:textId="0624DB64" w:rsidR="00CC52A3" w:rsidRPr="00FF32A3" w:rsidRDefault="00CC52A3" w:rsidP="00FF32A3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2A3">
              <w:rPr>
                <w:rFonts w:ascii="Times New Roman" w:hAnsi="Times New Roman" w:cs="Times New Roman"/>
                <w:b/>
                <w:bCs/>
              </w:rPr>
              <w:t>Introducción</w:t>
            </w:r>
          </w:p>
          <w:p w14:paraId="7697D41D" w14:textId="1B8BB205" w:rsidR="00CC52A3" w:rsidRPr="003B3DC6" w:rsidRDefault="00CC52A3" w:rsidP="00CE1C35">
            <w:pPr>
              <w:jc w:val="both"/>
              <w:rPr>
                <w:rFonts w:ascii="Times New Roman" w:hAnsi="Times New Roman" w:cs="Times New Roman"/>
              </w:rPr>
            </w:pPr>
            <w:r w:rsidRPr="003B3DC6">
              <w:rPr>
                <w:rFonts w:ascii="Times New Roman" w:hAnsi="Times New Roman" w:cs="Times New Roman"/>
              </w:rPr>
              <w:t xml:space="preserve">El 45% de las tierras agrícolas globales sufren estrés abiótico, principalmente salinidad y sequía. La quinua, con su genoma secuenciado en 2017, emerge como modelo para estudios de resiliencia. Sus genes NHX, responsables del transporte vacuolar de </w:t>
            </w:r>
            <w:proofErr w:type="spellStart"/>
            <w:r w:rsidRPr="003B3DC6">
              <w:rPr>
                <w:rFonts w:ascii="Times New Roman" w:hAnsi="Times New Roman" w:cs="Times New Roman"/>
              </w:rPr>
              <w:t>Na</w:t>
            </w:r>
            <w:proofErr w:type="spellEnd"/>
            <w:r w:rsidRPr="003B3DC6">
              <w:rPr>
                <w:rFonts w:ascii="Times New Roman" w:hAnsi="Times New Roman" w:cs="Times New Roman"/>
              </w:rPr>
              <w:t>+ y K+, representan blancos estratégicos para la ingeniería genética orientada a mejorar cultivos en zonas áridas</w:t>
            </w:r>
            <w:hyperlink w:anchor="Tres" w:history="1">
              <w:r w:rsidRPr="006F6821">
                <w:rPr>
                  <w:rStyle w:val="Hipervnculo"/>
                  <w:rFonts w:ascii="Times New Roman" w:hAnsi="Times New Roman" w:cs="Times New Roman"/>
                </w:rPr>
                <w:t>. [3]</w:t>
              </w:r>
            </w:hyperlink>
          </w:p>
          <w:p w14:paraId="746BF74A" w14:textId="77777777" w:rsidR="00CC52A3" w:rsidRPr="003B3DC6" w:rsidRDefault="00CC52A3" w:rsidP="00CE1C3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FB920A0" w14:textId="0E492ED7" w:rsidR="00CE1C35" w:rsidRPr="00FF32A3" w:rsidRDefault="00CE1C35" w:rsidP="00FF32A3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2A3">
              <w:rPr>
                <w:rFonts w:ascii="Times New Roman" w:hAnsi="Times New Roman" w:cs="Times New Roman"/>
                <w:b/>
                <w:bCs/>
              </w:rPr>
              <w:t>Metodología</w:t>
            </w:r>
          </w:p>
          <w:p w14:paraId="0B426C80" w14:textId="77777777" w:rsidR="00CC52A3" w:rsidRPr="003B3DC6" w:rsidRDefault="00CC52A3" w:rsidP="00CE1C3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4C25656D" w14:textId="77777777" w:rsidR="00CE1C35" w:rsidRPr="003B3DC6" w:rsidRDefault="00CE1C35" w:rsidP="00CE1C3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3DC6">
              <w:rPr>
                <w:rFonts w:ascii="Times New Roman" w:hAnsi="Times New Roman" w:cs="Times New Roman"/>
                <w:b/>
                <w:bCs/>
              </w:rPr>
              <w:t>Identificación de Genes Clave</w:t>
            </w:r>
          </w:p>
          <w:p w14:paraId="03064DDA" w14:textId="77777777" w:rsidR="003B3DC6" w:rsidRDefault="00CE1C35" w:rsidP="00CE1C3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3B3DC6">
              <w:rPr>
                <w:rFonts w:ascii="Times New Roman" w:hAnsi="Times New Roman" w:cs="Times New Roman"/>
              </w:rPr>
              <w:t xml:space="preserve">Secuenciación genómica: Se utilizó el genoma de referencia de la variedad Real 4, complementado con datos </w:t>
            </w:r>
            <w:proofErr w:type="spellStart"/>
            <w:r w:rsidRPr="003B3DC6">
              <w:rPr>
                <w:rFonts w:ascii="Times New Roman" w:hAnsi="Times New Roman" w:cs="Times New Roman"/>
              </w:rPr>
              <w:t>transcriptómicos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 de tejidos expuestos a estrés salino y sequía.</w:t>
            </w:r>
          </w:p>
          <w:p w14:paraId="5D88A963" w14:textId="5BA9D622" w:rsidR="003B3DC6" w:rsidRPr="003B3DC6" w:rsidRDefault="003B3DC6" w:rsidP="003B3DC6">
            <w:pPr>
              <w:pStyle w:val="Prrafodelista"/>
              <w:ind w:left="10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 la i</w:t>
            </w:r>
            <w:r w:rsidRPr="003B3DC6">
              <w:rPr>
                <w:rFonts w:ascii="Times New Roman" w:hAnsi="Times New Roman" w:cs="Times New Roman"/>
              </w:rPr>
              <w:t xml:space="preserve">dentificación de 10 genes NHX mediante herramientas como BLAST, clasificados en tres subfamilias </w:t>
            </w:r>
            <w:hyperlink w:anchor="Seis" w:history="1">
              <w:r w:rsidRPr="006F6821">
                <w:rPr>
                  <w:rStyle w:val="Hipervnculo"/>
                  <w:rFonts w:ascii="Times New Roman" w:hAnsi="Times New Roman" w:cs="Times New Roman"/>
                </w:rPr>
                <w:t>[6]</w:t>
              </w:r>
            </w:hyperlink>
          </w:p>
          <w:p w14:paraId="7207077A" w14:textId="008920AC" w:rsidR="003B3DC6" w:rsidRPr="003B3DC6" w:rsidRDefault="00CE1C35" w:rsidP="003B3DC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3B3DC6">
              <w:rPr>
                <w:rFonts w:ascii="Times New Roman" w:hAnsi="Times New Roman" w:cs="Times New Roman"/>
              </w:rPr>
              <w:t xml:space="preserve">Análisis bioinformático: Identificación de 10 genes NHX mediante herramientas como BLAST y </w:t>
            </w:r>
            <w:proofErr w:type="spellStart"/>
            <w:r w:rsidRPr="003B3DC6">
              <w:rPr>
                <w:rFonts w:ascii="Times New Roman" w:hAnsi="Times New Roman" w:cs="Times New Roman"/>
              </w:rPr>
              <w:t>Phytozome</w:t>
            </w:r>
            <w:proofErr w:type="spellEnd"/>
            <w:r w:rsidRPr="003B3DC6">
              <w:rPr>
                <w:rFonts w:ascii="Times New Roman" w:hAnsi="Times New Roman" w:cs="Times New Roman"/>
              </w:rPr>
              <w:t>, seguido de análisis filogenético y de motivos reguladores 25.</w:t>
            </w:r>
            <w:r w:rsidR="003B3DC6">
              <w:rPr>
                <w:rFonts w:ascii="Times New Roman" w:hAnsi="Times New Roman" w:cs="Times New Roman"/>
              </w:rPr>
              <w:t xml:space="preserve"> </w:t>
            </w:r>
            <w:hyperlink w:anchor="Uno" w:history="1">
              <w:r w:rsidR="003B3DC6" w:rsidRPr="006F6821">
                <w:rPr>
                  <w:rStyle w:val="Hipervnculo"/>
                  <w:rFonts w:ascii="Times New Roman" w:hAnsi="Times New Roman" w:cs="Times New Roman"/>
                </w:rPr>
                <w:t>[1]</w:t>
              </w:r>
            </w:hyperlink>
          </w:p>
          <w:p w14:paraId="3423F5E2" w14:textId="488A4A87" w:rsidR="00CE1C35" w:rsidRPr="00B01646" w:rsidRDefault="00CE1C35" w:rsidP="00B0164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3B3DC6">
              <w:rPr>
                <w:rFonts w:ascii="Times New Roman" w:hAnsi="Times New Roman" w:cs="Times New Roman"/>
              </w:rPr>
              <w:t>Validación funcional:</w:t>
            </w:r>
            <w:r w:rsidR="003B3DC6">
              <w:rPr>
                <w:rFonts w:ascii="Times New Roman" w:hAnsi="Times New Roman" w:cs="Times New Roman"/>
              </w:rPr>
              <w:t xml:space="preserve"> </w:t>
            </w:r>
            <w:r w:rsidRPr="003B3DC6">
              <w:rPr>
                <w:rFonts w:ascii="Times New Roman" w:hAnsi="Times New Roman" w:cs="Times New Roman"/>
              </w:rPr>
              <w:t xml:space="preserve">Expresión transgénica en             </w:t>
            </w:r>
            <w:proofErr w:type="spellStart"/>
            <w:r w:rsidRPr="003B3DC6">
              <w:rPr>
                <w:rFonts w:ascii="Times New Roman" w:hAnsi="Times New Roman" w:cs="Times New Roman"/>
              </w:rPr>
              <w:t>Arabidopsis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DC6">
              <w:rPr>
                <w:rFonts w:ascii="Times New Roman" w:hAnsi="Times New Roman" w:cs="Times New Roman"/>
              </w:rPr>
              <w:t>thaliana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 y ensayos en la variedad </w:t>
            </w:r>
            <w:proofErr w:type="spellStart"/>
            <w:r w:rsidRPr="003B3DC6">
              <w:rPr>
                <w:rFonts w:ascii="Times New Roman" w:hAnsi="Times New Roman" w:cs="Times New Roman"/>
              </w:rPr>
              <w:t>Him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DC6">
              <w:rPr>
                <w:rFonts w:ascii="Times New Roman" w:hAnsi="Times New Roman" w:cs="Times New Roman"/>
              </w:rPr>
              <w:t>Shakti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, expuesta a concentraciones de NaCl de 0-300 </w:t>
            </w:r>
            <w:proofErr w:type="spellStart"/>
            <w:r w:rsidRPr="003B3DC6">
              <w:rPr>
                <w:rFonts w:ascii="Times New Roman" w:hAnsi="Times New Roman" w:cs="Times New Roman"/>
              </w:rPr>
              <w:t>mM</w:t>
            </w:r>
            <w:proofErr w:type="spellEnd"/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7B18CF82" w14:textId="796C9792" w:rsidR="00CC52A3" w:rsidRPr="003B3DC6" w:rsidRDefault="00CC52A3" w:rsidP="00CE1C35">
            <w:pPr>
              <w:jc w:val="both"/>
              <w:rPr>
                <w:rFonts w:ascii="Times New Roman" w:hAnsi="Times New Roman" w:cs="Times New Roman"/>
              </w:rPr>
            </w:pPr>
            <w:r w:rsidRPr="003B3DC6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FFB2F3" wp14:editId="1E8719C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128905</wp:posOffset>
                      </wp:positionV>
                      <wp:extent cx="2486025" cy="1466850"/>
                      <wp:effectExtent l="0" t="0" r="9525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146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DEDC2" w14:textId="6C922A79" w:rsidR="00CC52A3" w:rsidRDefault="00CC52A3">
                                  <w:r w:rsidRPr="00CC52A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A62F9A" wp14:editId="78C201F3">
                                        <wp:extent cx="2381250" cy="1371600"/>
                                        <wp:effectExtent l="0" t="0" r="0" b="0"/>
                                        <wp:docPr id="16" name="Imagen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9162" cy="13761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FFB2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.45pt;margin-top:10.15pt;width:195.75pt;height:1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" fillcolor="white [3201]" stroked="f" strokeweight=".5pt">
                      <v:textbox>
                        <w:txbxContent>
                          <w:p w14:paraId="7EFDEDC2" w14:textId="6C922A79" w:rsidR="00CC52A3" w:rsidRDefault="00CC52A3">
                            <w:r w:rsidRPr="00CC52A3">
                              <w:rPr>
                                <w:noProof/>
                              </w:rPr>
                              <w:drawing>
                                <wp:inline distT="0" distB="0" distL="0" distR="0" wp14:anchorId="6DA62F9A" wp14:editId="78C201F3">
                                  <wp:extent cx="2381250" cy="1371600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9162" cy="13761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B04A2C" w14:textId="7777777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9B934C1" w14:textId="7777777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680C648" w14:textId="7777777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742AEFC" w14:textId="7777777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A4A9B23" w14:textId="7777777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8FAC14E" w14:textId="7777777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C5251AB" w14:textId="7777777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F56BFA0" w14:textId="7777777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4C79339" w14:textId="7777777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2913BB3" w14:textId="6214C590" w:rsidR="00CC52A3" w:rsidRPr="00B01646" w:rsidRDefault="003B3DC6" w:rsidP="00CC52A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01646">
              <w:rPr>
                <w:rFonts w:ascii="Times New Roman" w:hAnsi="Times New Roman" w:cs="Times New Roman"/>
                <w:i/>
                <w:iCs/>
              </w:rPr>
              <w:t>Figura 1. Perfil transversal de los transectos en el período de 2013 a 2015.</w:t>
            </w:r>
          </w:p>
          <w:p w14:paraId="2A5A6BFE" w14:textId="7777777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6AA7BB0" w14:textId="68AC0576" w:rsidR="00CC52A3" w:rsidRPr="00FF32A3" w:rsidRDefault="00CC52A3" w:rsidP="00FF32A3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2A3">
              <w:rPr>
                <w:rFonts w:ascii="Times New Roman" w:hAnsi="Times New Roman" w:cs="Times New Roman"/>
                <w:b/>
                <w:bCs/>
              </w:rPr>
              <w:t>Resultados</w:t>
            </w:r>
          </w:p>
          <w:p w14:paraId="0557F6A4" w14:textId="5EFB0DDA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3B3DC6">
              <w:rPr>
                <w:rFonts w:ascii="Times New Roman" w:hAnsi="Times New Roman" w:cs="Times New Roman"/>
                <w:u w:val="single"/>
              </w:rPr>
              <w:t>Mecanismos Genéticos de Resistencia</w:t>
            </w:r>
            <w:r w:rsidR="003B3DC6" w:rsidRPr="003B3DC6">
              <w:rPr>
                <w:rFonts w:ascii="Times New Roman" w:hAnsi="Times New Roman" w:cs="Times New Roman"/>
                <w:u w:val="single"/>
              </w:rPr>
              <w:t>:</w:t>
            </w:r>
          </w:p>
          <w:p w14:paraId="1A9DB40B" w14:textId="2C10A4F4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</w:rPr>
            </w:pPr>
            <w:r w:rsidRPr="003B3DC6">
              <w:rPr>
                <w:rFonts w:ascii="Times New Roman" w:hAnsi="Times New Roman" w:cs="Times New Roman"/>
              </w:rPr>
              <w:t>•</w:t>
            </w:r>
            <w:r w:rsidRPr="003B3DC6">
              <w:rPr>
                <w:rFonts w:ascii="Times New Roman" w:hAnsi="Times New Roman" w:cs="Times New Roman"/>
              </w:rPr>
              <w:tab/>
              <w:t xml:space="preserve">Genes NHX: Los 10 genes identificados se clasifican en tres subfamilias según su localización celular (vacuolar, plasmática, </w:t>
            </w:r>
            <w:proofErr w:type="spellStart"/>
            <w:r w:rsidRPr="003B3DC6">
              <w:rPr>
                <w:rFonts w:ascii="Times New Roman" w:hAnsi="Times New Roman" w:cs="Times New Roman"/>
              </w:rPr>
              <w:t>endosómica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). Su expresión se regula por elementos cis en promotores, asociados a señales de estrés abiótico y fitohormonas. </w:t>
            </w:r>
            <w:hyperlink w:anchor="Cinco" w:history="1">
              <w:r w:rsidR="003B3DC6" w:rsidRPr="006F6821">
                <w:rPr>
                  <w:rStyle w:val="Hipervnculo"/>
                  <w:rFonts w:ascii="Times New Roman" w:hAnsi="Times New Roman" w:cs="Times New Roman"/>
                </w:rPr>
                <w:t>[5]</w:t>
              </w:r>
            </w:hyperlink>
          </w:p>
          <w:p w14:paraId="30EC7E89" w14:textId="56E31437" w:rsidR="00CC52A3" w:rsidRPr="003B3DC6" w:rsidRDefault="00CC52A3" w:rsidP="00CC52A3">
            <w:pPr>
              <w:jc w:val="both"/>
              <w:rPr>
                <w:rFonts w:ascii="Times New Roman" w:hAnsi="Times New Roman" w:cs="Times New Roman"/>
              </w:rPr>
            </w:pPr>
            <w:r w:rsidRPr="003B3DC6">
              <w:rPr>
                <w:rFonts w:ascii="Times New Roman" w:hAnsi="Times New Roman" w:cs="Times New Roman"/>
              </w:rPr>
              <w:t>•</w:t>
            </w:r>
            <w:r w:rsidRPr="003B3DC6">
              <w:rPr>
                <w:rFonts w:ascii="Times New Roman" w:hAnsi="Times New Roman" w:cs="Times New Roman"/>
              </w:rPr>
              <w:tab/>
              <w:t xml:space="preserve">Transporte iónico: Las proteínas NHX facilitan el secuestro de </w:t>
            </w:r>
            <w:proofErr w:type="spellStart"/>
            <w:r w:rsidRPr="003B3DC6">
              <w:rPr>
                <w:rFonts w:ascii="Times New Roman" w:hAnsi="Times New Roman" w:cs="Times New Roman"/>
              </w:rPr>
              <w:t>Na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+ en vacuolas, reduciendo la toxicidad celular. La variedad </w:t>
            </w:r>
            <w:proofErr w:type="spellStart"/>
            <w:r w:rsidRPr="003B3DC6">
              <w:rPr>
                <w:rFonts w:ascii="Times New Roman" w:hAnsi="Times New Roman" w:cs="Times New Roman"/>
              </w:rPr>
              <w:t>Him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DC6">
              <w:rPr>
                <w:rFonts w:ascii="Times New Roman" w:hAnsi="Times New Roman" w:cs="Times New Roman"/>
              </w:rPr>
              <w:t>Shakti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 mostró un 40%</w:t>
            </w:r>
            <w:r w:rsidR="003B3DC6">
              <w:rPr>
                <w:rFonts w:ascii="Times New Roman" w:hAnsi="Times New Roman" w:cs="Times New Roman"/>
              </w:rPr>
              <w:t>.</w:t>
            </w:r>
            <w:hyperlink w:anchor="Siete" w:history="1">
              <w:r w:rsidR="003B3DC6" w:rsidRPr="006F6821">
                <w:rPr>
                  <w:rStyle w:val="Hipervnculo"/>
                  <w:rFonts w:ascii="Times New Roman" w:hAnsi="Times New Roman" w:cs="Times New Roman"/>
                </w:rPr>
                <w:t>[7]</w:t>
              </w:r>
            </w:hyperlink>
          </w:p>
          <w:p w14:paraId="6EA49CC0" w14:textId="77777777" w:rsidR="00CC52A3" w:rsidRPr="003B3DC6" w:rsidRDefault="00CC52A3" w:rsidP="00CE1C35">
            <w:pPr>
              <w:jc w:val="both"/>
              <w:rPr>
                <w:rFonts w:ascii="Times New Roman" w:hAnsi="Times New Roman" w:cs="Times New Roman"/>
              </w:rPr>
            </w:pPr>
          </w:p>
          <w:p w14:paraId="4652DC1D" w14:textId="719C12B4" w:rsidR="00CE1C35" w:rsidRPr="003B3DC6" w:rsidRDefault="00CE1C35" w:rsidP="00CE1C35">
            <w:pPr>
              <w:jc w:val="both"/>
              <w:rPr>
                <w:rFonts w:ascii="Times New Roman" w:hAnsi="Times New Roman" w:cs="Times New Roman"/>
              </w:rPr>
            </w:pPr>
            <w:r w:rsidRPr="003B3DC6">
              <w:rPr>
                <w:rFonts w:ascii="Times New Roman" w:hAnsi="Times New Roman" w:cs="Times New Roman"/>
              </w:rPr>
              <w:t>•</w:t>
            </w:r>
            <w:r w:rsidRPr="003B3DC6">
              <w:rPr>
                <w:rFonts w:ascii="Times New Roman" w:hAnsi="Times New Roman" w:cs="Times New Roman"/>
              </w:rPr>
              <w:tab/>
              <w:t xml:space="preserve">Edición genética: La inserción del gen NHX1 en </w:t>
            </w:r>
            <w:proofErr w:type="spellStart"/>
            <w:r w:rsidRPr="003B3DC6">
              <w:rPr>
                <w:rFonts w:ascii="Times New Roman" w:hAnsi="Times New Roman" w:cs="Times New Roman"/>
              </w:rPr>
              <w:t>Arabidopsis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 aumentó su supervivencia en suelos con 200 </w:t>
            </w:r>
            <w:proofErr w:type="spellStart"/>
            <w:r w:rsidRPr="003B3DC6">
              <w:rPr>
                <w:rFonts w:ascii="Times New Roman" w:hAnsi="Times New Roman" w:cs="Times New Roman"/>
              </w:rPr>
              <w:t>mM</w:t>
            </w:r>
            <w:proofErr w:type="spellEnd"/>
            <w:r w:rsidRPr="003B3DC6">
              <w:rPr>
                <w:rFonts w:ascii="Times New Roman" w:hAnsi="Times New Roman" w:cs="Times New Roman"/>
              </w:rPr>
              <w:t xml:space="preserve"> de NaCl, confirmando su papel en la homeostasis iónica 1.</w:t>
            </w:r>
          </w:p>
          <w:p w14:paraId="13127CFB" w14:textId="77777777" w:rsidR="003157A7" w:rsidRPr="003B3DC6" w:rsidRDefault="003157A7" w:rsidP="00CE1C35">
            <w:pPr>
              <w:jc w:val="both"/>
              <w:rPr>
                <w:rFonts w:ascii="Times New Roman" w:hAnsi="Times New Roman" w:cs="Times New Roman"/>
              </w:rPr>
            </w:pPr>
          </w:p>
          <w:p w14:paraId="003F3877" w14:textId="77777777" w:rsidR="00CE1C35" w:rsidRPr="003B3DC6" w:rsidRDefault="00CE1C35" w:rsidP="00CE1C3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3B3DC6">
              <w:rPr>
                <w:rFonts w:ascii="Times New Roman" w:hAnsi="Times New Roman" w:cs="Times New Roman"/>
                <w:u w:val="single"/>
              </w:rPr>
              <w:t>Desarrollo de Variedades Mejoradas</w:t>
            </w:r>
          </w:p>
          <w:p w14:paraId="629CBF9B" w14:textId="74B4725D" w:rsidR="003157A7" w:rsidRPr="003B3DC6" w:rsidRDefault="00CE1C35" w:rsidP="003157A7">
            <w:pPr>
              <w:jc w:val="both"/>
              <w:rPr>
                <w:rFonts w:ascii="Times New Roman" w:hAnsi="Times New Roman" w:cs="Times New Roman"/>
              </w:rPr>
            </w:pPr>
            <w:r w:rsidRPr="003B3DC6">
              <w:rPr>
                <w:rFonts w:ascii="Times New Roman" w:hAnsi="Times New Roman" w:cs="Times New Roman"/>
              </w:rPr>
              <w:t>•</w:t>
            </w:r>
            <w:r w:rsidRPr="003B3DC6">
              <w:rPr>
                <w:rFonts w:ascii="Times New Roman" w:hAnsi="Times New Roman" w:cs="Times New Roman"/>
              </w:rPr>
              <w:tab/>
              <w:t xml:space="preserve">Híbridos tolerantes: La Universidad Brigham Young desarrolló híbridos que crecen en suelos con pH 8.5-9.0 y </w:t>
            </w:r>
          </w:p>
        </w:tc>
      </w:tr>
    </w:tbl>
    <w:tbl>
      <w:tblPr>
        <w:tblStyle w:val="Tablaconcuadrcula"/>
        <w:tblpPr w:leftFromText="141" w:rightFromText="141" w:vertAnchor="text" w:horzAnchor="margin" w:tblpY="27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B3DC6" w14:paraId="4E25B3DA" w14:textId="77777777" w:rsidTr="006F6821">
        <w:trPr>
          <w:trHeight w:val="13173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5D539B3D" w14:textId="77777777" w:rsidR="00F51BC6" w:rsidRDefault="00F51BC6" w:rsidP="00B01646">
            <w:pPr>
              <w:rPr>
                <w:rFonts w:ascii="Times New Roman" w:hAnsi="Times New Roman" w:cs="Times New Roman"/>
              </w:rPr>
            </w:pPr>
            <w:r w:rsidRPr="00F51BC6">
              <w:rPr>
                <w:rFonts w:ascii="Times New Roman" w:hAnsi="Times New Roman" w:cs="Times New Roman"/>
              </w:rPr>
              <w:lastRenderedPageBreak/>
              <w:t xml:space="preserve">conductividad eléctrica &gt;10 </w:t>
            </w:r>
            <w:proofErr w:type="spellStart"/>
            <w:r w:rsidRPr="00F51BC6">
              <w:rPr>
                <w:rFonts w:ascii="Times New Roman" w:hAnsi="Times New Roman" w:cs="Times New Roman"/>
              </w:rPr>
              <w:t>dS</w:t>
            </w:r>
            <w:proofErr w:type="spellEnd"/>
            <w:r w:rsidRPr="00F51BC6">
              <w:rPr>
                <w:rFonts w:ascii="Times New Roman" w:hAnsi="Times New Roman" w:cs="Times New Roman"/>
              </w:rPr>
              <w:t>/m, manteniendo rendimientos de 2.5-3 t/</w:t>
            </w:r>
            <w:proofErr w:type="gramStart"/>
            <w:r w:rsidRPr="00F51BC6">
              <w:rPr>
                <w:rFonts w:ascii="Times New Roman" w:hAnsi="Times New Roman" w:cs="Times New Roman"/>
              </w:rPr>
              <w:t>ha .</w:t>
            </w:r>
            <w:proofErr w:type="gramEnd"/>
          </w:p>
          <w:p w14:paraId="3D8EB8E7" w14:textId="61A45069" w:rsidR="00F51BC6" w:rsidRDefault="00B01646" w:rsidP="00B01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ADB351" wp14:editId="15D9E407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81279</wp:posOffset>
                      </wp:positionV>
                      <wp:extent cx="2400300" cy="1285875"/>
                      <wp:effectExtent l="0" t="0" r="0" b="952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0300" cy="1285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F35181" w14:textId="2B128C1A" w:rsidR="00B01646" w:rsidRPr="00B01646" w:rsidRDefault="00B01646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957D04" wp14:editId="3D148990">
                                        <wp:extent cx="2247900" cy="1171575"/>
                                        <wp:effectExtent l="0" t="0" r="0" b="9525"/>
                                        <wp:docPr id="17" name="Imagen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9"/>
                                                <a:srcRect l="22224" t="47973" r="43203" b="2474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51726" cy="11735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DB351" id="Cuadro de texto 4" o:spid="_x0000_s1027" type="#_x0000_t202" style="position:absolute;margin-left:7.55pt;margin-top:6.4pt;width:189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" fillcolor="white [3201]" stroked="f" strokeweight=".5pt">
                      <v:textbox>
                        <w:txbxContent>
                          <w:p w14:paraId="78F35181" w14:textId="2B128C1A" w:rsidR="00B01646" w:rsidRPr="00B01646" w:rsidRDefault="00B0164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957D04" wp14:editId="3D148990">
                                  <wp:extent cx="2247900" cy="1171575"/>
                                  <wp:effectExtent l="0" t="0" r="0" b="9525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l="22224" t="47973" r="43203" b="2474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1726" cy="1173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1DC9F6" w14:textId="77777777" w:rsidR="00F51BC6" w:rsidRDefault="00F51BC6" w:rsidP="00B01646">
            <w:pPr>
              <w:rPr>
                <w:rFonts w:ascii="Times New Roman" w:hAnsi="Times New Roman" w:cs="Times New Roman"/>
              </w:rPr>
            </w:pPr>
          </w:p>
          <w:p w14:paraId="6CC23EA8" w14:textId="77777777" w:rsidR="00B01646" w:rsidRDefault="00B01646" w:rsidP="00B01646">
            <w:pPr>
              <w:rPr>
                <w:rFonts w:ascii="Times New Roman" w:hAnsi="Times New Roman" w:cs="Times New Roman"/>
              </w:rPr>
            </w:pPr>
          </w:p>
          <w:p w14:paraId="30E7F6C0" w14:textId="77777777" w:rsidR="00B01646" w:rsidRDefault="00B01646" w:rsidP="00B01646">
            <w:pPr>
              <w:rPr>
                <w:rFonts w:ascii="Times New Roman" w:hAnsi="Times New Roman" w:cs="Times New Roman"/>
              </w:rPr>
            </w:pPr>
          </w:p>
          <w:p w14:paraId="4CBC670E" w14:textId="77777777" w:rsidR="00B01646" w:rsidRDefault="00B01646" w:rsidP="00B01646">
            <w:pPr>
              <w:rPr>
                <w:rFonts w:ascii="Times New Roman" w:hAnsi="Times New Roman" w:cs="Times New Roman"/>
              </w:rPr>
            </w:pPr>
          </w:p>
          <w:p w14:paraId="5A1D2C46" w14:textId="77777777" w:rsidR="00B01646" w:rsidRDefault="00B01646" w:rsidP="00B01646">
            <w:pPr>
              <w:rPr>
                <w:rFonts w:ascii="Times New Roman" w:hAnsi="Times New Roman" w:cs="Times New Roman"/>
              </w:rPr>
            </w:pPr>
          </w:p>
          <w:p w14:paraId="0B7CE619" w14:textId="77777777" w:rsidR="00B01646" w:rsidRDefault="00B01646" w:rsidP="00B01646">
            <w:pPr>
              <w:rPr>
                <w:rFonts w:ascii="Times New Roman" w:hAnsi="Times New Roman" w:cs="Times New Roman"/>
              </w:rPr>
            </w:pPr>
          </w:p>
          <w:p w14:paraId="3830A53D" w14:textId="77777777" w:rsidR="00B01646" w:rsidRDefault="00B01646" w:rsidP="00B01646">
            <w:pPr>
              <w:rPr>
                <w:rFonts w:ascii="Times New Roman" w:hAnsi="Times New Roman" w:cs="Times New Roman"/>
              </w:rPr>
            </w:pPr>
          </w:p>
          <w:p w14:paraId="5480FF38" w14:textId="77777777" w:rsidR="00B01646" w:rsidRDefault="00B01646" w:rsidP="00B01646">
            <w:pPr>
              <w:rPr>
                <w:rFonts w:ascii="Times New Roman" w:hAnsi="Times New Roman" w:cs="Times New Roman"/>
              </w:rPr>
            </w:pPr>
          </w:p>
          <w:p w14:paraId="7333AF95" w14:textId="3D3ADC26" w:rsidR="00B01646" w:rsidRPr="00B01646" w:rsidRDefault="00B01646" w:rsidP="00B01646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01646">
              <w:rPr>
                <w:rFonts w:ascii="Times New Roman" w:hAnsi="Times New Roman" w:cs="Times New Roman"/>
                <w:i/>
                <w:iCs/>
              </w:rPr>
              <w:t>Figura 2. Descripción de la combinación en los experimentos, la disposición del alimento va de una a tres zonas de alimentación más una distribución uniforme.</w:t>
            </w:r>
          </w:p>
          <w:p w14:paraId="6B7758C3" w14:textId="77777777" w:rsidR="00F51BC6" w:rsidRPr="00F51BC6" w:rsidRDefault="00F51BC6" w:rsidP="00B01646">
            <w:pPr>
              <w:rPr>
                <w:rFonts w:ascii="Times New Roman" w:hAnsi="Times New Roman" w:cs="Times New Roman"/>
              </w:rPr>
            </w:pPr>
          </w:p>
          <w:p w14:paraId="5CC22B23" w14:textId="77777777" w:rsidR="003B3DC6" w:rsidRPr="00B01646" w:rsidRDefault="00F51BC6" w:rsidP="00B01646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 w:rsidRPr="00F51BC6">
              <w:rPr>
                <w:rFonts w:ascii="Times New Roman" w:hAnsi="Times New Roman" w:cs="Times New Roman"/>
              </w:rPr>
              <w:t>Reducción de saponinas: Mediante CRISPR-Cas9, se silenciaron genes de saponinas en variedades dulces, mejorando su aceptación comercial sin comprometer la resistencia</w:t>
            </w:r>
          </w:p>
          <w:p w14:paraId="5F4D87D5" w14:textId="248F6D4E" w:rsidR="00B01646" w:rsidRDefault="00B01646" w:rsidP="00B01646">
            <w:pPr>
              <w:pStyle w:val="Prrafodelista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610774" wp14:editId="00473536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114935</wp:posOffset>
                      </wp:positionV>
                      <wp:extent cx="2124075" cy="1362075"/>
                      <wp:effectExtent l="0" t="0" r="9525" b="952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4075" cy="1362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592887" w14:textId="1CF8EE95" w:rsidR="00B01646" w:rsidRDefault="00B0164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E57BF6" wp14:editId="29EDDC15">
                                        <wp:extent cx="2019300" cy="1209675"/>
                                        <wp:effectExtent l="0" t="0" r="0" b="9525"/>
                                        <wp:docPr id="18" name="Imagen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0"/>
                                                <a:srcRect l="25576" t="25711" r="48671" b="4481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19300" cy="1209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10774" id="Cuadro de texto 6" o:spid="_x0000_s1028" type="#_x0000_t202" style="position:absolute;left:0;text-align:left;margin-left:18.05pt;margin-top:9.05pt;width:167.25pt;height:10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" fillcolor="white [3201]" stroked="f" strokeweight=".5pt">
                      <v:textbox>
                        <w:txbxContent>
                          <w:p w14:paraId="72592887" w14:textId="1CF8EE95" w:rsidR="00B01646" w:rsidRDefault="00B016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E57BF6" wp14:editId="29EDDC15">
                                  <wp:extent cx="2019300" cy="1209675"/>
                                  <wp:effectExtent l="0" t="0" r="0" b="9525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l="25576" t="25711" r="48671" b="448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0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E188DC" w14:textId="77777777" w:rsidR="00B01646" w:rsidRDefault="00B01646" w:rsidP="00B01646">
            <w:pPr>
              <w:pStyle w:val="Prrafodelista"/>
              <w:rPr>
                <w:b/>
                <w:bCs/>
              </w:rPr>
            </w:pPr>
          </w:p>
          <w:p w14:paraId="1C56283C" w14:textId="77777777" w:rsidR="00B01646" w:rsidRDefault="00B01646" w:rsidP="00B01646">
            <w:pPr>
              <w:pStyle w:val="Prrafodelista"/>
              <w:rPr>
                <w:b/>
                <w:bCs/>
              </w:rPr>
            </w:pPr>
          </w:p>
          <w:p w14:paraId="612C18E8" w14:textId="77777777" w:rsidR="00B01646" w:rsidRDefault="00B01646" w:rsidP="00B01646">
            <w:pPr>
              <w:pStyle w:val="Prrafodelista"/>
              <w:rPr>
                <w:b/>
                <w:bCs/>
              </w:rPr>
            </w:pPr>
          </w:p>
          <w:p w14:paraId="4EC9ADB1" w14:textId="77777777" w:rsidR="00B01646" w:rsidRDefault="00B01646" w:rsidP="00B01646">
            <w:pPr>
              <w:pStyle w:val="Prrafodelista"/>
              <w:rPr>
                <w:b/>
                <w:bCs/>
              </w:rPr>
            </w:pPr>
          </w:p>
          <w:p w14:paraId="0AFBE32C" w14:textId="77777777" w:rsidR="00B01646" w:rsidRDefault="00B01646" w:rsidP="00B01646">
            <w:pPr>
              <w:pStyle w:val="Prrafodelista"/>
              <w:rPr>
                <w:b/>
                <w:bCs/>
              </w:rPr>
            </w:pPr>
          </w:p>
          <w:p w14:paraId="760F4DDE" w14:textId="77777777" w:rsidR="00B01646" w:rsidRDefault="00B01646" w:rsidP="00B01646">
            <w:pPr>
              <w:pStyle w:val="Prrafodelista"/>
              <w:rPr>
                <w:b/>
                <w:bCs/>
              </w:rPr>
            </w:pPr>
          </w:p>
          <w:p w14:paraId="4B077952" w14:textId="77777777" w:rsidR="00B01646" w:rsidRDefault="00B01646" w:rsidP="00B01646">
            <w:pPr>
              <w:pStyle w:val="Prrafodelista"/>
              <w:rPr>
                <w:b/>
                <w:bCs/>
              </w:rPr>
            </w:pPr>
          </w:p>
          <w:p w14:paraId="65F02486" w14:textId="77777777" w:rsidR="00B01646" w:rsidRDefault="00B01646" w:rsidP="00B01646">
            <w:pPr>
              <w:pStyle w:val="Prrafodelista"/>
              <w:rPr>
                <w:b/>
                <w:bCs/>
              </w:rPr>
            </w:pPr>
          </w:p>
          <w:p w14:paraId="7A8AFC91" w14:textId="77777777" w:rsidR="00B01646" w:rsidRPr="00B01646" w:rsidRDefault="00B01646" w:rsidP="00B01646">
            <w:pPr>
              <w:rPr>
                <w:rFonts w:ascii="Times New Roman" w:hAnsi="Times New Roman" w:cs="Times New Roman"/>
                <w:i/>
                <w:iCs/>
              </w:rPr>
            </w:pPr>
            <w:r w:rsidRPr="00B01646">
              <w:rPr>
                <w:rFonts w:ascii="Times New Roman" w:hAnsi="Times New Roman" w:cs="Times New Roman"/>
                <w:i/>
                <w:iCs/>
              </w:rPr>
              <w:t>Figura 16. Experimento 1: Configuración 3Z-N-I. Histogramas de</w:t>
            </w:r>
          </w:p>
          <w:p w14:paraId="41083831" w14:textId="77777777" w:rsidR="00B01646" w:rsidRPr="00B01646" w:rsidRDefault="00B01646" w:rsidP="00B01646">
            <w:pPr>
              <w:rPr>
                <w:rFonts w:ascii="Times New Roman" w:hAnsi="Times New Roman" w:cs="Times New Roman"/>
                <w:i/>
                <w:iCs/>
              </w:rPr>
            </w:pPr>
            <w:r w:rsidRPr="00B01646">
              <w:rPr>
                <w:rFonts w:ascii="Times New Roman" w:hAnsi="Times New Roman" w:cs="Times New Roman"/>
                <w:i/>
                <w:iCs/>
              </w:rPr>
              <w:t>la frecuencia de tamaños, para la muestra final en la simulación.</w:t>
            </w:r>
          </w:p>
          <w:p w14:paraId="0DBE89A0" w14:textId="736090D5" w:rsidR="00B01646" w:rsidRPr="00B01646" w:rsidRDefault="00B01646" w:rsidP="00B01646">
            <w:pPr>
              <w:rPr>
                <w:rFonts w:ascii="Times New Roman" w:hAnsi="Times New Roman" w:cs="Times New Roman"/>
                <w:i/>
                <w:iCs/>
              </w:rPr>
            </w:pPr>
            <w:r w:rsidRPr="00B01646">
              <w:rPr>
                <w:rFonts w:ascii="Times New Roman" w:hAnsi="Times New Roman" w:cs="Times New Roman"/>
                <w:i/>
                <w:iCs/>
              </w:rPr>
              <w:t>Los histogramas se realizan con 40 cajas en el eje y</w:t>
            </w:r>
          </w:p>
          <w:p w14:paraId="0BC32B86" w14:textId="77777777" w:rsidR="00B01646" w:rsidRDefault="00B01646" w:rsidP="00B01646">
            <w:pPr>
              <w:pStyle w:val="Prrafodelista"/>
              <w:rPr>
                <w:b/>
                <w:bCs/>
              </w:rPr>
            </w:pPr>
          </w:p>
          <w:p w14:paraId="3B8A7C7F" w14:textId="77777777" w:rsidR="00B01646" w:rsidRDefault="00B01646" w:rsidP="00B01646">
            <w:pPr>
              <w:pStyle w:val="Prrafodelista"/>
              <w:rPr>
                <w:b/>
                <w:bCs/>
              </w:rPr>
            </w:pPr>
          </w:p>
          <w:p w14:paraId="263C31D0" w14:textId="77777777" w:rsidR="00B01646" w:rsidRPr="00FF32A3" w:rsidRDefault="00B01646" w:rsidP="00FF32A3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2A3">
              <w:rPr>
                <w:rFonts w:ascii="Times New Roman" w:hAnsi="Times New Roman" w:cs="Times New Roman"/>
                <w:b/>
                <w:bCs/>
              </w:rPr>
              <w:t>Discusión</w:t>
            </w:r>
          </w:p>
          <w:p w14:paraId="6E4FAD03" w14:textId="77777777" w:rsidR="00B01646" w:rsidRPr="006F6821" w:rsidRDefault="00B01646" w:rsidP="00B01646">
            <w:pPr>
              <w:rPr>
                <w:rFonts w:ascii="Times New Roman" w:hAnsi="Times New Roman" w:cs="Times New Roman"/>
                <w:u w:val="single"/>
              </w:rPr>
            </w:pPr>
            <w:r w:rsidRPr="006F6821">
              <w:rPr>
                <w:rFonts w:ascii="Times New Roman" w:hAnsi="Times New Roman" w:cs="Times New Roman"/>
                <w:u w:val="single"/>
              </w:rPr>
              <w:t>Implicaciones para la Agricultura Sostenible</w:t>
            </w:r>
          </w:p>
          <w:p w14:paraId="01AD2BA1" w14:textId="1CB0DC7A" w:rsidR="00B01646" w:rsidRPr="006F6821" w:rsidRDefault="00B01646" w:rsidP="00B01646">
            <w:pPr>
              <w:rPr>
                <w:rFonts w:ascii="Times New Roman" w:hAnsi="Times New Roman" w:cs="Times New Roman"/>
              </w:rPr>
            </w:pPr>
            <w:r w:rsidRPr="006F6821">
              <w:rPr>
                <w:rFonts w:ascii="Times New Roman" w:hAnsi="Times New Roman" w:cs="Times New Roman"/>
              </w:rPr>
              <w:t>La modificación de genes NHX ofrece una vía prometedora para expandir el cultivo de quinua a regiones afectadas por salinización (≈45% de tierras agrícolas globales</w:t>
            </w:r>
            <w:proofErr w:type="gramStart"/>
            <w:r w:rsidRPr="006F6821">
              <w:rPr>
                <w:rFonts w:ascii="Times New Roman" w:hAnsi="Times New Roman" w:cs="Times New Roman"/>
              </w:rPr>
              <w:t>) .</w:t>
            </w:r>
            <w:proofErr w:type="gramEnd"/>
            <w:r w:rsidRPr="006F6821">
              <w:rPr>
                <w:rFonts w:ascii="Times New Roman" w:hAnsi="Times New Roman" w:cs="Times New Roman"/>
              </w:rPr>
              <w:t xml:space="preserve"> Además, la combinación de resistencia genética y </w:t>
            </w:r>
            <w:proofErr w:type="spellStart"/>
            <w:r w:rsidRPr="006F6821">
              <w:rPr>
                <w:rFonts w:ascii="Times New Roman" w:hAnsi="Times New Roman" w:cs="Times New Roman"/>
              </w:rPr>
              <w:t>biofortificación</w:t>
            </w:r>
            <w:proofErr w:type="spellEnd"/>
            <w:r w:rsidRPr="006F6821">
              <w:rPr>
                <w:rFonts w:ascii="Times New Roman" w:hAnsi="Times New Roman" w:cs="Times New Roman"/>
              </w:rPr>
              <w:t xml:space="preserve"> (ej. aumento de lisina y metionina) podría convertirla en un cultivo clave para dietas en zonas </w:t>
            </w:r>
            <w:proofErr w:type="gramStart"/>
            <w:r w:rsidRPr="006F6821">
              <w:rPr>
                <w:rFonts w:ascii="Times New Roman" w:hAnsi="Times New Roman" w:cs="Times New Roman"/>
              </w:rPr>
              <w:t>áridas .</w:t>
            </w:r>
            <w:proofErr w:type="gramEnd"/>
            <w:r w:rsidR="00553D25">
              <w:fldChar w:fldCharType="begin"/>
            </w:r>
            <w:r w:rsidR="00553D25">
              <w:instrText xml:space="preserve"> HYPERLINK \l "Cuatro" </w:instrText>
            </w:r>
            <w:r w:rsidR="00553D25">
              <w:fldChar w:fldCharType="separate"/>
            </w:r>
            <w:r w:rsidR="006F6821" w:rsidRPr="006F6821">
              <w:rPr>
                <w:rStyle w:val="Hipervnculo"/>
                <w:rFonts w:ascii="Times New Roman" w:hAnsi="Times New Roman" w:cs="Times New Roman"/>
              </w:rPr>
              <w:t>[4]</w:t>
            </w:r>
            <w:r w:rsidR="00553D25">
              <w:rPr>
                <w:rStyle w:val="Hipervnculo"/>
                <w:rFonts w:ascii="Times New Roman" w:hAnsi="Times New Roman" w:cs="Times New Roman"/>
              </w:rPr>
              <w:fldChar w:fldCharType="end"/>
            </w:r>
          </w:p>
          <w:p w14:paraId="6B6F6360" w14:textId="77777777" w:rsidR="00B01646" w:rsidRPr="006F6821" w:rsidRDefault="00B01646" w:rsidP="00B01646">
            <w:pPr>
              <w:rPr>
                <w:rFonts w:ascii="Times New Roman" w:hAnsi="Times New Roman" w:cs="Times New Roman"/>
              </w:rPr>
            </w:pPr>
          </w:p>
          <w:p w14:paraId="2B445A4E" w14:textId="2F0C7473" w:rsidR="00B01646" w:rsidRPr="006F6821" w:rsidRDefault="00B01646" w:rsidP="00B01646">
            <w:pPr>
              <w:rPr>
                <w:rFonts w:ascii="Times New Roman" w:hAnsi="Times New Roman" w:cs="Times New Roman"/>
                <w:u w:val="single"/>
              </w:rPr>
            </w:pPr>
            <w:r w:rsidRPr="006F6821">
              <w:rPr>
                <w:rFonts w:ascii="Times New Roman" w:hAnsi="Times New Roman" w:cs="Times New Roman"/>
                <w:u w:val="single"/>
              </w:rPr>
              <w:t xml:space="preserve">Limitaciones y </w:t>
            </w:r>
            <w:r w:rsidR="00FF32A3">
              <w:rPr>
                <w:rStyle w:val="Refdenotaalpie"/>
                <w:rFonts w:ascii="Times New Roman" w:hAnsi="Times New Roman" w:cs="Times New Roman"/>
                <w:u w:val="single"/>
              </w:rPr>
              <w:footnoteReference w:id="1"/>
            </w:r>
            <w:r w:rsidRPr="006F6821">
              <w:rPr>
                <w:rFonts w:ascii="Times New Roman" w:hAnsi="Times New Roman" w:cs="Times New Roman"/>
                <w:u w:val="single"/>
              </w:rPr>
              <w:t>Perspectivas Futuras</w:t>
            </w:r>
          </w:p>
          <w:p w14:paraId="0D580A88" w14:textId="5C107869" w:rsidR="00B01646" w:rsidRPr="006F6821" w:rsidRDefault="00B01646" w:rsidP="006F6821">
            <w:pPr>
              <w:rPr>
                <w:b/>
                <w:bCs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</w:tcPr>
          <w:p w14:paraId="0536D4A2" w14:textId="60F9BC20" w:rsidR="00FF32A3" w:rsidRPr="00FF32A3" w:rsidRDefault="00FF32A3" w:rsidP="00FF32A3">
            <w:pPr>
              <w:jc w:val="both"/>
              <w:rPr>
                <w:rFonts w:ascii="Times New Roman" w:hAnsi="Times New Roman" w:cs="Times New Roman"/>
              </w:rPr>
            </w:pPr>
            <w:r w:rsidRPr="00FF32A3">
              <w:rPr>
                <w:rFonts w:ascii="Times New Roman" w:hAnsi="Times New Roman" w:cs="Times New Roman"/>
              </w:rPr>
              <w:t>Aunque los avances son significativos, persisten desafíos:</w:t>
            </w:r>
          </w:p>
          <w:p w14:paraId="7A9E9CBA" w14:textId="521EDDFB" w:rsidR="006F6821" w:rsidRPr="006F6821" w:rsidRDefault="006F6821" w:rsidP="00FF32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6F6821">
              <w:rPr>
                <w:rFonts w:ascii="Times New Roman" w:hAnsi="Times New Roman" w:cs="Times New Roman"/>
              </w:rPr>
              <w:t xml:space="preserve">Aceptación regulatoria: Solo el 30% de países con cultivos transgénicos tienen marcos legales para edición </w:t>
            </w:r>
            <w:proofErr w:type="gramStart"/>
            <w:r w:rsidRPr="006F6821">
              <w:rPr>
                <w:rFonts w:ascii="Times New Roman" w:hAnsi="Times New Roman" w:cs="Times New Roman"/>
              </w:rPr>
              <w:t>genética .</w:t>
            </w:r>
            <w:proofErr w:type="gramEnd"/>
          </w:p>
          <w:p w14:paraId="31EF8A0D" w14:textId="77777777" w:rsidR="006F6821" w:rsidRPr="006F6821" w:rsidRDefault="006F6821" w:rsidP="00FF32A3">
            <w:pPr>
              <w:jc w:val="both"/>
              <w:rPr>
                <w:rFonts w:ascii="Times New Roman" w:hAnsi="Times New Roman" w:cs="Times New Roman"/>
              </w:rPr>
            </w:pPr>
          </w:p>
          <w:p w14:paraId="077E8348" w14:textId="77777777" w:rsidR="003B3DC6" w:rsidRPr="006F6821" w:rsidRDefault="006F6821" w:rsidP="00FF32A3">
            <w:pPr>
              <w:pStyle w:val="Prrafodelista"/>
              <w:numPr>
                <w:ilvl w:val="0"/>
                <w:numId w:val="10"/>
              </w:numPr>
              <w:jc w:val="both"/>
              <w:rPr>
                <w:b/>
                <w:bCs/>
              </w:rPr>
            </w:pPr>
            <w:r w:rsidRPr="006F6821">
              <w:rPr>
                <w:rFonts w:ascii="Times New Roman" w:hAnsi="Times New Roman" w:cs="Times New Roman"/>
              </w:rPr>
              <w:t>Interacciones gen-ambiente: La sobreexpresión de NHX en condiciones no estresantes podría reducir el crecimiento en un 15%, requiriendo promotores inducibles</w:t>
            </w:r>
          </w:p>
          <w:p w14:paraId="1B7F1289" w14:textId="77777777" w:rsidR="006F6821" w:rsidRPr="006F6821" w:rsidRDefault="006F6821" w:rsidP="00FF32A3">
            <w:pPr>
              <w:pStyle w:val="Prrafodelista"/>
              <w:jc w:val="both"/>
              <w:rPr>
                <w:b/>
                <w:bCs/>
              </w:rPr>
            </w:pPr>
          </w:p>
          <w:p w14:paraId="5B13733D" w14:textId="77777777" w:rsidR="006F6821" w:rsidRPr="00FF32A3" w:rsidRDefault="006F6821" w:rsidP="00FF32A3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2A3">
              <w:rPr>
                <w:rFonts w:ascii="Times New Roman" w:hAnsi="Times New Roman" w:cs="Times New Roman"/>
                <w:b/>
                <w:bCs/>
              </w:rPr>
              <w:t>Conclusiones</w:t>
            </w:r>
          </w:p>
          <w:p w14:paraId="1A4AA124" w14:textId="77777777" w:rsidR="006F6821" w:rsidRPr="006F6821" w:rsidRDefault="006F6821" w:rsidP="00FF32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94988AE" w14:textId="77777777" w:rsidR="006F6821" w:rsidRDefault="006F6821" w:rsidP="00FF32A3">
            <w:pPr>
              <w:jc w:val="both"/>
              <w:rPr>
                <w:rFonts w:ascii="Times New Roman" w:hAnsi="Times New Roman" w:cs="Times New Roman"/>
              </w:rPr>
            </w:pPr>
            <w:r w:rsidRPr="006F6821">
              <w:rPr>
                <w:rFonts w:ascii="Times New Roman" w:hAnsi="Times New Roman" w:cs="Times New Roman"/>
              </w:rPr>
              <w:t xml:space="preserve">La ingeniería de genes NHX en quinua mediante CRISPR y análisis </w:t>
            </w:r>
            <w:proofErr w:type="spellStart"/>
            <w:r w:rsidRPr="006F6821">
              <w:rPr>
                <w:rFonts w:ascii="Times New Roman" w:hAnsi="Times New Roman" w:cs="Times New Roman"/>
              </w:rPr>
              <w:t>multiómico</w:t>
            </w:r>
            <w:proofErr w:type="spellEnd"/>
            <w:r w:rsidRPr="006F6821">
              <w:rPr>
                <w:rFonts w:ascii="Times New Roman" w:hAnsi="Times New Roman" w:cs="Times New Roman"/>
              </w:rPr>
              <w:t xml:space="preserve"> ofrece soluciones concretas para la agricultura en condiciones climáticas extremas. Los avances reportados, validados en condiciones de campo en India y Corea del Sur, posicionan a este cultivo como pilar para la seguridad alimentaria del siglo XXI.</w:t>
            </w:r>
          </w:p>
          <w:p w14:paraId="43DF1D77" w14:textId="77777777" w:rsidR="006F6821" w:rsidRDefault="006F6821" w:rsidP="00FF32A3">
            <w:pPr>
              <w:jc w:val="both"/>
              <w:rPr>
                <w:rFonts w:ascii="Times New Roman" w:hAnsi="Times New Roman" w:cs="Times New Roman"/>
              </w:rPr>
            </w:pPr>
          </w:p>
          <w:p w14:paraId="24495118" w14:textId="35B2CF17" w:rsidR="006F6821" w:rsidRDefault="006F6821" w:rsidP="00FF32A3">
            <w:pPr>
              <w:jc w:val="both"/>
              <w:rPr>
                <w:rFonts w:ascii="Times New Roman" w:hAnsi="Times New Roman" w:cs="Times New Roman"/>
              </w:rPr>
            </w:pPr>
            <w:r w:rsidRPr="006F6821">
              <w:rPr>
                <w:rFonts w:ascii="Times New Roman" w:hAnsi="Times New Roman" w:cs="Times New Roman"/>
              </w:rPr>
              <w:t>Como resultado de las simulaciones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>realizadas, puede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>considerarse que si se desarrolla una tecnología que permita</w:t>
            </w:r>
            <w:r w:rsidR="00FF32A3"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>una distribución uniforme del alimento, deberá estudiarse 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>los costos que implican la implementación de esta técnica de</w:t>
            </w:r>
            <w:r w:rsidR="00FF32A3"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>distribución del alimento, se compensan con el 16.41%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>mejora simulada que se obtendría en la producción.</w:t>
            </w:r>
            <w:hyperlink w:anchor="Seis" w:history="1">
              <w:r w:rsidRPr="006F6821">
                <w:rPr>
                  <w:rStyle w:val="Hipervnculo"/>
                  <w:rFonts w:ascii="Times New Roman" w:hAnsi="Times New Roman" w:cs="Times New Roman"/>
                </w:rPr>
                <w:t>[6]</w:t>
              </w:r>
            </w:hyperlink>
          </w:p>
          <w:p w14:paraId="2DAD5839" w14:textId="77777777" w:rsidR="006F6821" w:rsidRPr="006F6821" w:rsidRDefault="006F6821" w:rsidP="00FF32A3">
            <w:pPr>
              <w:jc w:val="both"/>
              <w:rPr>
                <w:rFonts w:ascii="Times New Roman" w:hAnsi="Times New Roman" w:cs="Times New Roman"/>
              </w:rPr>
            </w:pPr>
          </w:p>
          <w:p w14:paraId="3E0D4C91" w14:textId="77E05608" w:rsidR="006F6821" w:rsidRPr="006F6821" w:rsidRDefault="006F6821" w:rsidP="00FF32A3">
            <w:pPr>
              <w:jc w:val="both"/>
              <w:rPr>
                <w:rFonts w:ascii="Times New Roman" w:hAnsi="Times New Roman" w:cs="Times New Roman"/>
              </w:rPr>
            </w:pPr>
            <w:r w:rsidRPr="006F6821">
              <w:rPr>
                <w:rFonts w:ascii="Times New Roman" w:hAnsi="Times New Roman" w:cs="Times New Roman"/>
              </w:rPr>
              <w:t>La combinación de algoritmos genéticos, lógica difusa y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821">
              <w:rPr>
                <w:rFonts w:ascii="Times New Roman" w:hAnsi="Times New Roman" w:cs="Times New Roman"/>
              </w:rPr>
              <w:t>multi-agentes</w:t>
            </w:r>
            <w:proofErr w:type="spellEnd"/>
            <w:r w:rsidRPr="006F6821">
              <w:rPr>
                <w:rFonts w:ascii="Times New Roman" w:hAnsi="Times New Roman" w:cs="Times New Roman"/>
              </w:rPr>
              <w:t xml:space="preserve"> hizo posible que la presente investigación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 xml:space="preserve">abarcara más allá de los objetivos establecidos </w:t>
            </w:r>
            <w:r>
              <w:rPr>
                <w:rFonts w:ascii="Times New Roman" w:hAnsi="Times New Roman" w:cs="Times New Roman"/>
              </w:rPr>
              <w:t>i</w:t>
            </w:r>
            <w:r w:rsidRPr="006F6821">
              <w:rPr>
                <w:rFonts w:ascii="Times New Roman" w:hAnsi="Times New Roman" w:cs="Times New Roman"/>
              </w:rPr>
              <w:t>nicialmente,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 xml:space="preserve">no solo llegando a una </w:t>
            </w:r>
            <w:r>
              <w:rPr>
                <w:rFonts w:ascii="Times New Roman" w:hAnsi="Times New Roman" w:cs="Times New Roman"/>
              </w:rPr>
              <w:t>c</w:t>
            </w:r>
            <w:r w:rsidRPr="006F6821">
              <w:rPr>
                <w:rFonts w:ascii="Times New Roman" w:hAnsi="Times New Roman" w:cs="Times New Roman"/>
              </w:rPr>
              <w:t>omparación del prototipo de una</w:t>
            </w:r>
          </w:p>
          <w:p w14:paraId="412861FE" w14:textId="1DF4FED1" w:rsidR="006F6821" w:rsidRDefault="006F6821" w:rsidP="00FF32A3">
            <w:pPr>
              <w:jc w:val="both"/>
            </w:pPr>
            <w:r w:rsidRPr="006F6821">
              <w:rPr>
                <w:rFonts w:ascii="Times New Roman" w:hAnsi="Times New Roman" w:cs="Times New Roman"/>
              </w:rPr>
              <w:t xml:space="preserve">realidad simulada con los registros históricos, sino se llegó </w:t>
            </w:r>
            <w:proofErr w:type="spellStart"/>
            <w:r w:rsidRPr="006F6821">
              <w:rPr>
                <w:rFonts w:ascii="Times New Roman" w:hAnsi="Times New Roman" w:cs="Times New Roman"/>
              </w:rPr>
              <w:t>acomparar</w:t>
            </w:r>
            <w:proofErr w:type="spellEnd"/>
            <w:r w:rsidRPr="006F6821">
              <w:rPr>
                <w:rFonts w:ascii="Times New Roman" w:hAnsi="Times New Roman" w:cs="Times New Roman"/>
              </w:rPr>
              <w:t xml:space="preserve"> escenarios reales contra una posibilidad no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>estudiada en la realidad, por su alto grado de dificultad como</w:t>
            </w:r>
            <w:r w:rsidR="00FF32A3"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>lo es la distribución uniforme del alimento</w:t>
            </w:r>
            <w:r>
              <w:t>.</w:t>
            </w:r>
          </w:p>
          <w:p w14:paraId="48B7ABD2" w14:textId="77777777" w:rsidR="00FF32A3" w:rsidRDefault="00FF32A3" w:rsidP="00FF32A3">
            <w:pPr>
              <w:jc w:val="both"/>
            </w:pPr>
          </w:p>
          <w:p w14:paraId="366788C4" w14:textId="77777777" w:rsidR="006F6821" w:rsidRDefault="006F6821" w:rsidP="00FF32A3">
            <w:pPr>
              <w:jc w:val="both"/>
            </w:pPr>
            <w:r w:rsidRPr="006F6821">
              <w:rPr>
                <w:rFonts w:ascii="Times New Roman" w:hAnsi="Times New Roman" w:cs="Times New Roman"/>
              </w:rPr>
              <w:t>El camarón como entidad posee características tanto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>individuales como colectivas, esto convierte en un desafío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6821">
              <w:rPr>
                <w:rFonts w:ascii="Times New Roman" w:hAnsi="Times New Roman" w:cs="Times New Roman"/>
              </w:rPr>
              <w:t>lograr imitar su comportamiento.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5870E400" w14:textId="77777777" w:rsidR="006F6821" w:rsidRDefault="006F6821" w:rsidP="00FF32A3">
            <w:pPr>
              <w:jc w:val="both"/>
            </w:pPr>
          </w:p>
          <w:p w14:paraId="0598B35D" w14:textId="3C48202D" w:rsidR="006F6821" w:rsidRPr="006F6821" w:rsidRDefault="00FF32A3" w:rsidP="00FF32A3">
            <w:pPr>
              <w:jc w:val="both"/>
            </w:pPr>
            <w:r w:rsidRPr="00FF32A3">
              <w:t xml:space="preserve">La ingeniería de genes NHX en quinua mediante CRISPR y análisis </w:t>
            </w:r>
            <w:proofErr w:type="spellStart"/>
            <w:r w:rsidRPr="00FF32A3">
              <w:t>multiómico</w:t>
            </w:r>
            <w:proofErr w:type="spellEnd"/>
            <w:r w:rsidRPr="00FF32A3">
              <w:t xml:space="preserve"> ofrece soluciones concretas para la agricultura en condiciones climáticas extremas. </w:t>
            </w:r>
          </w:p>
        </w:tc>
      </w:tr>
    </w:tbl>
    <w:p w14:paraId="4A2069FE" w14:textId="00DC0AAC" w:rsidR="00CE1C35" w:rsidRPr="00CE1C35" w:rsidRDefault="006F6821" w:rsidP="00FF32A3">
      <w:pPr>
        <w:pStyle w:val="Prrafodelista"/>
        <w:numPr>
          <w:ilvl w:val="0"/>
          <w:numId w:val="11"/>
        </w:numPr>
        <w:jc w:val="center"/>
      </w:pPr>
      <w:r w:rsidRPr="00FF32A3">
        <w:rPr>
          <w:b/>
          <w:bCs/>
        </w:rPr>
        <w:lastRenderedPageBreak/>
        <w:t>R</w:t>
      </w:r>
      <w:r w:rsidR="00CE1C35" w:rsidRPr="00FF32A3">
        <w:rPr>
          <w:b/>
          <w:bCs/>
        </w:rPr>
        <w:t>eferencias</w:t>
      </w:r>
    </w:p>
    <w:p w14:paraId="588F2477" w14:textId="77777777" w:rsidR="00CE1C35" w:rsidRPr="00CE1C35" w:rsidRDefault="00CE1C35" w:rsidP="003157A7">
      <w:pPr>
        <w:numPr>
          <w:ilvl w:val="0"/>
          <w:numId w:val="8"/>
        </w:numPr>
        <w:spacing w:line="240" w:lineRule="auto"/>
      </w:pPr>
      <w:bookmarkStart w:id="0" w:name="Uno"/>
      <w:r w:rsidRPr="00CE1C35">
        <w:t>Morrison, K. (2025). </w:t>
      </w:r>
      <w:r w:rsidRPr="00CE1C35">
        <w:rPr>
          <w:i/>
          <w:iCs/>
        </w:rPr>
        <w:t>Mejora genética de la quinua en suelos salinos</w:t>
      </w:r>
      <w:r w:rsidRPr="00CE1C35">
        <w:t>. UNSA</w:t>
      </w:r>
      <w:bookmarkEnd w:id="0"/>
      <w:r w:rsidRPr="00CE1C35">
        <w:t>.</w:t>
      </w:r>
    </w:p>
    <w:p w14:paraId="0676D85A" w14:textId="77777777" w:rsidR="00CE1C35" w:rsidRPr="00CE1C35" w:rsidRDefault="00CE1C35" w:rsidP="003157A7">
      <w:pPr>
        <w:numPr>
          <w:ilvl w:val="0"/>
          <w:numId w:val="8"/>
        </w:numPr>
        <w:spacing w:line="240" w:lineRule="auto"/>
      </w:pPr>
      <w:bookmarkStart w:id="1" w:name="Dos"/>
      <w:proofErr w:type="spellStart"/>
      <w:r w:rsidRPr="00CE1C35">
        <w:t>Kadam</w:t>
      </w:r>
      <w:proofErr w:type="spellEnd"/>
      <w:r w:rsidRPr="00CE1C35">
        <w:t>, U. et al. (2025). </w:t>
      </w:r>
      <w:r w:rsidRPr="00CE1C35">
        <w:rPr>
          <w:i/>
          <w:iCs/>
        </w:rPr>
        <w:t>Genes</w:t>
      </w:r>
      <w:r w:rsidRPr="00CE1C35">
        <w:t>, DOI: 10.3390/genes16010070.</w:t>
      </w:r>
    </w:p>
    <w:p w14:paraId="1856B67C" w14:textId="77777777" w:rsidR="00CE1C35" w:rsidRPr="00CE1C35" w:rsidRDefault="00CE1C35" w:rsidP="003157A7">
      <w:pPr>
        <w:numPr>
          <w:ilvl w:val="0"/>
          <w:numId w:val="8"/>
        </w:numPr>
        <w:spacing w:line="240" w:lineRule="auto"/>
      </w:pPr>
      <w:bookmarkStart w:id="2" w:name="Tres"/>
      <w:bookmarkEnd w:id="1"/>
      <w:r w:rsidRPr="00CE1C35">
        <w:t xml:space="preserve">"Top 10 </w:t>
      </w:r>
      <w:proofErr w:type="spellStart"/>
      <w:r w:rsidRPr="00CE1C35">
        <w:t>Advancements</w:t>
      </w:r>
      <w:proofErr w:type="spellEnd"/>
      <w:r w:rsidRPr="00CE1C35">
        <w:t xml:space="preserve"> in Quinoa </w:t>
      </w:r>
      <w:proofErr w:type="spellStart"/>
      <w:r w:rsidRPr="00CE1C35">
        <w:t>Genetic</w:t>
      </w:r>
      <w:proofErr w:type="spellEnd"/>
      <w:r w:rsidRPr="00CE1C35">
        <w:t xml:space="preserve"> </w:t>
      </w:r>
      <w:proofErr w:type="spellStart"/>
      <w:r w:rsidRPr="00CE1C35">
        <w:t>Modification</w:t>
      </w:r>
      <w:proofErr w:type="spellEnd"/>
      <w:r w:rsidRPr="00CE1C35">
        <w:t>" (2025). </w:t>
      </w:r>
      <w:proofErr w:type="spellStart"/>
      <w:r w:rsidRPr="00CE1C35">
        <w:rPr>
          <w:i/>
          <w:iCs/>
        </w:rPr>
        <w:t>ESSFeed</w:t>
      </w:r>
      <w:proofErr w:type="spellEnd"/>
      <w:r w:rsidRPr="00CE1C35">
        <w:t>.</w:t>
      </w:r>
    </w:p>
    <w:p w14:paraId="51A378F4" w14:textId="77777777" w:rsidR="00CE1C35" w:rsidRPr="00CE1C35" w:rsidRDefault="00CE1C35" w:rsidP="003157A7">
      <w:pPr>
        <w:numPr>
          <w:ilvl w:val="0"/>
          <w:numId w:val="8"/>
        </w:numPr>
        <w:spacing w:line="240" w:lineRule="auto"/>
      </w:pPr>
      <w:bookmarkStart w:id="3" w:name="Cuatro"/>
      <w:bookmarkEnd w:id="2"/>
      <w:proofErr w:type="spellStart"/>
      <w:r w:rsidRPr="00CE1C35">
        <w:t>Nature</w:t>
      </w:r>
      <w:proofErr w:type="spellEnd"/>
      <w:r w:rsidRPr="00CE1C35">
        <w:t xml:space="preserve"> (2017). </w:t>
      </w:r>
      <w:r w:rsidRPr="00CE1C35">
        <w:rPr>
          <w:i/>
          <w:iCs/>
        </w:rPr>
        <w:t xml:space="preserve">Genoma de </w:t>
      </w:r>
      <w:proofErr w:type="spellStart"/>
      <w:r w:rsidRPr="00CE1C35">
        <w:rPr>
          <w:i/>
          <w:iCs/>
        </w:rPr>
        <w:t>Chenopodium</w:t>
      </w:r>
      <w:proofErr w:type="spellEnd"/>
      <w:r w:rsidRPr="00CE1C35">
        <w:rPr>
          <w:i/>
          <w:iCs/>
        </w:rPr>
        <w:t xml:space="preserve"> quinoa</w:t>
      </w:r>
      <w:r w:rsidRPr="00CE1C35">
        <w:t>.</w:t>
      </w:r>
    </w:p>
    <w:p w14:paraId="0764148B" w14:textId="77777777" w:rsidR="00CE1C35" w:rsidRPr="00CE1C35" w:rsidRDefault="00CE1C35" w:rsidP="003157A7">
      <w:pPr>
        <w:numPr>
          <w:ilvl w:val="0"/>
          <w:numId w:val="8"/>
        </w:numPr>
        <w:spacing w:line="240" w:lineRule="auto"/>
      </w:pPr>
      <w:bookmarkStart w:id="4" w:name="Cinco"/>
      <w:bookmarkEnd w:id="3"/>
      <w:r w:rsidRPr="00CE1C35">
        <w:t>Mundo Agropecuario (2025). </w:t>
      </w:r>
      <w:r w:rsidRPr="00CE1C35">
        <w:rPr>
          <w:i/>
          <w:iCs/>
        </w:rPr>
        <w:t>10 genes clave en resistencia al estrés</w:t>
      </w:r>
      <w:r w:rsidRPr="00CE1C35">
        <w:t>.</w:t>
      </w:r>
    </w:p>
    <w:p w14:paraId="2574BB31" w14:textId="77777777" w:rsidR="00CE1C35" w:rsidRDefault="00CE1C35" w:rsidP="003157A7">
      <w:pPr>
        <w:numPr>
          <w:ilvl w:val="0"/>
          <w:numId w:val="8"/>
        </w:numPr>
        <w:spacing w:line="240" w:lineRule="auto"/>
      </w:pPr>
      <w:bookmarkStart w:id="5" w:name="Seis"/>
      <w:bookmarkEnd w:id="4"/>
      <w:proofErr w:type="spellStart"/>
      <w:r w:rsidRPr="00CE1C35">
        <w:t>ChileBio</w:t>
      </w:r>
      <w:proofErr w:type="spellEnd"/>
      <w:r w:rsidRPr="00CE1C35">
        <w:t xml:space="preserve"> (2022). </w:t>
      </w:r>
      <w:r w:rsidRPr="00CE1C35">
        <w:rPr>
          <w:i/>
          <w:iCs/>
        </w:rPr>
        <w:t>Híbridos de quinua para países en desarrollo</w:t>
      </w:r>
      <w:r w:rsidRPr="00CE1C35">
        <w:t>.</w:t>
      </w:r>
    </w:p>
    <w:p w14:paraId="4186922B" w14:textId="40A6D2D4" w:rsidR="00CC52A3" w:rsidRPr="00CE1C35" w:rsidRDefault="00CC52A3" w:rsidP="003157A7">
      <w:pPr>
        <w:numPr>
          <w:ilvl w:val="0"/>
          <w:numId w:val="8"/>
        </w:numPr>
        <w:spacing w:line="240" w:lineRule="auto"/>
      </w:pPr>
      <w:bookmarkStart w:id="6" w:name="Siete"/>
      <w:bookmarkEnd w:id="5"/>
      <w:r w:rsidRPr="00CC52A3">
        <w:t xml:space="preserve">ANA, A. N. das A. (2016). </w:t>
      </w:r>
      <w:proofErr w:type="spellStart"/>
      <w:r w:rsidRPr="00CC52A3">
        <w:t>Boletim</w:t>
      </w:r>
      <w:proofErr w:type="spellEnd"/>
      <w:r w:rsidRPr="00CC52A3">
        <w:t xml:space="preserve"> de </w:t>
      </w:r>
      <w:proofErr w:type="spellStart"/>
      <w:r w:rsidRPr="00CC52A3">
        <w:t>monitoramento</w:t>
      </w:r>
      <w:proofErr w:type="spellEnd"/>
      <w:r w:rsidRPr="00CC52A3">
        <w:t xml:space="preserve"> dos </w:t>
      </w:r>
      <w:proofErr w:type="spellStart"/>
      <w:r w:rsidRPr="00CC52A3">
        <w:t>reservatórios</w:t>
      </w:r>
      <w:proofErr w:type="spellEnd"/>
      <w:r w:rsidRPr="00CC52A3">
        <w:t xml:space="preserve"> do rio São Francisco (</w:t>
      </w:r>
      <w:proofErr w:type="spellStart"/>
      <w:r w:rsidRPr="00CC52A3">
        <w:t>Boletim</w:t>
      </w:r>
      <w:proofErr w:type="spellEnd"/>
      <w:r w:rsidRPr="00CC52A3">
        <w:t xml:space="preserve"> No 11). Recuperado de http://arquivos.ana.gov.br/saladesituacao/BoletinsMensais/SaoFrancisco/Boletim_Monitoramento_Reservatorios_SF_2016_10.pdf</w:t>
      </w:r>
    </w:p>
    <w:bookmarkEnd w:id="6"/>
    <w:p w14:paraId="15C1E3FA" w14:textId="4C3D1F50" w:rsidR="004B57CC" w:rsidRDefault="004B57CC"/>
    <w:sectPr w:rsidR="004B57C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FF79" w14:textId="77777777" w:rsidR="00553D25" w:rsidRDefault="00553D25" w:rsidP="003157A7">
      <w:pPr>
        <w:spacing w:after="0" w:line="240" w:lineRule="auto"/>
      </w:pPr>
      <w:r>
        <w:separator/>
      </w:r>
    </w:p>
  </w:endnote>
  <w:endnote w:type="continuationSeparator" w:id="0">
    <w:p w14:paraId="56531368" w14:textId="77777777" w:rsidR="00553D25" w:rsidRDefault="00553D25" w:rsidP="0031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CDAB" w14:textId="77777777" w:rsidR="00553D25" w:rsidRDefault="00553D25" w:rsidP="003157A7">
      <w:pPr>
        <w:spacing w:after="0" w:line="240" w:lineRule="auto"/>
      </w:pPr>
      <w:r>
        <w:separator/>
      </w:r>
    </w:p>
  </w:footnote>
  <w:footnote w:type="continuationSeparator" w:id="0">
    <w:p w14:paraId="19E675CF" w14:textId="77777777" w:rsidR="00553D25" w:rsidRDefault="00553D25" w:rsidP="003157A7">
      <w:pPr>
        <w:spacing w:after="0" w:line="240" w:lineRule="auto"/>
      </w:pPr>
      <w:r>
        <w:continuationSeparator/>
      </w:r>
    </w:p>
  </w:footnote>
  <w:footnote w:id="1">
    <w:p w14:paraId="0BDC2FBB" w14:textId="61DFC022" w:rsidR="00FF32A3" w:rsidRPr="00FF32A3" w:rsidRDefault="00FF32A3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Los genes NHX son </w:t>
      </w:r>
      <w:proofErr w:type="spellStart"/>
      <w:r>
        <w:t>atiportadores</w:t>
      </w:r>
      <w:proofErr w:type="spellEnd"/>
      <w:r>
        <w:t xml:space="preserve"> de sodio/hidrógeno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2835"/>
      <w:gridCol w:w="2834"/>
    </w:tblGrid>
    <w:tr w:rsidR="003157A7" w14:paraId="61A774DD" w14:textId="77777777">
      <w:trPr>
        <w:trHeight w:val="720"/>
      </w:trPr>
      <w:tc>
        <w:tcPr>
          <w:tcW w:w="1667" w:type="pct"/>
        </w:tcPr>
        <w:p w14:paraId="08157ED7" w14:textId="77777777" w:rsidR="003157A7" w:rsidRDefault="003157A7">
          <w:pPr>
            <w:pStyle w:val="Encabezado"/>
            <w:rPr>
              <w:color w:val="4472C4" w:themeColor="accent1"/>
            </w:rPr>
          </w:pPr>
        </w:p>
      </w:tc>
      <w:tc>
        <w:tcPr>
          <w:tcW w:w="1667" w:type="pct"/>
        </w:tcPr>
        <w:p w14:paraId="3BAFB661" w14:textId="77777777" w:rsidR="003157A7" w:rsidRDefault="003157A7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5EF46A86" w14:textId="77777777" w:rsidR="003157A7" w:rsidRDefault="003157A7">
          <w:pPr>
            <w:pStyle w:val="Encabezado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  <w:lang w:val="es-ES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33EE6976" w14:textId="77777777" w:rsidR="003157A7" w:rsidRDefault="003157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4CFA"/>
    <w:multiLevelType w:val="multilevel"/>
    <w:tmpl w:val="E9227E3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32D45"/>
    <w:multiLevelType w:val="multilevel"/>
    <w:tmpl w:val="F7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B4D2E"/>
    <w:multiLevelType w:val="multilevel"/>
    <w:tmpl w:val="2A5A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B7F4D"/>
    <w:multiLevelType w:val="multilevel"/>
    <w:tmpl w:val="F81C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A9356D"/>
    <w:multiLevelType w:val="multilevel"/>
    <w:tmpl w:val="A94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7025B"/>
    <w:multiLevelType w:val="multilevel"/>
    <w:tmpl w:val="0514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A7D57"/>
    <w:multiLevelType w:val="multilevel"/>
    <w:tmpl w:val="2B2E0E00"/>
    <w:lvl w:ilvl="0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A3C5B"/>
    <w:multiLevelType w:val="hybridMultilevel"/>
    <w:tmpl w:val="F462FD52"/>
    <w:lvl w:ilvl="0" w:tplc="30E40DE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15F88"/>
    <w:multiLevelType w:val="multilevel"/>
    <w:tmpl w:val="401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8B0AA0"/>
    <w:multiLevelType w:val="hybridMultilevel"/>
    <w:tmpl w:val="7850183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23F55"/>
    <w:multiLevelType w:val="multilevel"/>
    <w:tmpl w:val="ABA8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35"/>
    <w:rsid w:val="001A0137"/>
    <w:rsid w:val="003157A7"/>
    <w:rsid w:val="003B3DC6"/>
    <w:rsid w:val="004B57CC"/>
    <w:rsid w:val="00553D25"/>
    <w:rsid w:val="006F6821"/>
    <w:rsid w:val="00712359"/>
    <w:rsid w:val="00787A1C"/>
    <w:rsid w:val="009B10AE"/>
    <w:rsid w:val="00A97BBD"/>
    <w:rsid w:val="00B01646"/>
    <w:rsid w:val="00C34183"/>
    <w:rsid w:val="00C54BBC"/>
    <w:rsid w:val="00CC52A3"/>
    <w:rsid w:val="00CE1C35"/>
    <w:rsid w:val="00E3255C"/>
    <w:rsid w:val="00F51BC6"/>
    <w:rsid w:val="00F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FAD2"/>
  <w15:chartTrackingRefBased/>
  <w15:docId w15:val="{638801CE-79B3-486E-ABF3-7F3CD20E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E1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1C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C3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1C35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customStyle="1" w:styleId="my-0">
    <w:name w:val="my-0"/>
    <w:basedOn w:val="Normal"/>
    <w:rsid w:val="00CE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CE1C35"/>
    <w:rPr>
      <w:b/>
      <w:bCs/>
    </w:rPr>
  </w:style>
  <w:style w:type="character" w:styleId="nfasis">
    <w:name w:val="Emphasis"/>
    <w:basedOn w:val="Fuentedeprrafopredeter"/>
    <w:uiPriority w:val="20"/>
    <w:qFormat/>
    <w:rsid w:val="00CE1C35"/>
    <w:rPr>
      <w:i/>
      <w:iCs/>
    </w:rPr>
  </w:style>
  <w:style w:type="paragraph" w:styleId="Prrafodelista">
    <w:name w:val="List Paragraph"/>
    <w:basedOn w:val="Normal"/>
    <w:uiPriority w:val="34"/>
    <w:qFormat/>
    <w:rsid w:val="00CE1C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1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5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7A7"/>
  </w:style>
  <w:style w:type="paragraph" w:styleId="Piedepgina">
    <w:name w:val="footer"/>
    <w:basedOn w:val="Normal"/>
    <w:link w:val="PiedepginaCar"/>
    <w:uiPriority w:val="99"/>
    <w:unhideWhenUsed/>
    <w:rsid w:val="00315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7A7"/>
  </w:style>
  <w:style w:type="character" w:styleId="Hipervnculovisitado">
    <w:name w:val="FollowedHyperlink"/>
    <w:basedOn w:val="Fuentedeprrafopredeter"/>
    <w:uiPriority w:val="99"/>
    <w:semiHidden/>
    <w:unhideWhenUsed/>
    <w:rsid w:val="003157A7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32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32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32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5CEC1-0A36-440C-9F31-51E0CF7F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Zarco</dc:creator>
  <cp:keywords/>
  <dc:description/>
  <cp:lastModifiedBy>Alejandro Zarco</cp:lastModifiedBy>
  <cp:revision>2</cp:revision>
  <dcterms:created xsi:type="dcterms:W3CDTF">2025-05-19T22:09:00Z</dcterms:created>
  <dcterms:modified xsi:type="dcterms:W3CDTF">2025-05-19T22:09:00Z</dcterms:modified>
</cp:coreProperties>
</file>