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040F4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b/>
          <w:bCs/>
          <w:sz w:val="20"/>
          <w:szCs w:val="20"/>
        </w:rPr>
        <w:t>Findings:</w:t>
      </w:r>
    </w:p>
    <w:p w14:paraId="15A7E721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</w:t>
      </w:r>
      <w:r>
        <w:rPr>
          <w:rStyle w:val="13"/>
          <w:rFonts w:hint="default" w:ascii="Calibri" w:hAnsi="Calibri" w:cs="Calibri"/>
          <w:sz w:val="20"/>
          <w:szCs w:val="20"/>
        </w:rPr>
        <w:t>Sales Anomalies and Trends</w:t>
      </w:r>
    </w:p>
    <w:p w14:paraId="3B73CE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Sunday, December 13, 2015</w:t>
      </w:r>
      <w:r>
        <w:rPr>
          <w:rFonts w:hint="default" w:ascii="Calibri" w:hAnsi="Calibri" w:cs="Calibri"/>
          <w:sz w:val="20"/>
          <w:szCs w:val="20"/>
        </w:rPr>
        <w:t xml:space="preserve">: A sales anomaly with a peak of </w:t>
      </w:r>
      <w:r>
        <w:rPr>
          <w:rStyle w:val="13"/>
          <w:rFonts w:hint="default" w:ascii="Calibri" w:hAnsi="Calibri" w:cs="Calibri"/>
          <w:sz w:val="20"/>
          <w:szCs w:val="20"/>
        </w:rPr>
        <w:t>$194</w:t>
      </w:r>
      <w:r>
        <w:rPr>
          <w:rFonts w:hint="default" w:ascii="Calibri" w:hAnsi="Calibri" w:cs="Calibri"/>
          <w:sz w:val="20"/>
          <w:szCs w:val="20"/>
        </w:rPr>
        <w:t xml:space="preserve"> at </w:t>
      </w:r>
      <w:r>
        <w:rPr>
          <w:rStyle w:val="13"/>
          <w:rFonts w:hint="default" w:ascii="Calibri" w:hAnsi="Calibri" w:cs="Calibri"/>
          <w:sz w:val="20"/>
          <w:szCs w:val="20"/>
        </w:rPr>
        <w:t>1:10 PM</w:t>
      </w:r>
      <w:r>
        <w:rPr>
          <w:rFonts w:hint="default" w:ascii="Calibri" w:hAnsi="Calibri" w:cs="Calibri"/>
          <w:sz w:val="20"/>
          <w:szCs w:val="20"/>
        </w:rPr>
        <w:t>.</w:t>
      </w:r>
    </w:p>
    <w:p w14:paraId="40BDCF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Sales during </w:t>
      </w:r>
      <w:r>
        <w:rPr>
          <w:rStyle w:val="13"/>
          <w:rFonts w:hint="default" w:ascii="Calibri" w:hAnsi="Calibri" w:cs="Calibri"/>
          <w:sz w:val="20"/>
          <w:szCs w:val="20"/>
        </w:rPr>
        <w:t>5:19 PM</w:t>
      </w:r>
      <w:r>
        <w:rPr>
          <w:rFonts w:hint="default" w:ascii="Calibri" w:hAnsi="Calibri" w:cs="Calibri"/>
          <w:sz w:val="20"/>
          <w:szCs w:val="20"/>
        </w:rPr>
        <w:t xml:space="preserve"> on </w:t>
      </w:r>
      <w:r>
        <w:rPr>
          <w:rStyle w:val="13"/>
          <w:rFonts w:hint="default" w:ascii="Calibri" w:hAnsi="Calibri" w:cs="Calibri"/>
          <w:sz w:val="20"/>
          <w:szCs w:val="20"/>
        </w:rPr>
        <w:t>October 29, 2015</w:t>
      </w:r>
      <w:r>
        <w:rPr>
          <w:rFonts w:hint="default" w:ascii="Calibri" w:hAnsi="Calibri" w:cs="Calibri"/>
          <w:sz w:val="20"/>
          <w:szCs w:val="20"/>
        </w:rPr>
        <w:t xml:space="preserve">, showed a significant upward trend, increasing by </w:t>
      </w:r>
      <w:r>
        <w:rPr>
          <w:rStyle w:val="13"/>
          <w:rFonts w:hint="default" w:ascii="Calibri" w:hAnsi="Calibri" w:cs="Calibri"/>
          <w:sz w:val="20"/>
          <w:szCs w:val="20"/>
        </w:rPr>
        <w:t>462.50%</w:t>
      </w:r>
      <w:r>
        <w:rPr>
          <w:rFonts w:hint="default" w:ascii="Calibri" w:hAnsi="Calibri" w:cs="Calibri"/>
          <w:sz w:val="20"/>
          <w:szCs w:val="20"/>
        </w:rPr>
        <w:t xml:space="preserve"> in just 1.73 months.</w:t>
      </w:r>
    </w:p>
    <w:p w14:paraId="291EDD17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</w:t>
      </w:r>
      <w:r>
        <w:rPr>
          <w:rStyle w:val="13"/>
          <w:rFonts w:hint="default" w:ascii="Calibri" w:hAnsi="Calibri" w:cs="Calibri"/>
          <w:sz w:val="20"/>
          <w:szCs w:val="20"/>
        </w:rPr>
        <w:t>Top-Performing Categories and Products</w:t>
      </w:r>
    </w:p>
    <w:p w14:paraId="265679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Supreme Pizza</w:t>
      </w:r>
      <w:r>
        <w:rPr>
          <w:rFonts w:hint="default" w:ascii="Calibri" w:hAnsi="Calibri" w:cs="Calibri"/>
          <w:sz w:val="20"/>
          <w:szCs w:val="20"/>
        </w:rPr>
        <w:t xml:space="preserve"> had the highest total sales at </w:t>
      </w:r>
      <w:r>
        <w:rPr>
          <w:rStyle w:val="13"/>
          <w:rFonts w:hint="default" w:ascii="Calibri" w:hAnsi="Calibri" w:cs="Calibri"/>
          <w:sz w:val="20"/>
          <w:szCs w:val="20"/>
        </w:rPr>
        <w:t>$97,475</w:t>
      </w:r>
      <w:r>
        <w:rPr>
          <w:rFonts w:hint="default" w:ascii="Calibri" w:hAnsi="Calibri" w:cs="Calibri"/>
          <w:sz w:val="20"/>
          <w:szCs w:val="20"/>
        </w:rPr>
        <w:t xml:space="preserve">, followed by </w:t>
      </w:r>
      <w:r>
        <w:rPr>
          <w:rStyle w:val="13"/>
          <w:rFonts w:hint="default" w:ascii="Calibri" w:hAnsi="Calibri" w:cs="Calibri"/>
          <w:sz w:val="20"/>
          <w:szCs w:val="20"/>
        </w:rPr>
        <w:t>Chicken</w:t>
      </w:r>
      <w:r>
        <w:rPr>
          <w:rFonts w:hint="default" w:ascii="Calibri" w:hAnsi="Calibri" w:cs="Calibri"/>
          <w:sz w:val="20"/>
          <w:szCs w:val="20"/>
        </w:rPr>
        <w:t xml:space="preserve"> (</w:t>
      </w:r>
      <w:r>
        <w:rPr>
          <w:rStyle w:val="13"/>
          <w:rFonts w:hint="default" w:ascii="Calibri" w:hAnsi="Calibri" w:cs="Calibri"/>
          <w:sz w:val="20"/>
          <w:szCs w:val="20"/>
        </w:rPr>
        <w:t>$78,140</w:t>
      </w:r>
      <w:r>
        <w:rPr>
          <w:rFonts w:hint="default" w:ascii="Calibri" w:hAnsi="Calibri" w:cs="Calibri"/>
          <w:sz w:val="20"/>
          <w:szCs w:val="20"/>
        </w:rPr>
        <w:t xml:space="preserve">) and </w:t>
      </w:r>
      <w:r>
        <w:rPr>
          <w:rStyle w:val="13"/>
          <w:rFonts w:hint="default" w:ascii="Calibri" w:hAnsi="Calibri" w:cs="Calibri"/>
          <w:sz w:val="20"/>
          <w:szCs w:val="20"/>
        </w:rPr>
        <w:t>Veggie</w:t>
      </w:r>
      <w:r>
        <w:rPr>
          <w:rFonts w:hint="default" w:ascii="Calibri" w:hAnsi="Calibri" w:cs="Calibri"/>
          <w:sz w:val="20"/>
          <w:szCs w:val="20"/>
        </w:rPr>
        <w:t xml:space="preserve"> (</w:t>
      </w:r>
      <w:r>
        <w:rPr>
          <w:rStyle w:val="13"/>
          <w:rFonts w:hint="default" w:ascii="Calibri" w:hAnsi="Calibri" w:cs="Calibri"/>
          <w:sz w:val="20"/>
          <w:szCs w:val="20"/>
        </w:rPr>
        <w:t>$63,242</w:t>
      </w:r>
      <w:r>
        <w:rPr>
          <w:rFonts w:hint="default" w:ascii="Calibri" w:hAnsi="Calibri" w:cs="Calibri"/>
          <w:sz w:val="20"/>
          <w:szCs w:val="20"/>
        </w:rPr>
        <w:t>).</w:t>
      </w:r>
    </w:p>
    <w:p w14:paraId="70AF04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Within the </w:t>
      </w:r>
      <w:r>
        <w:rPr>
          <w:rStyle w:val="13"/>
          <w:rFonts w:hint="default" w:ascii="Calibri" w:hAnsi="Calibri" w:cs="Calibri"/>
          <w:sz w:val="20"/>
          <w:szCs w:val="20"/>
        </w:rPr>
        <w:t>Chicken</w:t>
      </w:r>
      <w:r>
        <w:rPr>
          <w:rFonts w:hint="default" w:ascii="Calibri" w:hAnsi="Calibri" w:cs="Calibri"/>
          <w:sz w:val="20"/>
          <w:szCs w:val="20"/>
        </w:rPr>
        <w:t xml:space="preserve"> category, </w:t>
      </w:r>
      <w:r>
        <w:rPr>
          <w:rStyle w:val="13"/>
          <w:rFonts w:hint="default" w:ascii="Calibri" w:hAnsi="Calibri" w:cs="Calibri"/>
          <w:sz w:val="20"/>
          <w:szCs w:val="20"/>
        </w:rPr>
        <w:t>Thai Chicken</w:t>
      </w:r>
      <w:r>
        <w:rPr>
          <w:rFonts w:hint="default" w:ascii="Calibri" w:hAnsi="Calibri" w:cs="Calibri"/>
          <w:sz w:val="20"/>
          <w:szCs w:val="20"/>
        </w:rPr>
        <w:t xml:space="preserve"> alone contributed </w:t>
      </w:r>
      <w:r>
        <w:rPr>
          <w:rStyle w:val="13"/>
          <w:rFonts w:hint="default" w:ascii="Calibri" w:hAnsi="Calibri" w:cs="Calibri"/>
          <w:sz w:val="20"/>
          <w:szCs w:val="20"/>
        </w:rPr>
        <w:t>16.25%</w:t>
      </w:r>
      <w:r>
        <w:rPr>
          <w:rFonts w:hint="default" w:ascii="Calibri" w:hAnsi="Calibri" w:cs="Calibri"/>
          <w:sz w:val="20"/>
          <w:szCs w:val="20"/>
        </w:rPr>
        <w:t xml:space="preserve"> of total sales.</w:t>
      </w:r>
    </w:p>
    <w:p w14:paraId="07F1EB8F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Category Performance</w:t>
      </w:r>
    </w:p>
    <w:p w14:paraId="0E8AD4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Chicken</w:t>
      </w:r>
      <w:r>
        <w:rPr>
          <w:rFonts w:hint="default" w:ascii="Calibri" w:hAnsi="Calibri" w:cs="Calibri"/>
          <w:sz w:val="20"/>
          <w:szCs w:val="20"/>
        </w:rPr>
        <w:t xml:space="preserve"> led in average total sales with </w:t>
      </w:r>
      <w:r>
        <w:rPr>
          <w:rStyle w:val="13"/>
          <w:rFonts w:hint="default" w:ascii="Calibri" w:hAnsi="Calibri" w:cs="Calibri"/>
          <w:sz w:val="20"/>
          <w:szCs w:val="20"/>
        </w:rPr>
        <w:t>$39,070</w:t>
      </w:r>
      <w:r>
        <w:rPr>
          <w:rFonts w:hint="default" w:ascii="Calibri" w:hAnsi="Calibri" w:cs="Calibri"/>
          <w:sz w:val="20"/>
          <w:szCs w:val="20"/>
        </w:rPr>
        <w:t xml:space="preserve">, surpassing </w:t>
      </w:r>
      <w:r>
        <w:rPr>
          <w:rStyle w:val="13"/>
          <w:rFonts w:hint="default" w:ascii="Calibri" w:hAnsi="Calibri" w:cs="Calibri"/>
          <w:sz w:val="20"/>
          <w:szCs w:val="20"/>
        </w:rPr>
        <w:t>Supreme</w:t>
      </w:r>
      <w:r>
        <w:rPr>
          <w:rFonts w:hint="default" w:ascii="Calibri" w:hAnsi="Calibri" w:cs="Calibri"/>
          <w:sz w:val="20"/>
          <w:szCs w:val="20"/>
        </w:rPr>
        <w:t xml:space="preserve"> and </w:t>
      </w:r>
      <w:r>
        <w:rPr>
          <w:rStyle w:val="13"/>
          <w:rFonts w:hint="default" w:ascii="Calibri" w:hAnsi="Calibri" w:cs="Calibri"/>
          <w:sz w:val="20"/>
          <w:szCs w:val="20"/>
        </w:rPr>
        <w:t>Veggie</w:t>
      </w:r>
      <w:r>
        <w:rPr>
          <w:rFonts w:hint="default" w:ascii="Calibri" w:hAnsi="Calibri" w:cs="Calibri"/>
          <w:sz w:val="20"/>
          <w:szCs w:val="20"/>
        </w:rPr>
        <w:t>.</w:t>
      </w:r>
    </w:p>
    <w:p w14:paraId="76D4D3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Supreme</w:t>
      </w:r>
      <w:r>
        <w:rPr>
          <w:rFonts w:hint="default" w:ascii="Calibri" w:hAnsi="Calibri" w:cs="Calibri"/>
          <w:sz w:val="20"/>
          <w:szCs w:val="20"/>
        </w:rPr>
        <w:t xml:space="preserve"> and </w:t>
      </w:r>
      <w:r>
        <w:rPr>
          <w:rStyle w:val="13"/>
          <w:rFonts w:hint="default" w:ascii="Calibri" w:hAnsi="Calibri" w:cs="Calibri"/>
          <w:sz w:val="20"/>
          <w:szCs w:val="20"/>
        </w:rPr>
        <w:t>Veggie</w:t>
      </w:r>
      <w:r>
        <w:rPr>
          <w:rFonts w:hint="default" w:ascii="Calibri" w:hAnsi="Calibri" w:cs="Calibri"/>
          <w:sz w:val="20"/>
          <w:szCs w:val="20"/>
        </w:rPr>
        <w:t xml:space="preserve"> maintained a steady performance, contributing to overall sales growth.</w:t>
      </w:r>
    </w:p>
    <w:p w14:paraId="79C241D3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8D7EFE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b/>
          <w:bCs/>
          <w:sz w:val="20"/>
          <w:szCs w:val="20"/>
        </w:rPr>
        <w:t>Recommendations:</w:t>
      </w:r>
    </w:p>
    <w:p w14:paraId="1D02C9D9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Peak Time Optimization</w:t>
      </w:r>
    </w:p>
    <w:p w14:paraId="5117B56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Analyze staffing and inventory levels during identified peak periods (e.g., </w:t>
      </w:r>
      <w:r>
        <w:rPr>
          <w:rStyle w:val="13"/>
          <w:rFonts w:hint="default" w:ascii="Calibri" w:hAnsi="Calibri" w:cs="Calibri"/>
          <w:sz w:val="20"/>
          <w:szCs w:val="20"/>
        </w:rPr>
        <w:t>1:10 PM</w:t>
      </w:r>
      <w:r>
        <w:rPr>
          <w:rFonts w:hint="default" w:ascii="Calibri" w:hAnsi="Calibri" w:cs="Calibri"/>
          <w:sz w:val="20"/>
          <w:szCs w:val="20"/>
        </w:rPr>
        <w:t xml:space="preserve"> anomalies) to maximize operational efficiency.</w:t>
      </w:r>
    </w:p>
    <w:p w14:paraId="30CF7B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Focus on sales during the late afternoon surge (</w:t>
      </w:r>
      <w:r>
        <w:rPr>
          <w:rStyle w:val="13"/>
          <w:rFonts w:hint="default" w:ascii="Calibri" w:hAnsi="Calibri" w:cs="Calibri"/>
          <w:sz w:val="20"/>
          <w:szCs w:val="20"/>
        </w:rPr>
        <w:t>5:19 PM</w:t>
      </w:r>
      <w:r>
        <w:rPr>
          <w:rFonts w:hint="default" w:ascii="Calibri" w:hAnsi="Calibri" w:cs="Calibri"/>
          <w:sz w:val="20"/>
          <w:szCs w:val="20"/>
        </w:rPr>
        <w:t xml:space="preserve"> trends) by introducing time-specific promotions.</w:t>
      </w:r>
    </w:p>
    <w:p w14:paraId="56133267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Product Focus</w:t>
      </w:r>
    </w:p>
    <w:p w14:paraId="03CF9DD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Prioritize </w:t>
      </w:r>
      <w:r>
        <w:rPr>
          <w:rStyle w:val="13"/>
          <w:rFonts w:hint="default" w:ascii="Calibri" w:hAnsi="Calibri" w:cs="Calibri"/>
          <w:sz w:val="20"/>
          <w:szCs w:val="20"/>
        </w:rPr>
        <w:t>Thai Chicken</w:t>
      </w:r>
      <w:r>
        <w:rPr>
          <w:rFonts w:hint="default" w:ascii="Calibri" w:hAnsi="Calibri" w:cs="Calibri"/>
          <w:sz w:val="20"/>
          <w:szCs w:val="20"/>
        </w:rPr>
        <w:t xml:space="preserve"> and similar high-performing products within the </w:t>
      </w:r>
      <w:r>
        <w:rPr>
          <w:rStyle w:val="13"/>
          <w:rFonts w:hint="default" w:ascii="Calibri" w:hAnsi="Calibri" w:cs="Calibri"/>
          <w:sz w:val="20"/>
          <w:szCs w:val="20"/>
        </w:rPr>
        <w:t>Chicken</w:t>
      </w:r>
      <w:r>
        <w:rPr>
          <w:rFonts w:hint="default" w:ascii="Calibri" w:hAnsi="Calibri" w:cs="Calibri"/>
          <w:sz w:val="20"/>
          <w:szCs w:val="20"/>
        </w:rPr>
        <w:t xml:space="preserve"> category for marketing and upselling campaigns.</w:t>
      </w:r>
    </w:p>
    <w:p w14:paraId="096756A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Highlight </w:t>
      </w:r>
      <w:r>
        <w:rPr>
          <w:rStyle w:val="13"/>
          <w:rFonts w:hint="default" w:ascii="Calibri" w:hAnsi="Calibri" w:cs="Calibri"/>
          <w:sz w:val="20"/>
          <w:szCs w:val="20"/>
        </w:rPr>
        <w:t>Supreme Pizza</w:t>
      </w:r>
      <w:r>
        <w:rPr>
          <w:rFonts w:hint="default" w:ascii="Calibri" w:hAnsi="Calibri" w:cs="Calibri"/>
          <w:sz w:val="20"/>
          <w:szCs w:val="20"/>
        </w:rPr>
        <w:t xml:space="preserve"> in promotional efforts to maintain its top position and drive even higher sales.</w:t>
      </w:r>
    </w:p>
    <w:p w14:paraId="33360369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Customer Segmentation and Targeting</w:t>
      </w:r>
    </w:p>
    <w:p w14:paraId="271B635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Use customer purchase patterns to implement personalized offers, focusing on categories that resonate well with specific customer segments (e.g., Veggie lovers).</w:t>
      </w:r>
    </w:p>
    <w:p w14:paraId="0CCA763B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 </w:t>
      </w:r>
      <w:r>
        <w:rPr>
          <w:rStyle w:val="13"/>
          <w:rFonts w:hint="default" w:ascii="Calibri" w:hAnsi="Calibri" w:cs="Calibri"/>
          <w:sz w:val="20"/>
          <w:szCs w:val="20"/>
        </w:rPr>
        <w:t>Menu Engineering</w:t>
      </w:r>
    </w:p>
    <w:p w14:paraId="1F5305B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Investigate product pairings that involve </w:t>
      </w:r>
      <w:r>
        <w:rPr>
          <w:rStyle w:val="13"/>
          <w:rFonts w:hint="default" w:ascii="Calibri" w:hAnsi="Calibri" w:cs="Calibri"/>
          <w:sz w:val="20"/>
          <w:szCs w:val="20"/>
        </w:rPr>
        <w:t>Chicken</w:t>
      </w:r>
      <w:r>
        <w:rPr>
          <w:rFonts w:hint="default" w:ascii="Calibri" w:hAnsi="Calibri" w:cs="Calibri"/>
          <w:sz w:val="20"/>
          <w:szCs w:val="20"/>
        </w:rPr>
        <w:t xml:space="preserve"> and </w:t>
      </w:r>
      <w:r>
        <w:rPr>
          <w:rStyle w:val="13"/>
          <w:rFonts w:hint="default" w:ascii="Calibri" w:hAnsi="Calibri" w:cs="Calibri"/>
          <w:sz w:val="20"/>
          <w:szCs w:val="20"/>
        </w:rPr>
        <w:t>Supreme</w:t>
      </w:r>
      <w:r>
        <w:rPr>
          <w:rFonts w:hint="default" w:ascii="Calibri" w:hAnsi="Calibri" w:cs="Calibri"/>
          <w:sz w:val="20"/>
          <w:szCs w:val="20"/>
        </w:rPr>
        <w:t xml:space="preserve"> categories to develop combo deals and boost average order values.</w:t>
      </w:r>
    </w:p>
    <w:p w14:paraId="231ED471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60B461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bookmarkStart w:id="0" w:name="_GoBack"/>
      <w:bookmarkEnd w:id="0"/>
      <w:r>
        <w:rPr>
          <w:rStyle w:val="13"/>
          <w:rFonts w:hint="default" w:ascii="Calibri" w:hAnsi="Calibri" w:cs="Calibri"/>
          <w:b/>
          <w:bCs/>
          <w:sz w:val="20"/>
          <w:szCs w:val="20"/>
        </w:rPr>
        <w:t>Additional Takeaways:</w:t>
      </w:r>
    </w:p>
    <w:p w14:paraId="0C83F8B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Trend Monitoring:</w:t>
      </w:r>
      <w:r>
        <w:rPr>
          <w:rFonts w:hint="default" w:ascii="Calibri" w:hAnsi="Calibri" w:cs="Calibri"/>
          <w:sz w:val="20"/>
          <w:szCs w:val="20"/>
        </w:rPr>
        <w:t xml:space="preserve"> Continue monitoring sales anomalies to identify seasonal trends and inform long-term strategy.</w:t>
      </w:r>
    </w:p>
    <w:p w14:paraId="21AE41C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Data-Driven Promotions:</w:t>
      </w:r>
      <w:r>
        <w:rPr>
          <w:rFonts w:hint="default" w:ascii="Calibri" w:hAnsi="Calibri" w:cs="Calibri"/>
          <w:sz w:val="20"/>
          <w:szCs w:val="20"/>
        </w:rPr>
        <w:t xml:space="preserve"> Leverage data insights to target high-performing categories with limited-time discounts or loyalty rewards.</w:t>
      </w:r>
    </w:p>
    <w:p w14:paraId="258D25C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Style w:val="13"/>
          <w:rFonts w:hint="default" w:ascii="Calibri" w:hAnsi="Calibri" w:cs="Calibri"/>
          <w:sz w:val="20"/>
          <w:szCs w:val="20"/>
        </w:rPr>
        <w:t>Revenue Diversification:</w:t>
      </w:r>
      <w:r>
        <w:rPr>
          <w:rFonts w:hint="default" w:ascii="Calibri" w:hAnsi="Calibri" w:cs="Calibri"/>
          <w:sz w:val="20"/>
          <w:szCs w:val="20"/>
        </w:rPr>
        <w:t xml:space="preserve"> Encourage cross-category purchases by promoting meal bundles that combine high-frequency and low-frequency items.</w:t>
      </w:r>
    </w:p>
    <w:p w14:paraId="366F10BF">
      <w:pPr>
        <w:pStyle w:val="12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These findings and strategies are designed to enhance customer satisfaction, streamline operations, and drive revenue growth. Data-driven decision-making is the key to staying competitive in the dynamic food industry!</w:t>
      </w:r>
    </w:p>
    <w:p w14:paraId="66EF7941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0"/>
          <w:szCs w:val="20"/>
        </w:rPr>
      </w:pPr>
    </w:p>
    <w:p w14:paraId="282CE08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Calibri" w:hAnsi="Calibri" w:cs="Calibri"/>
          <w:sz w:val="20"/>
          <w:szCs w:val="20"/>
          <w:lang w:val="en-US"/>
        </w:rPr>
      </w:pPr>
    </w:p>
    <w:sectPr>
      <w:pgSz w:w="12960" w:h="16560"/>
      <w:pgMar w:top="462" w:right="961" w:bottom="0" w:left="119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">
    <w:altName w:val="Segoe Print"/>
    <w:panose1 w:val="00000000000000000000"/>
    <w:charset w:val="00"/>
    <w:family w:val="swiss"/>
    <w:pitch w:val="default"/>
    <w:sig w:usb0="00000000" w:usb1="00000000" w:usb2="00000021" w:usb3="00000000" w:csb0="0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788CB4"/>
    <w:multiLevelType w:val="multilevel"/>
    <w:tmpl w:val="8B788C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7362725"/>
    <w:multiLevelType w:val="multilevel"/>
    <w:tmpl w:val="973627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58B4DC0"/>
    <w:multiLevelType w:val="multilevel"/>
    <w:tmpl w:val="B58B4D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F0608DD"/>
    <w:multiLevelType w:val="multilevel"/>
    <w:tmpl w:val="CF0608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8A70632"/>
    <w:multiLevelType w:val="multilevel"/>
    <w:tmpl w:val="F8A706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AE1FC7A"/>
    <w:multiLevelType w:val="multilevel"/>
    <w:tmpl w:val="FAE1FC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E982811"/>
    <w:multiLevelType w:val="multilevel"/>
    <w:tmpl w:val="3E9828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30F4FEA"/>
    <w:multiLevelType w:val="multilevel"/>
    <w:tmpl w:val="430F4F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01DF1875"/>
    <w:rsid w:val="06362AC0"/>
    <w:rsid w:val="063C2B5C"/>
    <w:rsid w:val="117A072C"/>
    <w:rsid w:val="12713B5F"/>
    <w:rsid w:val="146D73D7"/>
    <w:rsid w:val="18C54E6D"/>
    <w:rsid w:val="1ADF6678"/>
    <w:rsid w:val="1F4A0F65"/>
    <w:rsid w:val="209B180C"/>
    <w:rsid w:val="23A90FC2"/>
    <w:rsid w:val="250B0044"/>
    <w:rsid w:val="26212FB8"/>
    <w:rsid w:val="2DD436EE"/>
    <w:rsid w:val="308D5EB4"/>
    <w:rsid w:val="316E4F51"/>
    <w:rsid w:val="32086A25"/>
    <w:rsid w:val="32506E1A"/>
    <w:rsid w:val="37134E69"/>
    <w:rsid w:val="3D053E3E"/>
    <w:rsid w:val="3F220A14"/>
    <w:rsid w:val="43674F65"/>
    <w:rsid w:val="44EF65A4"/>
    <w:rsid w:val="47BB57BD"/>
    <w:rsid w:val="58B241AD"/>
    <w:rsid w:val="5AC05BF0"/>
    <w:rsid w:val="61E9697C"/>
    <w:rsid w:val="62F24AA7"/>
    <w:rsid w:val="6431040C"/>
    <w:rsid w:val="6F7C0F78"/>
    <w:rsid w:val="70F32AB6"/>
    <w:rsid w:val="74222834"/>
    <w:rsid w:val="77D870D4"/>
    <w:rsid w:val="7B645E24"/>
    <w:rsid w:val="7C0B4F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4">
    <w:name w:val="heading 6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rPr>
      <w:rFonts w:ascii="Georgia" w:hAnsi="Georgia" w:eastAsia="Georgia" w:cs="Georgia"/>
      <w:sz w:val="19"/>
      <w:szCs w:val="19"/>
      <w:lang w:val="en-US" w:eastAsia="en-US" w:bidi="ar-SA"/>
    </w:rPr>
  </w:style>
  <w:style w:type="character" w:styleId="8">
    <w:name w:val="FollowedHyperlink"/>
    <w:basedOn w:val="5"/>
    <w:qFormat/>
    <w:uiPriority w:val="0"/>
    <w:rPr>
      <w:color w:val="800080"/>
      <w:u w:val="single"/>
    </w:rPr>
  </w:style>
  <w:style w:type="character" w:styleId="9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1">
    <w:name w:val="Hyperlink"/>
    <w:basedOn w:val="5"/>
    <w:qFormat/>
    <w:uiPriority w:val="0"/>
    <w:rPr>
      <w:color w:val="0000FF"/>
      <w:u w:val="single"/>
    </w:rPr>
  </w:style>
  <w:style w:type="paragraph" w:styleId="1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5"/>
    <w:qFormat/>
    <w:uiPriority w:val="0"/>
    <w:rPr>
      <w:b/>
      <w:bCs/>
    </w:rPr>
  </w:style>
  <w:style w:type="table" w:customStyle="1" w:styleId="14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5">
    <w:name w:val="List Paragraph"/>
    <w:basedOn w:val="1"/>
    <w:qFormat/>
    <w:uiPriority w:val="1"/>
    <w:pPr>
      <w:ind w:left="720"/>
      <w:contextualSpacing/>
    </w:pPr>
  </w:style>
  <w:style w:type="paragraph" w:customStyle="1" w:styleId="16">
    <w:name w:val="header list"/>
    <w:qFormat/>
    <w:uiPriority w:val="0"/>
    <w:pPr>
      <w:spacing w:after="0" w:line="259" w:lineRule="auto"/>
    </w:pPr>
    <w:rPr>
      <w:rFonts w:ascii="Noto Sans" w:hAnsi="Noto Sans" w:eastAsiaTheme="majorEastAsia" w:cstheme="majorBidi"/>
      <w:color w:val="222E39"/>
      <w:sz w:val="20"/>
      <w:szCs w:val="32"/>
      <w:lang w:val="en-GB" w:eastAsia="en-US" w:bidi="ar-SA"/>
    </w:rPr>
  </w:style>
  <w:style w:type="paragraph" w:styleId="17">
    <w:name w:val="No Spacing"/>
    <w:qFormat/>
    <w:uiPriority w:val="1"/>
    <w:pPr>
      <w:spacing w:after="0" w:line="240" w:lineRule="auto"/>
    </w:pPr>
    <w:rPr>
      <w:rFonts w:eastAsia="SimSun" w:asciiTheme="minorHAnsi" w:hAnsiTheme="minorHAnsi" w:cstheme="minorBidi"/>
      <w:sz w:val="22"/>
      <w:szCs w:val="22"/>
      <w:lang w:val="en-CA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649</TotalTime>
  <ScaleCrop>false</ScaleCrop>
  <LinksUpToDate>false</LinksUpToDate>
  <Application>WPS Office_12.2.0.18607_F1E327BC-269C-435d-A152-05C5408002CA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2024-08-26T12:22:00Z</dcterms:created>
  <dc:creator>Spillrule</dc:creator>
  <cp:lastModifiedBy>Adetola Bamidele</cp:lastModifiedBy>
  <dcterms:modified xsi:type="dcterms:W3CDTF">2024-11-09T01:45:12Z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2024-09-25T22:17:39Z</vt:filetime>
  </property>
  <property fmtid="{D5CDD505-2E9C-101B-9397-08002B2CF9AE}" pid="4" name="KSOProductBuildVer">
    <vt:lpwstr>1033-12.2.0.18607</vt:lpwstr>
  </property>
  <property fmtid="{D5CDD505-2E9C-101B-9397-08002B2CF9AE}" pid="5" name="ICV">
    <vt:lpwstr>7D4F5CF375A84610B22CC1CD32FFE7F1_13</vt:lpwstr>
  </property>
</Properties>
</file>