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A3C29D">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Key Findings</w:t>
      </w:r>
    </w:p>
    <w:p w14:paraId="35CE442D">
      <w:pPr>
        <w:bidi w:val="0"/>
        <w:rPr>
          <w:rFonts w:hint="default" w:ascii="Calibri" w:hAnsi="Calibri" w:cs="Calibri"/>
          <w:sz w:val="20"/>
          <w:szCs w:val="20"/>
        </w:rPr>
      </w:pPr>
      <w:r>
        <w:rPr>
          <w:rStyle w:val="13"/>
          <w:rFonts w:hint="default" w:ascii="Calibri" w:hAnsi="Calibri" w:cs="Calibri"/>
          <w:sz w:val="20"/>
          <w:szCs w:val="20"/>
        </w:rPr>
        <w:t>Customer Segmentation</w:t>
      </w:r>
      <w:r>
        <w:rPr>
          <w:rFonts w:hint="default" w:ascii="Calibri" w:hAnsi="Calibri" w:cs="Calibri"/>
          <w:sz w:val="20"/>
          <w:szCs w:val="20"/>
        </w:rPr>
        <w:t>:</w:t>
      </w:r>
    </w:p>
    <w:p w14:paraId="6B94FC09">
      <w:pPr>
        <w:keepNext w:val="0"/>
        <w:keepLines w:val="0"/>
        <w:widowControl/>
        <w:numPr>
          <w:ilvl w:val="0"/>
          <w:numId w:val="1"/>
        </w:numPr>
        <w:suppressLineNumbers w:val="0"/>
        <w:spacing w:before="0" w:beforeAutospacing="1" w:after="0" w:afterAutospacing="1"/>
        <w:ind w:left="1680" w:leftChars="0" w:hanging="420" w:firstLineChars="0"/>
        <w:jc w:val="both"/>
        <w:rPr>
          <w:rFonts w:hint="default" w:ascii="Calibri" w:hAnsi="Calibri" w:cs="Calibri"/>
          <w:sz w:val="20"/>
          <w:szCs w:val="20"/>
        </w:rPr>
      </w:pPr>
      <w:r>
        <w:rPr>
          <w:rStyle w:val="13"/>
          <w:rFonts w:hint="default" w:ascii="Calibri" w:hAnsi="Calibri" w:cs="Calibri"/>
          <w:sz w:val="20"/>
          <w:szCs w:val="20"/>
        </w:rPr>
        <w:t>Loyal Customers</w:t>
      </w:r>
      <w:r>
        <w:rPr>
          <w:rFonts w:hint="default" w:ascii="Calibri" w:hAnsi="Calibri" w:cs="Calibri"/>
          <w:sz w:val="20"/>
          <w:szCs w:val="20"/>
        </w:rPr>
        <w:t xml:space="preserve"> in the </w:t>
      </w:r>
      <w:r>
        <w:rPr>
          <w:rStyle w:val="13"/>
          <w:rFonts w:hint="default" w:ascii="Calibri" w:hAnsi="Calibri" w:cs="Calibri"/>
          <w:sz w:val="20"/>
          <w:szCs w:val="20"/>
        </w:rPr>
        <w:t>Southwest region</w:t>
      </w:r>
      <w:r>
        <w:rPr>
          <w:rFonts w:hint="default" w:ascii="Calibri" w:hAnsi="Calibri" w:cs="Calibri"/>
          <w:sz w:val="20"/>
          <w:szCs w:val="20"/>
        </w:rPr>
        <w:t xml:space="preserve"> contributed </w:t>
      </w:r>
      <w:r>
        <w:rPr>
          <w:rStyle w:val="13"/>
          <w:rFonts w:hint="default" w:ascii="Calibri" w:hAnsi="Calibri" w:cs="Calibri"/>
          <w:sz w:val="20"/>
          <w:szCs w:val="20"/>
        </w:rPr>
        <w:t>13.21%</w:t>
      </w:r>
      <w:r>
        <w:rPr>
          <w:rFonts w:hint="default" w:ascii="Calibri" w:hAnsi="Calibri" w:cs="Calibri"/>
          <w:sz w:val="20"/>
          <w:szCs w:val="20"/>
        </w:rPr>
        <w:t xml:space="preserve"> of the total monetary value.</w:t>
      </w:r>
    </w:p>
    <w:p w14:paraId="0E249BE4">
      <w:pPr>
        <w:keepNext w:val="0"/>
        <w:keepLines w:val="0"/>
        <w:widowControl/>
        <w:numPr>
          <w:ilvl w:val="0"/>
          <w:numId w:val="1"/>
        </w:numPr>
        <w:suppressLineNumbers w:val="0"/>
        <w:spacing w:before="0" w:beforeAutospacing="1" w:after="0" w:afterAutospacing="1"/>
        <w:ind w:left="1680" w:leftChars="0" w:hanging="420" w:firstLineChars="0"/>
        <w:rPr>
          <w:rFonts w:hint="default" w:ascii="Calibri" w:hAnsi="Calibri" w:cs="Calibri"/>
          <w:sz w:val="20"/>
          <w:szCs w:val="20"/>
        </w:rPr>
      </w:pPr>
      <w:r>
        <w:rPr>
          <w:rStyle w:val="13"/>
          <w:rFonts w:hint="default" w:ascii="Calibri" w:hAnsi="Calibri" w:cs="Calibri"/>
          <w:sz w:val="20"/>
          <w:szCs w:val="20"/>
        </w:rPr>
        <w:t>Lost Customers</w:t>
      </w:r>
      <w:r>
        <w:rPr>
          <w:rFonts w:hint="default" w:ascii="Calibri" w:hAnsi="Calibri" w:cs="Calibri"/>
          <w:sz w:val="20"/>
          <w:szCs w:val="20"/>
        </w:rPr>
        <w:t xml:space="preserve"> accounted for a significant portion (95.72%) of the total customer count, indicating a high churn rate.</w:t>
      </w:r>
    </w:p>
    <w:p w14:paraId="0F2B3DE9">
      <w:pPr>
        <w:keepNext w:val="0"/>
        <w:keepLines w:val="0"/>
        <w:widowControl/>
        <w:numPr>
          <w:ilvl w:val="0"/>
          <w:numId w:val="1"/>
        </w:numPr>
        <w:suppressLineNumbers w:val="0"/>
        <w:spacing w:before="0" w:beforeAutospacing="1" w:after="0" w:afterAutospacing="1"/>
        <w:ind w:left="1680" w:leftChars="0" w:hanging="420" w:firstLineChars="0"/>
        <w:rPr>
          <w:rFonts w:hint="default" w:ascii="Calibri" w:hAnsi="Calibri" w:cs="Calibri"/>
          <w:sz w:val="20"/>
          <w:szCs w:val="20"/>
        </w:rPr>
      </w:pPr>
      <w:r>
        <w:rPr>
          <w:rStyle w:val="13"/>
          <w:rFonts w:hint="default" w:ascii="Calibri" w:hAnsi="Calibri" w:cs="Calibri"/>
          <w:sz w:val="20"/>
          <w:szCs w:val="20"/>
        </w:rPr>
        <w:t>Low-Risk Churn</w:t>
      </w:r>
      <w:r>
        <w:rPr>
          <w:rFonts w:hint="default" w:ascii="Calibri" w:hAnsi="Calibri" w:cs="Calibri"/>
          <w:sz w:val="20"/>
          <w:szCs w:val="20"/>
        </w:rPr>
        <w:t xml:space="preserve"> had the largest increase in the total number of customers (6000%), suggesting a potential opportunity to re-engage these customers.</w:t>
      </w:r>
    </w:p>
    <w:p w14:paraId="06420C07">
      <w:pPr>
        <w:keepNext w:val="0"/>
        <w:keepLines w:val="0"/>
        <w:widowControl/>
        <w:numPr>
          <w:ilvl w:val="0"/>
          <w:numId w:val="1"/>
        </w:numPr>
        <w:suppressLineNumbers w:val="0"/>
        <w:spacing w:before="0" w:beforeAutospacing="1" w:after="0" w:afterAutospacing="1"/>
        <w:ind w:left="1680" w:leftChars="0" w:hanging="420" w:firstLineChars="0"/>
        <w:rPr>
          <w:rFonts w:hint="default" w:ascii="Calibri" w:hAnsi="Calibri" w:cs="Calibri"/>
          <w:sz w:val="20"/>
          <w:szCs w:val="20"/>
        </w:rPr>
      </w:pPr>
      <w:r>
        <w:rPr>
          <w:rStyle w:val="13"/>
          <w:rFonts w:hint="default" w:ascii="Calibri" w:hAnsi="Calibri" w:cs="Calibri"/>
          <w:sz w:val="20"/>
          <w:szCs w:val="20"/>
        </w:rPr>
        <w:t>Platinum Customers</w:t>
      </w:r>
      <w:r>
        <w:rPr>
          <w:rFonts w:hint="default" w:ascii="Calibri" w:hAnsi="Calibri" w:cs="Calibri"/>
          <w:sz w:val="20"/>
          <w:szCs w:val="20"/>
        </w:rPr>
        <w:t xml:space="preserve"> exhibited the highest frequency (63,435), followed by </w:t>
      </w:r>
      <w:r>
        <w:rPr>
          <w:rStyle w:val="13"/>
          <w:rFonts w:hint="default" w:ascii="Calibri" w:hAnsi="Calibri" w:cs="Calibri"/>
          <w:sz w:val="20"/>
          <w:szCs w:val="20"/>
        </w:rPr>
        <w:t>Silver</w:t>
      </w:r>
      <w:r>
        <w:rPr>
          <w:rFonts w:hint="default" w:ascii="Calibri" w:hAnsi="Calibri" w:cs="Calibri"/>
          <w:sz w:val="20"/>
          <w:szCs w:val="20"/>
        </w:rPr>
        <w:t xml:space="preserve"> (46,981) and </w:t>
      </w:r>
      <w:r>
        <w:rPr>
          <w:rStyle w:val="13"/>
          <w:rFonts w:hint="default" w:ascii="Calibri" w:hAnsi="Calibri" w:cs="Calibri"/>
          <w:sz w:val="20"/>
          <w:szCs w:val="20"/>
        </w:rPr>
        <w:t>Gold</w:t>
      </w:r>
      <w:r>
        <w:rPr>
          <w:rFonts w:hint="default" w:ascii="Calibri" w:hAnsi="Calibri" w:cs="Calibri"/>
          <w:sz w:val="20"/>
          <w:szCs w:val="20"/>
        </w:rPr>
        <w:t xml:space="preserve"> (10,901), with Platinum making up </w:t>
      </w:r>
      <w:r>
        <w:rPr>
          <w:rStyle w:val="13"/>
          <w:rFonts w:hint="default" w:ascii="Calibri" w:hAnsi="Calibri" w:cs="Calibri"/>
          <w:sz w:val="20"/>
          <w:szCs w:val="20"/>
        </w:rPr>
        <w:t>52.29%</w:t>
      </w:r>
      <w:r>
        <w:rPr>
          <w:rFonts w:hint="default" w:ascii="Calibri" w:hAnsi="Calibri" w:cs="Calibri"/>
          <w:sz w:val="20"/>
          <w:szCs w:val="20"/>
        </w:rPr>
        <w:t xml:space="preserve"> of the frequency total.</w:t>
      </w:r>
    </w:p>
    <w:p w14:paraId="2539D04B">
      <w:pPr>
        <w:pStyle w:val="12"/>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Trends and Anomalies</w:t>
      </w:r>
      <w:r>
        <w:rPr>
          <w:rFonts w:hint="default" w:ascii="Calibri" w:hAnsi="Calibri" w:cs="Calibri"/>
          <w:sz w:val="20"/>
          <w:szCs w:val="20"/>
        </w:rPr>
        <w:t>:</w:t>
      </w:r>
      <w:bookmarkStart w:id="0" w:name="_GoBack"/>
      <w:bookmarkEnd w:id="0"/>
    </w:p>
    <w:p w14:paraId="116F35A7">
      <w:pPr>
        <w:keepNext w:val="0"/>
        <w:keepLines w:val="0"/>
        <w:widowControl/>
        <w:numPr>
          <w:ilvl w:val="0"/>
          <w:numId w:val="2"/>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The </w:t>
      </w:r>
      <w:r>
        <w:rPr>
          <w:rStyle w:val="13"/>
          <w:rFonts w:hint="default" w:ascii="Calibri" w:hAnsi="Calibri" w:cs="Calibri"/>
          <w:sz w:val="20"/>
          <w:szCs w:val="20"/>
        </w:rPr>
        <w:t>Active Customer</w:t>
      </w:r>
      <w:r>
        <w:rPr>
          <w:rFonts w:hint="default" w:ascii="Calibri" w:hAnsi="Calibri" w:cs="Calibri"/>
          <w:sz w:val="20"/>
          <w:szCs w:val="20"/>
        </w:rPr>
        <w:t xml:space="preserve"> count saw a sharp decrease of </w:t>
      </w:r>
      <w:r>
        <w:rPr>
          <w:rStyle w:val="13"/>
          <w:rFonts w:hint="default" w:ascii="Calibri" w:hAnsi="Calibri" w:cs="Calibri"/>
          <w:sz w:val="20"/>
          <w:szCs w:val="20"/>
        </w:rPr>
        <w:t>21.57%</w:t>
      </w:r>
      <w:r>
        <w:rPr>
          <w:rFonts w:hint="default" w:ascii="Calibri" w:hAnsi="Calibri" w:cs="Calibri"/>
          <w:sz w:val="20"/>
          <w:szCs w:val="20"/>
        </w:rPr>
        <w:t xml:space="preserve"> within the analyzed period.</w:t>
      </w:r>
    </w:p>
    <w:p w14:paraId="7CD9BBD8">
      <w:pPr>
        <w:keepNext w:val="0"/>
        <w:keepLines w:val="0"/>
        <w:widowControl/>
        <w:numPr>
          <w:ilvl w:val="0"/>
          <w:numId w:val="2"/>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An anomaly occurred on </w:t>
      </w:r>
      <w:r>
        <w:rPr>
          <w:rStyle w:val="13"/>
          <w:rFonts w:hint="default" w:ascii="Calibri" w:hAnsi="Calibri" w:cs="Calibri"/>
          <w:sz w:val="20"/>
          <w:szCs w:val="20"/>
        </w:rPr>
        <w:t>May 1, 2014</w:t>
      </w:r>
      <w:r>
        <w:rPr>
          <w:rFonts w:hint="default" w:ascii="Calibri" w:hAnsi="Calibri" w:cs="Calibri"/>
          <w:sz w:val="20"/>
          <w:szCs w:val="20"/>
        </w:rPr>
        <w:t xml:space="preserve">, when Active customers reached a peak of </w:t>
      </w:r>
      <w:r>
        <w:rPr>
          <w:rStyle w:val="13"/>
          <w:rFonts w:hint="default" w:ascii="Calibri" w:hAnsi="Calibri" w:cs="Calibri"/>
          <w:sz w:val="20"/>
          <w:szCs w:val="20"/>
        </w:rPr>
        <w:t>221</w:t>
      </w:r>
      <w:r>
        <w:rPr>
          <w:rFonts w:hint="default" w:ascii="Calibri" w:hAnsi="Calibri" w:cs="Calibri"/>
          <w:sz w:val="20"/>
          <w:szCs w:val="20"/>
        </w:rPr>
        <w:t>.</w:t>
      </w:r>
    </w:p>
    <w:p w14:paraId="26D14CEE">
      <w:pPr>
        <w:keepNext w:val="0"/>
        <w:keepLines w:val="0"/>
        <w:widowControl/>
        <w:numPr>
          <w:ilvl w:val="0"/>
          <w:numId w:val="2"/>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Average Monetary Value and customer count diverged most with the </w:t>
      </w:r>
      <w:r>
        <w:rPr>
          <w:rStyle w:val="13"/>
          <w:rFonts w:hint="default" w:ascii="Calibri" w:hAnsi="Calibri" w:cs="Calibri"/>
          <w:sz w:val="20"/>
          <w:szCs w:val="20"/>
        </w:rPr>
        <w:t>Loyal</w:t>
      </w:r>
      <w:r>
        <w:rPr>
          <w:rFonts w:hint="default" w:ascii="Calibri" w:hAnsi="Calibri" w:cs="Calibri"/>
          <w:sz w:val="20"/>
          <w:szCs w:val="20"/>
        </w:rPr>
        <w:t xml:space="preserve"> segment, where the monetary value was </w:t>
      </w:r>
      <w:r>
        <w:rPr>
          <w:rStyle w:val="13"/>
          <w:rFonts w:hint="default" w:ascii="Calibri" w:hAnsi="Calibri" w:cs="Calibri"/>
          <w:sz w:val="20"/>
          <w:szCs w:val="20"/>
        </w:rPr>
        <w:t>165,388</w:t>
      </w:r>
      <w:r>
        <w:rPr>
          <w:rFonts w:hint="default" w:ascii="Calibri" w:hAnsi="Calibri" w:cs="Calibri"/>
          <w:sz w:val="20"/>
          <w:szCs w:val="20"/>
        </w:rPr>
        <w:t xml:space="preserve"> higher than the customer count.</w:t>
      </w:r>
    </w:p>
    <w:p w14:paraId="2DA7BB80">
      <w:pPr>
        <w:pStyle w:val="12"/>
        <w:keepNext w:val="0"/>
        <w:keepLines w:val="0"/>
        <w:widowControl/>
        <w:suppressLineNumbers w:val="0"/>
        <w:rPr>
          <w:rFonts w:hint="default" w:ascii="Calibri" w:hAnsi="Calibri" w:cs="Calibri"/>
          <w:sz w:val="20"/>
          <w:szCs w:val="20"/>
        </w:rPr>
      </w:pPr>
      <w:r>
        <w:rPr>
          <w:rStyle w:val="13"/>
          <w:rFonts w:hint="default" w:ascii="Calibri" w:hAnsi="Calibri" w:cs="Calibri"/>
          <w:sz w:val="20"/>
          <w:szCs w:val="20"/>
        </w:rPr>
        <w:t>Customer Frequency and Value</w:t>
      </w:r>
      <w:r>
        <w:rPr>
          <w:rFonts w:hint="default" w:ascii="Calibri" w:hAnsi="Calibri" w:cs="Calibri"/>
          <w:sz w:val="20"/>
          <w:szCs w:val="20"/>
        </w:rPr>
        <w:t>:</w:t>
      </w:r>
    </w:p>
    <w:p w14:paraId="3B732D95">
      <w:pPr>
        <w:keepNext w:val="0"/>
        <w:keepLines w:val="0"/>
        <w:widowControl/>
        <w:numPr>
          <w:ilvl w:val="0"/>
          <w:numId w:val="3"/>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Style w:val="13"/>
          <w:rFonts w:hint="default" w:ascii="Calibri" w:hAnsi="Calibri" w:cs="Calibri"/>
          <w:sz w:val="20"/>
          <w:szCs w:val="20"/>
        </w:rPr>
        <w:t>Platinum</w:t>
      </w:r>
      <w:r>
        <w:rPr>
          <w:rFonts w:hint="default" w:ascii="Calibri" w:hAnsi="Calibri" w:cs="Calibri"/>
          <w:sz w:val="20"/>
          <w:szCs w:val="20"/>
        </w:rPr>
        <w:t xml:space="preserve"> had the highest sum of frequency (63,435), vastly outpacing Gold (10,901), indicating high engagement within this tier.</w:t>
      </w:r>
    </w:p>
    <w:p w14:paraId="3A4AFDFF">
      <w:pPr>
        <w:keepNext w:val="0"/>
        <w:keepLines w:val="0"/>
        <w:widowControl/>
        <w:numPr>
          <w:ilvl w:val="0"/>
          <w:numId w:val="3"/>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The </w:t>
      </w:r>
      <w:r>
        <w:rPr>
          <w:rStyle w:val="13"/>
          <w:rFonts w:hint="default" w:ascii="Calibri" w:hAnsi="Calibri" w:cs="Calibri"/>
          <w:sz w:val="20"/>
          <w:szCs w:val="20"/>
        </w:rPr>
        <w:t>average monetary value</w:t>
      </w:r>
      <w:r>
        <w:rPr>
          <w:rFonts w:hint="default" w:ascii="Calibri" w:hAnsi="Calibri" w:cs="Calibri"/>
          <w:sz w:val="20"/>
          <w:szCs w:val="20"/>
        </w:rPr>
        <w:t xml:space="preserve"> for </w:t>
      </w:r>
      <w:r>
        <w:rPr>
          <w:rStyle w:val="13"/>
          <w:rFonts w:hint="default" w:ascii="Calibri" w:hAnsi="Calibri" w:cs="Calibri"/>
          <w:sz w:val="20"/>
          <w:szCs w:val="20"/>
        </w:rPr>
        <w:t>Platinum</w:t>
      </w:r>
      <w:r>
        <w:rPr>
          <w:rFonts w:hint="default" w:ascii="Calibri" w:hAnsi="Calibri" w:cs="Calibri"/>
          <w:sz w:val="20"/>
          <w:szCs w:val="20"/>
        </w:rPr>
        <w:t xml:space="preserve"> and </w:t>
      </w:r>
      <w:r>
        <w:rPr>
          <w:rStyle w:val="13"/>
          <w:rFonts w:hint="default" w:ascii="Calibri" w:hAnsi="Calibri" w:cs="Calibri"/>
          <w:sz w:val="20"/>
          <w:szCs w:val="20"/>
        </w:rPr>
        <w:t>Silver</w:t>
      </w:r>
      <w:r>
        <w:rPr>
          <w:rFonts w:hint="default" w:ascii="Calibri" w:hAnsi="Calibri" w:cs="Calibri"/>
          <w:sz w:val="20"/>
          <w:szCs w:val="20"/>
        </w:rPr>
        <w:t xml:space="preserve"> segments highlights potential cross-selling opportunities with these customer types.</w:t>
      </w:r>
    </w:p>
    <w:p w14:paraId="1DB67C82">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8F271D1">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Recommendations</w:t>
      </w:r>
    </w:p>
    <w:p w14:paraId="6B9D99E5">
      <w:pPr>
        <w:pStyle w:val="12"/>
        <w:keepNext w:val="0"/>
        <w:keepLines w:val="0"/>
        <w:widowControl/>
        <w:suppressLineNumbers w:val="0"/>
        <w:ind w:left="720"/>
        <w:rPr>
          <w:rFonts w:hint="default" w:ascii="Calibri" w:hAnsi="Calibri" w:cs="Calibri"/>
          <w:sz w:val="20"/>
          <w:szCs w:val="20"/>
        </w:rPr>
      </w:pPr>
      <w:r>
        <w:rPr>
          <w:rStyle w:val="13"/>
          <w:rFonts w:hint="default" w:ascii="Calibri" w:hAnsi="Calibri" w:cs="Calibri"/>
          <w:sz w:val="20"/>
          <w:szCs w:val="20"/>
        </w:rPr>
        <w:t>Retention and Re-engagement</w:t>
      </w:r>
      <w:r>
        <w:rPr>
          <w:rFonts w:hint="default" w:ascii="Calibri" w:hAnsi="Calibri" w:cs="Calibri"/>
          <w:sz w:val="20"/>
          <w:szCs w:val="20"/>
        </w:rPr>
        <w:t>:</w:t>
      </w:r>
    </w:p>
    <w:p w14:paraId="0728FA0D">
      <w:pPr>
        <w:keepNext w:val="0"/>
        <w:keepLines w:val="0"/>
        <w:widowControl/>
        <w:numPr>
          <w:ilvl w:val="0"/>
          <w:numId w:val="4"/>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Focus on re-engagement strategies for </w:t>
      </w:r>
      <w:r>
        <w:rPr>
          <w:rStyle w:val="13"/>
          <w:rFonts w:hint="default" w:ascii="Calibri" w:hAnsi="Calibri" w:cs="Calibri"/>
          <w:sz w:val="20"/>
          <w:szCs w:val="20"/>
        </w:rPr>
        <w:t>Lost Customers</w:t>
      </w:r>
      <w:r>
        <w:rPr>
          <w:rFonts w:hint="default" w:ascii="Calibri" w:hAnsi="Calibri" w:cs="Calibri"/>
          <w:sz w:val="20"/>
          <w:szCs w:val="20"/>
        </w:rPr>
        <w:t xml:space="preserve"> by offering targeted incentives, as they make up 95.72% of the total customer count.</w:t>
      </w:r>
    </w:p>
    <w:p w14:paraId="684BC61C">
      <w:pPr>
        <w:keepNext w:val="0"/>
        <w:keepLines w:val="0"/>
        <w:widowControl/>
        <w:numPr>
          <w:ilvl w:val="0"/>
          <w:numId w:val="4"/>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Given the increase in </w:t>
      </w:r>
      <w:r>
        <w:rPr>
          <w:rStyle w:val="13"/>
          <w:rFonts w:hint="default" w:ascii="Calibri" w:hAnsi="Calibri" w:cs="Calibri"/>
          <w:sz w:val="20"/>
          <w:szCs w:val="20"/>
        </w:rPr>
        <w:t>Low-Risk Churn</w:t>
      </w:r>
      <w:r>
        <w:rPr>
          <w:rFonts w:hint="default" w:ascii="Calibri" w:hAnsi="Calibri" w:cs="Calibri"/>
          <w:sz w:val="20"/>
          <w:szCs w:val="20"/>
        </w:rPr>
        <w:t xml:space="preserve"> customers, implement personalized communication to re-engage this segment, as they might be more receptive to promotional offers.</w:t>
      </w:r>
    </w:p>
    <w:p w14:paraId="63D83CAC">
      <w:pPr>
        <w:pStyle w:val="12"/>
        <w:keepNext w:val="0"/>
        <w:keepLines w:val="0"/>
        <w:widowControl/>
        <w:suppressLineNumbers w:val="0"/>
        <w:ind w:left="720"/>
        <w:rPr>
          <w:rFonts w:hint="default" w:ascii="Calibri" w:hAnsi="Calibri" w:cs="Calibri"/>
          <w:sz w:val="20"/>
          <w:szCs w:val="20"/>
        </w:rPr>
      </w:pPr>
      <w:r>
        <w:rPr>
          <w:rStyle w:val="13"/>
          <w:rFonts w:hint="default" w:ascii="Calibri" w:hAnsi="Calibri" w:cs="Calibri"/>
          <w:sz w:val="20"/>
          <w:szCs w:val="20"/>
        </w:rPr>
        <w:t>Enhancing Customer Loyalty</w:t>
      </w:r>
      <w:r>
        <w:rPr>
          <w:rFonts w:hint="default" w:ascii="Calibri" w:hAnsi="Calibri" w:cs="Calibri"/>
          <w:sz w:val="20"/>
          <w:szCs w:val="20"/>
        </w:rPr>
        <w:t>:</w:t>
      </w:r>
    </w:p>
    <w:p w14:paraId="51C48C53">
      <w:pPr>
        <w:keepNext w:val="0"/>
        <w:keepLines w:val="0"/>
        <w:widowControl/>
        <w:numPr>
          <w:ilvl w:val="0"/>
          <w:numId w:val="5"/>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Invest in loyalty programs for </w:t>
      </w:r>
      <w:r>
        <w:rPr>
          <w:rStyle w:val="13"/>
          <w:rFonts w:hint="default" w:ascii="Calibri" w:hAnsi="Calibri" w:cs="Calibri"/>
          <w:sz w:val="20"/>
          <w:szCs w:val="20"/>
        </w:rPr>
        <w:t>Platinum and Silver customers</w:t>
      </w:r>
      <w:r>
        <w:rPr>
          <w:rFonts w:hint="default" w:ascii="Calibri" w:hAnsi="Calibri" w:cs="Calibri"/>
          <w:sz w:val="20"/>
          <w:szCs w:val="20"/>
        </w:rPr>
        <w:t xml:space="preserve"> to further increase frequency and prevent churn.</w:t>
      </w:r>
    </w:p>
    <w:p w14:paraId="603D8830">
      <w:pPr>
        <w:keepNext w:val="0"/>
        <w:keepLines w:val="0"/>
        <w:widowControl/>
        <w:numPr>
          <w:ilvl w:val="0"/>
          <w:numId w:val="5"/>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Tailor marketing efforts to the </w:t>
      </w:r>
      <w:r>
        <w:rPr>
          <w:rStyle w:val="13"/>
          <w:rFonts w:hint="default" w:ascii="Calibri" w:hAnsi="Calibri" w:cs="Calibri"/>
          <w:sz w:val="20"/>
          <w:szCs w:val="20"/>
        </w:rPr>
        <w:t>Southwest region</w:t>
      </w:r>
      <w:r>
        <w:rPr>
          <w:rFonts w:hint="default" w:ascii="Calibri" w:hAnsi="Calibri" w:cs="Calibri"/>
          <w:sz w:val="20"/>
          <w:szCs w:val="20"/>
        </w:rPr>
        <w:t>, where Loyal customers already generate substantial monetary value, to build on existing engagement.</w:t>
      </w:r>
    </w:p>
    <w:p w14:paraId="17836AE1">
      <w:pPr>
        <w:pStyle w:val="12"/>
        <w:keepNext w:val="0"/>
        <w:keepLines w:val="0"/>
        <w:widowControl/>
        <w:suppressLineNumbers w:val="0"/>
        <w:ind w:left="720"/>
        <w:rPr>
          <w:rFonts w:hint="default" w:ascii="Calibri" w:hAnsi="Calibri" w:cs="Calibri"/>
          <w:sz w:val="20"/>
          <w:szCs w:val="20"/>
        </w:rPr>
      </w:pPr>
      <w:r>
        <w:rPr>
          <w:rStyle w:val="13"/>
          <w:rFonts w:hint="default" w:ascii="Calibri" w:hAnsi="Calibri" w:cs="Calibri"/>
          <w:sz w:val="20"/>
          <w:szCs w:val="20"/>
        </w:rPr>
        <w:t>Cross-selling and Upselling Opportunities</w:t>
      </w:r>
      <w:r>
        <w:rPr>
          <w:rFonts w:hint="default" w:ascii="Calibri" w:hAnsi="Calibri" w:cs="Calibri"/>
          <w:sz w:val="20"/>
          <w:szCs w:val="20"/>
        </w:rPr>
        <w:t>:</w:t>
      </w:r>
    </w:p>
    <w:p w14:paraId="07165248">
      <w:pPr>
        <w:keepNext w:val="0"/>
        <w:keepLines w:val="0"/>
        <w:widowControl/>
        <w:numPr>
          <w:ilvl w:val="0"/>
          <w:numId w:val="6"/>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Leverage cross-selling with </w:t>
      </w:r>
      <w:r>
        <w:rPr>
          <w:rStyle w:val="13"/>
          <w:rFonts w:hint="default" w:ascii="Calibri" w:hAnsi="Calibri" w:cs="Calibri"/>
          <w:sz w:val="20"/>
          <w:szCs w:val="20"/>
        </w:rPr>
        <w:t>Platinum and Silver customers</w:t>
      </w:r>
      <w:r>
        <w:rPr>
          <w:rFonts w:hint="default" w:ascii="Calibri" w:hAnsi="Calibri" w:cs="Calibri"/>
          <w:sz w:val="20"/>
          <w:szCs w:val="20"/>
        </w:rPr>
        <w:t>, as they show higher engagement and frequency.</w:t>
      </w:r>
    </w:p>
    <w:p w14:paraId="3563F35F">
      <w:pPr>
        <w:keepNext w:val="0"/>
        <w:keepLines w:val="0"/>
        <w:widowControl/>
        <w:numPr>
          <w:ilvl w:val="0"/>
          <w:numId w:val="6"/>
        </w:numPr>
        <w:suppressLineNumbers w:val="0"/>
        <w:tabs>
          <w:tab w:val="clear" w:pos="420"/>
        </w:tabs>
        <w:spacing w:before="0" w:beforeAutospacing="1" w:after="0" w:afterAutospacing="1"/>
        <w:ind w:left="1440" w:leftChars="0" w:hanging="360" w:firstLineChars="0"/>
        <w:rPr>
          <w:rFonts w:hint="default" w:ascii="Calibri" w:hAnsi="Calibri" w:cs="Calibri"/>
          <w:sz w:val="20"/>
          <w:szCs w:val="20"/>
        </w:rPr>
      </w:pPr>
      <w:r>
        <w:rPr>
          <w:rFonts w:hint="default" w:ascii="Calibri" w:hAnsi="Calibri" w:cs="Calibri"/>
          <w:sz w:val="20"/>
          <w:szCs w:val="20"/>
        </w:rPr>
        <w:t xml:space="preserve">Analyze frequently bought product pairs to identify potential cross-sell items for </w:t>
      </w:r>
      <w:r>
        <w:rPr>
          <w:rStyle w:val="13"/>
          <w:rFonts w:hint="default" w:ascii="Calibri" w:hAnsi="Calibri" w:cs="Calibri"/>
          <w:sz w:val="20"/>
          <w:szCs w:val="20"/>
        </w:rPr>
        <w:t>high-frequency</w:t>
      </w:r>
      <w:r>
        <w:rPr>
          <w:rFonts w:hint="default" w:ascii="Calibri" w:hAnsi="Calibri" w:cs="Calibri"/>
          <w:sz w:val="20"/>
          <w:szCs w:val="20"/>
        </w:rPr>
        <w:t xml:space="preserve"> customer segments.</w:t>
      </w:r>
    </w:p>
    <w:p w14:paraId="63780322">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79F2403">
      <w:pPr>
        <w:pStyle w:val="2"/>
        <w:keepNext w:val="0"/>
        <w:keepLines w:val="0"/>
        <w:widowControl/>
        <w:suppressLineNumbers w:val="0"/>
        <w:rPr>
          <w:rFonts w:hint="default" w:ascii="Calibri" w:hAnsi="Calibri" w:cs="Calibri"/>
          <w:sz w:val="20"/>
          <w:szCs w:val="20"/>
        </w:rPr>
      </w:pPr>
      <w:r>
        <w:rPr>
          <w:rFonts w:hint="default" w:ascii="Calibri" w:hAnsi="Calibri" w:cs="Calibri"/>
          <w:sz w:val="20"/>
          <w:szCs w:val="20"/>
        </w:rPr>
        <w:t>Additional Takeaways</w:t>
      </w:r>
    </w:p>
    <w:p w14:paraId="7AACF40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Monitoring </w:t>
      </w:r>
      <w:r>
        <w:rPr>
          <w:rStyle w:val="13"/>
          <w:rFonts w:hint="default" w:ascii="Calibri" w:hAnsi="Calibri" w:cs="Calibri"/>
          <w:sz w:val="20"/>
          <w:szCs w:val="20"/>
        </w:rPr>
        <w:t>Active Customer</w:t>
      </w:r>
      <w:r>
        <w:rPr>
          <w:rFonts w:hint="default" w:ascii="Calibri" w:hAnsi="Calibri" w:cs="Calibri"/>
          <w:sz w:val="20"/>
          <w:szCs w:val="20"/>
        </w:rPr>
        <w:t xml:space="preserve"> trends and anomalies can provide insights for timely engagement, especially around identified high-activity periods.</w:t>
      </w:r>
    </w:p>
    <w:p w14:paraId="29BF518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0"/>
          <w:szCs w:val="20"/>
        </w:rPr>
      </w:pPr>
      <w:r>
        <w:rPr>
          <w:rStyle w:val="13"/>
          <w:rFonts w:hint="default" w:ascii="Calibri" w:hAnsi="Calibri" w:cs="Calibri"/>
          <w:sz w:val="20"/>
          <w:szCs w:val="20"/>
        </w:rPr>
        <w:t>Lost Customer</w:t>
      </w:r>
      <w:r>
        <w:rPr>
          <w:rFonts w:hint="default" w:ascii="Calibri" w:hAnsi="Calibri" w:cs="Calibri"/>
          <w:sz w:val="20"/>
          <w:szCs w:val="20"/>
        </w:rPr>
        <w:t xml:space="preserve"> trends indicate a need for continuous customer value assessment, allowing targeted intervention strategies to prevent future losses.</w:t>
      </w:r>
    </w:p>
    <w:p w14:paraId="5F767004">
      <w:pPr>
        <w:pStyle w:val="12"/>
        <w:keepNext w:val="0"/>
        <w:keepLines w:val="0"/>
        <w:widowControl/>
        <w:suppressLineNumbers w:val="0"/>
        <w:rPr>
          <w:rFonts w:hint="default" w:ascii="Calibri" w:hAnsi="Calibri" w:cs="Calibri"/>
          <w:sz w:val="20"/>
          <w:szCs w:val="20"/>
        </w:rPr>
      </w:pPr>
      <w:r>
        <w:rPr>
          <w:rFonts w:hint="default" w:ascii="Calibri" w:hAnsi="Calibri" w:cs="Calibri"/>
          <w:sz w:val="20"/>
          <w:szCs w:val="20"/>
        </w:rPr>
        <w:t>This analysis helps shape strategies in customer engagement, retention, and revenue optimization by identifying the key drivers in each segment and region. Let me know if you’d like further breakdowns or specific visual recommendations for Power BI!</w:t>
      </w:r>
    </w:p>
    <w:p w14:paraId="282CE084">
      <w:pPr>
        <w:keepNext w:val="0"/>
        <w:keepLines w:val="0"/>
        <w:widowControl/>
        <w:numPr>
          <w:ilvl w:val="0"/>
          <w:numId w:val="0"/>
        </w:numPr>
        <w:suppressLineNumbers w:val="0"/>
        <w:spacing w:before="0" w:beforeAutospacing="1" w:after="0" w:afterAutospacing="1"/>
        <w:ind w:left="360" w:leftChars="0"/>
        <w:rPr>
          <w:rFonts w:hint="default"/>
          <w:lang w:val="en-US"/>
        </w:rPr>
      </w:pPr>
    </w:p>
    <w:sectPr>
      <w:pgSz w:w="12960" w:h="16560"/>
      <w:pgMar w:top="462" w:right="961" w:bottom="0" w:left="119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w:altName w:val="Segoe Print"/>
    <w:panose1 w:val="00000000000000000000"/>
    <w:charset w:val="00"/>
    <w:family w:val="swiss"/>
    <w:pitch w:val="default"/>
    <w:sig w:usb0="00000000" w:usb1="00000000" w:usb2="00000021" w:usb3="00000000" w:csb0="0000019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8A2CC"/>
    <w:multiLevelType w:val="singleLevel"/>
    <w:tmpl w:val="A178A2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5F449A"/>
    <w:multiLevelType w:val="singleLevel"/>
    <w:tmpl w:val="A85F449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D8B3F7D0"/>
    <w:multiLevelType w:val="singleLevel"/>
    <w:tmpl w:val="D8B3F7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B15D172"/>
    <w:multiLevelType w:val="multilevel"/>
    <w:tmpl w:val="EB15D1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179E2CC"/>
    <w:multiLevelType w:val="singleLevel"/>
    <w:tmpl w:val="F179E2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217F9B2"/>
    <w:multiLevelType w:val="singleLevel"/>
    <w:tmpl w:val="3217F9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4D4F8C0"/>
    <w:multiLevelType w:val="singleLevel"/>
    <w:tmpl w:val="74D4F8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01DF1875"/>
    <w:rsid w:val="06362AC0"/>
    <w:rsid w:val="063C2B5C"/>
    <w:rsid w:val="117A072C"/>
    <w:rsid w:val="12713B5F"/>
    <w:rsid w:val="146D73D7"/>
    <w:rsid w:val="18C54E6D"/>
    <w:rsid w:val="1ADF6678"/>
    <w:rsid w:val="1F4A0F65"/>
    <w:rsid w:val="209B180C"/>
    <w:rsid w:val="23A90FC2"/>
    <w:rsid w:val="250B0044"/>
    <w:rsid w:val="26212FB8"/>
    <w:rsid w:val="2DD436EE"/>
    <w:rsid w:val="308D5EB4"/>
    <w:rsid w:val="316E4F51"/>
    <w:rsid w:val="32086A25"/>
    <w:rsid w:val="32506E1A"/>
    <w:rsid w:val="37134E69"/>
    <w:rsid w:val="3D053E3E"/>
    <w:rsid w:val="43674F65"/>
    <w:rsid w:val="44EF65A4"/>
    <w:rsid w:val="47BB57BD"/>
    <w:rsid w:val="58B241AD"/>
    <w:rsid w:val="5AC05BF0"/>
    <w:rsid w:val="61E9697C"/>
    <w:rsid w:val="62F24AA7"/>
    <w:rsid w:val="6431040C"/>
    <w:rsid w:val="6F7C0F78"/>
    <w:rsid w:val="70F32AB6"/>
    <w:rsid w:val="74222834"/>
    <w:rsid w:val="77D870D4"/>
    <w:rsid w:val="7B645E24"/>
    <w:rsid w:val="7C0B4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rPr>
      <w:rFonts w:ascii="Georgia" w:hAnsi="Georgia" w:eastAsia="Georgia" w:cs="Georgia"/>
      <w:sz w:val="19"/>
      <w:szCs w:val="19"/>
      <w:lang w:val="en-US" w:eastAsia="en-US" w:bidi="ar-SA"/>
    </w:rPr>
  </w:style>
  <w:style w:type="character" w:styleId="8">
    <w:name w:val="FollowedHyperlink"/>
    <w:basedOn w:val="5"/>
    <w:qFormat/>
    <w:uiPriority w:val="0"/>
    <w:rPr>
      <w:color w:val="800080"/>
      <w:u w:val="single"/>
    </w:rPr>
  </w:style>
  <w:style w:type="character" w:styleId="9">
    <w:name w:val="HTML Code"/>
    <w:basedOn w:val="5"/>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customStyle="1" w:styleId="14">
    <w:name w:val="Table Normal1"/>
    <w:semiHidden/>
    <w:unhideWhenUsed/>
    <w:qFormat/>
    <w:uiPriority w:val="0"/>
    <w:tblPr>
      <w:tblCellMar>
        <w:top w:w="0" w:type="dxa"/>
        <w:left w:w="0" w:type="dxa"/>
        <w:bottom w:w="0" w:type="dxa"/>
        <w:right w:w="0" w:type="dxa"/>
      </w:tblCellMar>
    </w:tblPr>
  </w:style>
  <w:style w:type="paragraph" w:styleId="15">
    <w:name w:val="List Paragraph"/>
    <w:basedOn w:val="1"/>
    <w:qFormat/>
    <w:uiPriority w:val="1"/>
    <w:pPr>
      <w:ind w:left="720"/>
      <w:contextualSpacing/>
    </w:pPr>
  </w:style>
  <w:style w:type="paragraph" w:customStyle="1" w:styleId="16">
    <w:name w:val="header list"/>
    <w:qFormat/>
    <w:uiPriority w:val="0"/>
    <w:pPr>
      <w:spacing w:after="0" w:line="259" w:lineRule="auto"/>
    </w:pPr>
    <w:rPr>
      <w:rFonts w:ascii="Noto Sans" w:hAnsi="Noto Sans" w:eastAsiaTheme="majorEastAsia" w:cstheme="majorBidi"/>
      <w:color w:val="222E39"/>
      <w:sz w:val="20"/>
      <w:szCs w:val="32"/>
      <w:lang w:val="en-GB" w:eastAsia="en-US" w:bidi="ar-SA"/>
    </w:rPr>
  </w:style>
  <w:style w:type="paragraph" w:styleId="17">
    <w:name w:val="No Spacing"/>
    <w:qFormat/>
    <w:uiPriority w:val="1"/>
    <w:pPr>
      <w:spacing w:after="0" w:line="240" w:lineRule="auto"/>
    </w:pPr>
    <w:rPr>
      <w:rFonts w:eastAsia="SimSun" w:asciiTheme="minorHAnsi" w:hAnsiTheme="minorHAnsi" w:cstheme="minorBidi"/>
      <w:sz w:val="22"/>
      <w:szCs w:val="22"/>
      <w:lang w:val="en-CA"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642</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2024-08-26T12:22:00Z</dcterms:created>
  <dc:creator>Spillrule</dc:creator>
  <cp:lastModifiedBy>Adetola Bamidele</cp:lastModifiedBy>
  <dcterms:modified xsi:type="dcterms:W3CDTF">2024-11-09T01:00:41Z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2024-09-25T22:17:39Z</vt:filetime>
  </property>
  <property fmtid="{D5CDD505-2E9C-101B-9397-08002B2CF9AE}" pid="4" name="KSOProductBuildVer">
    <vt:lpwstr>1033-12.2.0.18607</vt:lpwstr>
  </property>
  <property fmtid="{D5CDD505-2E9C-101B-9397-08002B2CF9AE}" pid="5" name="ICV">
    <vt:lpwstr>1E18B0AD83C2488C8087D64DEC1805F2_13</vt:lpwstr>
  </property>
</Properties>
</file>