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9.wmf" ContentType="image/x-wmf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charts/chart2.xml" ContentType="application/vnd.openxmlformats-officedocument.drawingml.chart+xml"/>
  <Override PartName="/word/charts/chart1.xml" ContentType="application/vnd.openxmlformats-officedocument.drawingml.chart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ind w:left="992" w:right="0" w:hanging="0"/>
        <w:rPr/>
      </w:pPr>
      <w:r>
        <w:rPr/>
      </w:r>
    </w:p>
    <w:p>
      <w:pPr>
        <w:pStyle w:val="Style26"/>
        <w:rPr>
          <w:lang w:val="ru-RU"/>
        </w:rPr>
      </w:pPr>
      <w:r>
        <w:rPr>
          <w:lang w:val="ru-RU"/>
        </w:rPr>
        <w:drawing>
          <wp:anchor behindDoc="0" distT="0" distB="0" distL="133350" distR="114300" simplePos="0" locked="0" layoutInCell="1" allowOverlap="1" relativeHeight="2">
            <wp:simplePos x="0" y="0"/>
            <wp:positionH relativeFrom="column">
              <wp:posOffset>-538480</wp:posOffset>
            </wp:positionH>
            <wp:positionV relativeFrom="paragraph">
              <wp:posOffset>-399415</wp:posOffset>
            </wp:positionV>
            <wp:extent cx="6637020" cy="890905"/>
            <wp:effectExtent l="0" t="0" r="0" b="0"/>
            <wp:wrapNone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6"/>
        <w:rPr>
          <w:lang w:val="ru-RU"/>
        </w:rPr>
      </w:pPr>
      <w:r>
        <w:rPr>
          <w:lang w:val="ru-RU"/>
        </w:rPr>
      </w:r>
    </w:p>
    <w:p>
      <w:pPr>
        <w:pStyle w:val="Style26"/>
        <w:rPr/>
      </w:pPr>
      <w:r>
        <w:rPr/>
      </w:r>
    </w:p>
    <w:p>
      <w:pPr>
        <w:pStyle w:val="Style26"/>
        <w:rPr/>
      </w:pPr>
      <w:r>
        <w:rPr/>
        <w:t>МІНІСТЕРСТВО  ОСВІТИ  І  НАУКИ</w:t>
      </w:r>
      <w:r>
        <w:rPr>
          <w:rFonts w:eastAsia="Calibri"/>
          <w:caps/>
          <w:szCs w:val="28"/>
        </w:rPr>
        <w:t xml:space="preserve"> </w:t>
      </w:r>
      <w:r>
        <w:rPr>
          <w:rFonts w:eastAsia="Calibri"/>
          <w:caps/>
          <w:szCs w:val="28"/>
          <w:lang w:val="ru-RU"/>
        </w:rPr>
        <w:t xml:space="preserve"> </w:t>
      </w:r>
      <w:r>
        <w:rPr/>
        <w:t>УКРАЇНИ</w:t>
      </w:r>
    </w:p>
    <w:p>
      <w:pPr>
        <w:pStyle w:val="Normal"/>
        <w:spacing w:lineRule="auto" w:line="240" w:before="0" w:after="120"/>
        <w:ind w:left="0" w:right="0" w:hanging="0"/>
        <w:jc w:val="center"/>
        <w:rPr/>
      </w:pPr>
      <w:r>
        <w:rPr/>
        <w:t>НАЦІОНАЛЬНИЙ   ТЕХНІЧНИЙ   УНІВЕРСИТЕТ   УКРАЇНИ</w:t>
      </w:r>
    </w:p>
    <w:p>
      <w:pPr>
        <w:pStyle w:val="Normal"/>
        <w:spacing w:lineRule="auto" w:line="240" w:before="0" w:after="120"/>
        <w:ind w:left="0" w:right="0" w:hanging="0"/>
        <w:jc w:val="center"/>
        <w:rPr/>
      </w:pPr>
      <w:r>
        <w:rPr/>
        <w:t>“</w:t>
      </w:r>
      <w:r>
        <w:rPr/>
        <w:t>КИЇВСЬКИЙ  ПОЛІТЕХНІЧНИЙ  ІНСТИТУТ”</w:t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 w:before="0" w:after="120"/>
        <w:ind w:left="0" w:right="0" w:hanging="0"/>
        <w:jc w:val="center"/>
        <w:rPr/>
      </w:pPr>
      <w:r>
        <w:rPr/>
        <w:t>Факультет прикладної математики</w:t>
      </w:r>
    </w:p>
    <w:p>
      <w:pPr>
        <w:pStyle w:val="Normal"/>
        <w:spacing w:lineRule="auto" w:line="240" w:before="0" w:after="120"/>
        <w:ind w:left="0" w:right="0" w:hanging="0"/>
        <w:jc w:val="center"/>
        <w:rPr/>
      </w:pPr>
      <w:r>
        <w:rPr/>
        <w:t>Кафедра програмного забезпечення комп’ютерних систем</w:t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 w:before="0" w:after="120"/>
        <w:ind w:left="0" w:right="0" w:hanging="0"/>
        <w:jc w:val="center"/>
        <w:rPr/>
      </w:pPr>
      <w:r>
        <w:rPr>
          <w:b/>
          <w:sz w:val="32"/>
          <w:szCs w:val="32"/>
        </w:rPr>
        <w:t>Лабораторна робота №</w:t>
      </w:r>
      <w:r>
        <w:rPr>
          <w:sz w:val="32"/>
          <w:szCs w:val="32"/>
        </w:rPr>
        <w:t>1.1</w:t>
      </w:r>
    </w:p>
    <w:p>
      <w:pPr>
        <w:pStyle w:val="Normal"/>
        <w:spacing w:lineRule="auto" w:line="240" w:before="0" w:after="120"/>
        <w:ind w:left="0" w:right="0" w:hanging="0"/>
        <w:jc w:val="center"/>
        <w:rPr/>
      </w:pPr>
      <w:r>
        <w:rPr/>
        <w:t xml:space="preserve">з дисципліни </w:t>
      </w:r>
      <w:r>
        <w:rPr>
          <w:szCs w:val="28"/>
        </w:rPr>
        <w:t>“ Чисельні методи ”</w:t>
      </w:r>
    </w:p>
    <w:p>
      <w:pPr>
        <w:pStyle w:val="Normal"/>
        <w:spacing w:lineRule="auto" w:line="240" w:before="0" w:after="120"/>
        <w:ind w:left="0" w:right="0" w:hanging="0"/>
        <w:jc w:val="center"/>
        <w:rPr/>
      </w:pPr>
      <w:r>
        <w:rPr>
          <w:szCs w:val="28"/>
        </w:rPr>
        <w:t xml:space="preserve">тема </w:t>
      </w:r>
      <w:r>
        <w:rPr>
          <w:szCs w:val="28"/>
          <w:lang w:val="ru-RU"/>
        </w:rPr>
        <w:t>“</w:t>
      </w:r>
      <w:r>
        <w:rPr>
          <w:szCs w:val="28"/>
        </w:rPr>
        <w:t>Нелінійні рівняння з одним невідомим</w:t>
      </w:r>
      <w:r>
        <w:rPr>
          <w:szCs w:val="28"/>
          <w:lang w:val="ru-RU"/>
        </w:rPr>
        <w:t>”</w:t>
      </w:r>
    </w:p>
    <w:p>
      <w:pPr>
        <w:pStyle w:val="Normal"/>
        <w:spacing w:lineRule="auto" w:line="240" w:before="0" w:after="120"/>
        <w:ind w:left="0" w:right="0" w:hanging="0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tbl>
      <w:tblPr>
        <w:tblW w:w="9606" w:type="dxa"/>
        <w:jc w:val="left"/>
        <w:tblInd w:w="0" w:type="dxa"/>
        <w:tblBorders/>
        <w:tblCellMar>
          <w:top w:w="0" w:type="dxa"/>
          <w:left w:w="118" w:type="dxa"/>
          <w:bottom w:w="0" w:type="dxa"/>
          <w:right w:w="108" w:type="dxa"/>
        </w:tblCellMar>
      </w:tblPr>
      <w:tblGrid>
        <w:gridCol w:w="4412"/>
        <w:gridCol w:w="658"/>
        <w:gridCol w:w="4536"/>
      </w:tblGrid>
      <w:tr>
        <w:trPr/>
        <w:tc>
          <w:tcPr>
            <w:tcW w:w="4412" w:type="dxa"/>
            <w:tcBorders/>
            <w:shd w:fill="FFFFFF" w:val="clear"/>
          </w:tcPr>
          <w:p>
            <w:pPr>
              <w:pStyle w:val="Normal"/>
              <w:spacing w:lineRule="auto" w:line="240" w:before="120" w:after="120"/>
              <w:ind w:left="0" w:right="0" w:hanging="0"/>
              <w:jc w:val="left"/>
              <w:rPr/>
            </w:pPr>
            <w:r>
              <w:rPr/>
              <w:t>Виконала</w:t>
            </w:r>
          </w:p>
          <w:p>
            <w:pPr>
              <w:pStyle w:val="Normal"/>
              <w:spacing w:lineRule="auto" w:line="240" w:before="120" w:after="120"/>
              <w:ind w:left="0" w:right="0" w:hanging="0"/>
              <w:jc w:val="left"/>
              <w:rPr/>
            </w:pPr>
            <w:r>
              <w:rPr/>
              <w:t xml:space="preserve">студент </w:t>
            </w:r>
            <w:r>
              <w:rPr>
                <w:lang w:val="en-US"/>
              </w:rPr>
              <w:t>III</w:t>
            </w:r>
            <w:r>
              <w:rPr/>
              <w:t xml:space="preserve"> курсу</w:t>
            </w:r>
          </w:p>
          <w:p>
            <w:pPr>
              <w:pStyle w:val="Normal"/>
              <w:spacing w:lineRule="auto" w:line="240" w:before="120" w:after="120"/>
              <w:ind w:left="0" w:right="0" w:hanging="0"/>
              <w:jc w:val="left"/>
              <w:rPr/>
            </w:pPr>
            <w:r>
              <w:rPr/>
              <w:t>групи КП-41</w:t>
            </w:r>
          </w:p>
          <w:p>
            <w:pPr>
              <w:pStyle w:val="Normal"/>
              <w:spacing w:lineRule="auto" w:line="240" w:before="0" w:after="120"/>
              <w:ind w:left="0" w:right="0" w:hanging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Корзун Володимир Ігорович</w:t>
            </w:r>
          </w:p>
          <w:p>
            <w:pPr>
              <w:pStyle w:val="Normal"/>
              <w:spacing w:lineRule="auto" w:line="240" w:before="120" w:after="12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spacing w:lineRule="auto" w:line="240" w:before="120" w:after="120"/>
              <w:ind w:left="0" w:right="0" w:hanging="0"/>
              <w:jc w:val="left"/>
              <w:rPr/>
            </w:pPr>
            <w:r>
              <w:rPr/>
              <w:t>варіант №2</w:t>
            </w:r>
          </w:p>
        </w:tc>
        <w:tc>
          <w:tcPr>
            <w:tcW w:w="658" w:type="dxa"/>
            <w:tcBorders/>
            <w:shd w:fill="FFFFFF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/>
            </w:r>
          </w:p>
        </w:tc>
        <w:tc>
          <w:tcPr>
            <w:tcW w:w="4536" w:type="dxa"/>
            <w:tcBorders/>
            <w:shd w:fill="FFFFFF" w:val="clear"/>
          </w:tcPr>
          <w:p>
            <w:pPr>
              <w:pStyle w:val="Normal"/>
              <w:spacing w:lineRule="auto" w:line="240" w:before="120" w:after="120"/>
              <w:ind w:left="0" w:right="0" w:hanging="0"/>
              <w:jc w:val="right"/>
              <w:rPr/>
            </w:pPr>
            <w:r>
              <w:rPr/>
              <w:t>Зарахована</w:t>
            </w:r>
          </w:p>
          <w:p>
            <w:pPr>
              <w:pStyle w:val="Normal"/>
              <w:spacing w:lineRule="auto" w:line="240" w:before="120" w:after="120"/>
              <w:ind w:left="0" w:right="0" w:hanging="0"/>
              <w:jc w:val="right"/>
              <w:rPr/>
            </w:pPr>
            <w:r>
              <w:rPr>
                <w:lang w:val="ru-RU"/>
              </w:rPr>
              <w:t>“</w:t>
            </w:r>
            <w:r>
              <w:rPr/>
              <w:t>____</w:t>
            </w:r>
            <w:r>
              <w:rPr>
                <w:lang w:val="ru-RU"/>
              </w:rPr>
              <w:t>”</w:t>
            </w:r>
            <w:r>
              <w:rPr/>
              <w:t> </w:t>
            </w:r>
            <w:r>
              <w:rPr>
                <w:lang w:val="ru-RU"/>
              </w:rPr>
              <w:t>“_____</w:t>
            </w:r>
            <w:r>
              <w:rPr/>
              <w:t>___</w:t>
            </w:r>
            <w:r>
              <w:rPr>
                <w:lang w:val="ru-RU"/>
              </w:rPr>
              <w:t>____”</w:t>
            </w:r>
            <w:r>
              <w:rPr>
                <w:lang w:val="en-US"/>
              </w:rPr>
              <w:t> </w:t>
            </w:r>
            <w:r>
              <w:rPr>
                <w:lang w:val="ru-RU"/>
              </w:rPr>
              <w:t>2016</w:t>
            </w:r>
            <w:r>
              <w:rPr>
                <w:lang w:val="en-US"/>
              </w:rPr>
              <w:t> </w:t>
            </w:r>
            <w:r>
              <w:rPr/>
              <w:t>р.</w:t>
            </w:r>
          </w:p>
          <w:p>
            <w:pPr>
              <w:pStyle w:val="Normal"/>
              <w:spacing w:lineRule="auto" w:line="240" w:before="120" w:after="120"/>
              <w:ind w:left="0" w:right="0" w:hanging="0"/>
              <w:jc w:val="right"/>
              <w:rPr/>
            </w:pPr>
            <w:r>
              <w:rPr/>
              <w:t>викладачем</w:t>
            </w:r>
          </w:p>
          <w:p>
            <w:pPr>
              <w:pStyle w:val="Normal"/>
              <w:spacing w:lineRule="auto" w:line="240" w:before="0" w:after="120"/>
              <w:ind w:left="-475" w:right="0" w:hanging="0"/>
              <w:jc w:val="right"/>
              <w:rPr/>
            </w:pPr>
            <w:r>
              <w:rPr/>
              <w:t>Онаєм Миколою Володимировичем</w:t>
            </w:r>
          </w:p>
          <w:p>
            <w:pPr>
              <w:pStyle w:val="Normal"/>
              <w:spacing w:lineRule="auto" w:line="240" w:before="120" w:after="120"/>
              <w:ind w:left="0" w:right="0" w:hanging="0"/>
              <w:jc w:val="right"/>
              <w:rPr/>
            </w:pPr>
            <w:r>
              <w:rPr/>
            </w:r>
          </w:p>
          <w:p>
            <w:pPr>
              <w:pStyle w:val="Normal"/>
              <w:spacing w:lineRule="auto" w:line="240" w:before="120" w:after="120"/>
              <w:ind w:left="0" w:right="0" w:hanging="0"/>
              <w:jc w:val="right"/>
              <w:rPr/>
            </w:pPr>
            <w:r>
              <w:rPr/>
            </w:r>
          </w:p>
        </w:tc>
      </w:tr>
    </w:tbl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tbl>
      <w:tblPr>
        <w:tblW w:w="9570" w:type="dxa"/>
        <w:jc w:val="left"/>
        <w:tblInd w:w="0" w:type="dxa"/>
        <w:tblBorders/>
        <w:tblCellMar>
          <w:top w:w="0" w:type="dxa"/>
          <w:left w:w="118" w:type="dxa"/>
          <w:bottom w:w="0" w:type="dxa"/>
          <w:right w:w="108" w:type="dxa"/>
        </w:tblCellMar>
      </w:tblPr>
      <w:tblGrid>
        <w:gridCol w:w="3494"/>
        <w:gridCol w:w="3625"/>
        <w:gridCol w:w="2451"/>
      </w:tblGrid>
      <w:tr>
        <w:trPr/>
        <w:tc>
          <w:tcPr>
            <w:tcW w:w="3494" w:type="dxa"/>
            <w:tcBorders/>
            <w:shd w:fill="FFFFFF" w:val="clear"/>
          </w:tcPr>
          <w:p>
            <w:pPr>
              <w:pStyle w:val="Normal"/>
              <w:spacing w:lineRule="auto" w:line="240" w:before="120" w:after="120"/>
              <w:ind w:left="0" w:right="0" w:hanging="0"/>
              <w:jc w:val="center"/>
              <w:rPr/>
            </w:pPr>
            <w:r>
              <w:rPr/>
              <w:t>Штрафні бали:</w:t>
            </w:r>
          </w:p>
          <w:tbl>
            <w:tblPr>
              <w:tblW w:w="3270" w:type="dxa"/>
              <w:jc w:val="center"/>
              <w:tblInd w:w="0" w:type="dxa"/>
              <w:tblBorders>
                <w:top w:val="single" w:sz="4" w:space="0" w:color="000001"/>
                <w:left w:val="single" w:sz="4" w:space="0" w:color="000001"/>
                <w:bottom w:val="single" w:sz="4" w:space="0" w:color="000001"/>
                <w:right w:val="single" w:sz="4" w:space="0" w:color="000001"/>
                <w:insideH w:val="single" w:sz="4" w:space="0" w:color="000001"/>
                <w:insideV w:val="single" w:sz="4" w:space="0" w:color="000001"/>
              </w:tblBorders>
              <w:tblCellMar>
                <w:top w:w="0" w:type="dxa"/>
                <w:left w:w="88" w:type="dxa"/>
                <w:bottom w:w="0" w:type="dxa"/>
                <w:right w:w="108" w:type="dxa"/>
              </w:tblCellMar>
            </w:tblPr>
            <w:tblGrid>
              <w:gridCol w:w="1624"/>
              <w:gridCol w:w="1645"/>
            </w:tblGrid>
            <w:tr>
              <w:trPr/>
              <w:tc>
                <w:tcPr>
                  <w:tcW w:w="1624" w:type="dxa"/>
                  <w:tcBorders>
                    <w:top w:val="single" w:sz="4" w:space="0" w:color="000001"/>
                    <w:left w:val="single" w:sz="4" w:space="0" w:color="000001"/>
                    <w:bottom w:val="single" w:sz="4" w:space="0" w:color="000001"/>
                    <w:right w:val="single" w:sz="4" w:space="0" w:color="000001"/>
                    <w:insideH w:val="single" w:sz="4" w:space="0" w:color="000001"/>
                    <w:insideV w:val="single" w:sz="4" w:space="0" w:color="000001"/>
                  </w:tcBorders>
                  <w:shd w:fill="FFFFFF" w:val="clear"/>
                  <w:tcMar>
                    <w:left w:w="88" w:type="dxa"/>
                  </w:tcMar>
                  <w:vAlign w:val="center"/>
                </w:tcPr>
                <w:p>
                  <w:pPr>
                    <w:pStyle w:val="Normal"/>
                    <w:spacing w:lineRule="auto" w:line="240" w:before="60" w:after="0"/>
                    <w:ind w:left="0" w:right="0" w:hanging="0"/>
                    <w:jc w:val="center"/>
                    <w:rPr>
                      <w:b/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Термін здачі</w:t>
                  </w:r>
                </w:p>
              </w:tc>
              <w:tc>
                <w:tcPr>
                  <w:tcW w:w="1645" w:type="dxa"/>
                  <w:tcBorders>
                    <w:top w:val="single" w:sz="4" w:space="0" w:color="000001"/>
                    <w:left w:val="single" w:sz="4" w:space="0" w:color="000001"/>
                    <w:bottom w:val="single" w:sz="4" w:space="0" w:color="000001"/>
                    <w:right w:val="single" w:sz="4" w:space="0" w:color="000001"/>
                    <w:insideH w:val="single" w:sz="4" w:space="0" w:color="000001"/>
                    <w:insideV w:val="single" w:sz="4" w:space="0" w:color="000001"/>
                  </w:tcBorders>
                  <w:shd w:fill="FFFFFF" w:val="clear"/>
                  <w:tcMar>
                    <w:left w:w="88" w:type="dxa"/>
                  </w:tcMar>
                  <w:vAlign w:val="center"/>
                </w:tcPr>
                <w:p>
                  <w:pPr>
                    <w:pStyle w:val="Normal"/>
                    <w:spacing w:lineRule="auto" w:line="240" w:before="60" w:after="0"/>
                    <w:ind w:left="0" w:right="0" w:hanging="0"/>
                    <w:jc w:val="center"/>
                    <w:rPr/>
                  </w:pPr>
                  <w:r>
                    <w:rPr>
                      <w:b/>
                      <w:sz w:val="18"/>
                      <w:szCs w:val="18"/>
                    </w:rPr>
                    <w:t>Оформлення звіту</w:t>
                  </w:r>
                  <w:r>
                    <w:rPr>
                      <w:b/>
                      <w:sz w:val="18"/>
                      <w:szCs w:val="18"/>
                      <w:lang w:val="en-US"/>
                    </w:rPr>
                    <w:t xml:space="preserve"> (–</w:t>
                  </w:r>
                  <w:r>
                    <w:rPr>
                      <w:b/>
                      <w:sz w:val="18"/>
                      <w:szCs w:val="18"/>
                    </w:rPr>
                    <w:t>2</w:t>
                  </w:r>
                  <w:r>
                    <w:rPr>
                      <w:b/>
                      <w:sz w:val="18"/>
                      <w:szCs w:val="18"/>
                      <w:lang w:val="en-US"/>
                    </w:rPr>
                    <w:t>)</w:t>
                  </w:r>
                </w:p>
              </w:tc>
            </w:tr>
            <w:tr>
              <w:trPr/>
              <w:tc>
                <w:tcPr>
                  <w:tcW w:w="1624" w:type="dxa"/>
                  <w:tcBorders>
                    <w:top w:val="single" w:sz="4" w:space="0" w:color="000001"/>
                    <w:left w:val="single" w:sz="4" w:space="0" w:color="000001"/>
                    <w:bottom w:val="single" w:sz="4" w:space="0" w:color="000001"/>
                    <w:right w:val="single" w:sz="4" w:space="0" w:color="000001"/>
                    <w:insideH w:val="single" w:sz="4" w:space="0" w:color="000001"/>
                    <w:insideV w:val="single" w:sz="4" w:space="0" w:color="000001"/>
                  </w:tcBorders>
                  <w:shd w:fill="FFFFFF" w:val="clear"/>
                  <w:tcMar>
                    <w:left w:w="88" w:type="dxa"/>
                  </w:tcMar>
                  <w:vAlign w:val="center"/>
                </w:tcPr>
                <w:p>
                  <w:pPr>
                    <w:pStyle w:val="Normal"/>
                    <w:spacing w:lineRule="auto" w:line="240" w:before="60" w:after="0"/>
                    <w:ind w:left="0" w:right="0" w:hanging="0"/>
                    <w:jc w:val="center"/>
                    <w:rPr>
                      <w:b/>
                      <w:b/>
                    </w:rPr>
                  </w:pPr>
                  <w:r>
                    <w:rPr>
                      <w:b/>
                    </w:rPr>
                  </w:r>
                </w:p>
              </w:tc>
              <w:tc>
                <w:tcPr>
                  <w:tcW w:w="1645" w:type="dxa"/>
                  <w:tcBorders>
                    <w:top w:val="single" w:sz="4" w:space="0" w:color="000001"/>
                    <w:left w:val="single" w:sz="4" w:space="0" w:color="000001"/>
                    <w:bottom w:val="single" w:sz="4" w:space="0" w:color="000001"/>
                    <w:right w:val="single" w:sz="4" w:space="0" w:color="000001"/>
                    <w:insideH w:val="single" w:sz="4" w:space="0" w:color="000001"/>
                    <w:insideV w:val="single" w:sz="4" w:space="0" w:color="000001"/>
                  </w:tcBorders>
                  <w:shd w:fill="FFFFFF" w:val="clear"/>
                  <w:tcMar>
                    <w:left w:w="88" w:type="dxa"/>
                  </w:tcMar>
                  <w:vAlign w:val="center"/>
                </w:tcPr>
                <w:p>
                  <w:pPr>
                    <w:pStyle w:val="Normal"/>
                    <w:spacing w:lineRule="auto" w:line="240" w:before="60" w:after="0"/>
                    <w:ind w:left="0" w:right="0" w:hanging="0"/>
                    <w:jc w:val="center"/>
                    <w:rPr>
                      <w:b/>
                      <w:b/>
                    </w:rPr>
                  </w:pPr>
                  <w:r>
                    <w:rPr>
                      <w:b/>
                    </w:rPr>
                  </w:r>
                </w:p>
              </w:tc>
            </w:tr>
          </w:tbl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/>
            </w:r>
          </w:p>
        </w:tc>
        <w:tc>
          <w:tcPr>
            <w:tcW w:w="36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spacing w:lineRule="auto" w:line="240" w:before="120" w:after="120"/>
              <w:ind w:left="0" w:right="0" w:hanging="0"/>
              <w:jc w:val="center"/>
              <w:rPr/>
            </w:pPr>
            <w:r>
              <w:rPr/>
              <w:t>Нараховані бали:</w:t>
            </w:r>
          </w:p>
          <w:tbl>
            <w:tblPr>
              <w:tblW w:w="3397" w:type="dxa"/>
              <w:jc w:val="center"/>
              <w:tblInd w:w="0" w:type="dxa"/>
              <w:tblBorders>
                <w:top w:val="single" w:sz="4" w:space="0" w:color="000001"/>
                <w:left w:val="single" w:sz="4" w:space="0" w:color="000001"/>
                <w:bottom w:val="single" w:sz="4" w:space="0" w:color="000001"/>
                <w:right w:val="single" w:sz="4" w:space="0" w:color="000001"/>
                <w:insideH w:val="single" w:sz="4" w:space="0" w:color="000001"/>
                <w:insideV w:val="single" w:sz="4" w:space="0" w:color="000001"/>
              </w:tblBorders>
              <w:tblCellMar>
                <w:top w:w="0" w:type="dxa"/>
                <w:left w:w="88" w:type="dxa"/>
                <w:bottom w:w="0" w:type="dxa"/>
                <w:right w:w="108" w:type="dxa"/>
              </w:tblCellMar>
            </w:tblPr>
            <w:tblGrid>
              <w:gridCol w:w="1721"/>
              <w:gridCol w:w="1675"/>
            </w:tblGrid>
            <w:tr>
              <w:trPr/>
              <w:tc>
                <w:tcPr>
                  <w:tcW w:w="1721" w:type="dxa"/>
                  <w:tcBorders>
                    <w:top w:val="single" w:sz="4" w:space="0" w:color="000001"/>
                    <w:left w:val="single" w:sz="4" w:space="0" w:color="000001"/>
                    <w:bottom w:val="single" w:sz="4" w:space="0" w:color="000001"/>
                    <w:right w:val="single" w:sz="4" w:space="0" w:color="000001"/>
                    <w:insideH w:val="single" w:sz="4" w:space="0" w:color="000001"/>
                    <w:insideV w:val="single" w:sz="4" w:space="0" w:color="000001"/>
                  </w:tcBorders>
                  <w:shd w:fill="FFFFFF" w:val="clear"/>
                  <w:tcMar>
                    <w:left w:w="88" w:type="dxa"/>
                  </w:tcMar>
                  <w:vAlign w:val="center"/>
                </w:tcPr>
                <w:p>
                  <w:pPr>
                    <w:pStyle w:val="Normal"/>
                    <w:spacing w:lineRule="auto" w:line="240" w:before="60" w:after="0"/>
                    <w:ind w:left="0" w:right="0" w:hanging="0"/>
                    <w:jc w:val="center"/>
                    <w:rPr>
                      <w:b/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Відповіді на</w:t>
                    <w:br/>
                    <w:t>теор. питання (12)</w:t>
                  </w:r>
                </w:p>
              </w:tc>
              <w:tc>
                <w:tcPr>
                  <w:tcW w:w="1675" w:type="dxa"/>
                  <w:tcBorders>
                    <w:top w:val="single" w:sz="4" w:space="0" w:color="000001"/>
                    <w:left w:val="single" w:sz="4" w:space="0" w:color="000001"/>
                    <w:bottom w:val="single" w:sz="4" w:space="0" w:color="000001"/>
                    <w:right w:val="single" w:sz="4" w:space="0" w:color="000001"/>
                    <w:insideH w:val="single" w:sz="4" w:space="0" w:color="000001"/>
                    <w:insideV w:val="single" w:sz="4" w:space="0" w:color="000001"/>
                  </w:tcBorders>
                  <w:shd w:fill="FFFFFF" w:val="clear"/>
                  <w:tcMar>
                    <w:left w:w="88" w:type="dxa"/>
                  </w:tcMar>
                  <w:vAlign w:val="center"/>
                </w:tcPr>
                <w:p>
                  <w:pPr>
                    <w:pStyle w:val="Normal"/>
                    <w:spacing w:lineRule="auto" w:line="240" w:before="60" w:after="0"/>
                    <w:ind w:left="-57" w:right="-57" w:hanging="0"/>
                    <w:jc w:val="center"/>
                    <w:rPr>
                      <w:b/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Відповіді на</w:t>
                    <w:br/>
                    <w:t>прогр. питання (8)</w:t>
                  </w:r>
                </w:p>
              </w:tc>
            </w:tr>
            <w:tr>
              <w:trPr/>
              <w:tc>
                <w:tcPr>
                  <w:tcW w:w="1721" w:type="dxa"/>
                  <w:tcBorders>
                    <w:top w:val="single" w:sz="4" w:space="0" w:color="000001"/>
                    <w:left w:val="single" w:sz="4" w:space="0" w:color="000001"/>
                    <w:bottom w:val="single" w:sz="4" w:space="0" w:color="000001"/>
                    <w:right w:val="single" w:sz="4" w:space="0" w:color="000001"/>
                    <w:insideH w:val="single" w:sz="4" w:space="0" w:color="000001"/>
                    <w:insideV w:val="single" w:sz="4" w:space="0" w:color="000001"/>
                  </w:tcBorders>
                  <w:shd w:fill="FFFFFF" w:val="clear"/>
                  <w:tcMar>
                    <w:left w:w="88" w:type="dxa"/>
                  </w:tcMar>
                  <w:vAlign w:val="center"/>
                </w:tcPr>
                <w:p>
                  <w:pPr>
                    <w:pStyle w:val="Normal"/>
                    <w:spacing w:lineRule="auto" w:line="240" w:before="60" w:after="0"/>
                    <w:ind w:left="0" w:right="0" w:hanging="0"/>
                    <w:jc w:val="center"/>
                    <w:rPr>
                      <w:b/>
                      <w:b/>
                    </w:rPr>
                  </w:pPr>
                  <w:r>
                    <w:rPr>
                      <w:b/>
                    </w:rPr>
                  </w:r>
                </w:p>
              </w:tc>
              <w:tc>
                <w:tcPr>
                  <w:tcW w:w="1675" w:type="dxa"/>
                  <w:tcBorders>
                    <w:top w:val="single" w:sz="4" w:space="0" w:color="000001"/>
                    <w:left w:val="single" w:sz="4" w:space="0" w:color="000001"/>
                    <w:bottom w:val="single" w:sz="4" w:space="0" w:color="000001"/>
                    <w:right w:val="single" w:sz="4" w:space="0" w:color="000001"/>
                    <w:insideH w:val="single" w:sz="4" w:space="0" w:color="000001"/>
                    <w:insideV w:val="single" w:sz="4" w:space="0" w:color="000001"/>
                  </w:tcBorders>
                  <w:shd w:fill="FFFFFF" w:val="clear"/>
                  <w:tcMar>
                    <w:left w:w="88" w:type="dxa"/>
                  </w:tcMar>
                  <w:vAlign w:val="center"/>
                </w:tcPr>
                <w:p>
                  <w:pPr>
                    <w:pStyle w:val="Normal"/>
                    <w:spacing w:lineRule="auto" w:line="240" w:before="60" w:after="0"/>
                    <w:ind w:left="0" w:right="0" w:hanging="0"/>
                    <w:jc w:val="center"/>
                    <w:rPr>
                      <w:b/>
                      <w:b/>
                      <w:szCs w:val="28"/>
                    </w:rPr>
                  </w:pPr>
                  <w:r>
                    <w:rPr>
                      <w:b/>
                      <w:szCs w:val="28"/>
                    </w:rPr>
                  </w:r>
                </w:p>
              </w:tc>
            </w:tr>
          </w:tbl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/>
            </w:r>
          </w:p>
        </w:tc>
        <w:tc>
          <w:tcPr>
            <w:tcW w:w="24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spacing w:lineRule="auto" w:line="240" w:before="120" w:after="120"/>
              <w:ind w:left="0" w:right="0" w:hanging="0"/>
              <w:jc w:val="center"/>
              <w:rPr/>
            </w:pPr>
            <w:r>
              <w:rPr/>
              <w:t>Сумарний бал:</w:t>
            </w:r>
          </w:p>
          <w:tbl>
            <w:tblPr>
              <w:tblW w:w="2090" w:type="dxa"/>
              <w:jc w:val="left"/>
              <w:tblInd w:w="0" w:type="dxa"/>
              <w:tblBorders>
                <w:top w:val="single" w:sz="4" w:space="0" w:color="000001"/>
                <w:left w:val="single" w:sz="4" w:space="0" w:color="000001"/>
                <w:bottom w:val="single" w:sz="4" w:space="0" w:color="000001"/>
                <w:right w:val="single" w:sz="4" w:space="0" w:color="000001"/>
                <w:insideH w:val="single" w:sz="4" w:space="0" w:color="000001"/>
                <w:insideV w:val="single" w:sz="4" w:space="0" w:color="000001"/>
              </w:tblBorders>
              <w:tblCellMar>
                <w:top w:w="0" w:type="dxa"/>
                <w:left w:w="88" w:type="dxa"/>
                <w:bottom w:w="0" w:type="dxa"/>
                <w:right w:w="108" w:type="dxa"/>
              </w:tblCellMar>
            </w:tblPr>
            <w:tblGrid>
              <w:gridCol w:w="2090"/>
            </w:tblGrid>
            <w:tr>
              <w:trPr>
                <w:trHeight w:val="992" w:hRule="atLeast"/>
              </w:trPr>
              <w:tc>
                <w:tcPr>
                  <w:tcW w:w="2090" w:type="dxa"/>
                  <w:tcBorders>
                    <w:top w:val="single" w:sz="4" w:space="0" w:color="000001"/>
                    <w:left w:val="single" w:sz="4" w:space="0" w:color="000001"/>
                    <w:bottom w:val="single" w:sz="4" w:space="0" w:color="000001"/>
                    <w:right w:val="single" w:sz="4" w:space="0" w:color="000001"/>
                    <w:insideH w:val="single" w:sz="4" w:space="0" w:color="000001"/>
                    <w:insideV w:val="single" w:sz="4" w:space="0" w:color="000001"/>
                  </w:tcBorders>
                  <w:shd w:fill="FFFFFF" w:val="clear"/>
                  <w:tcMar>
                    <w:left w:w="88" w:type="dxa"/>
                  </w:tcMar>
                  <w:vAlign w:val="center"/>
                </w:tcPr>
                <w:p>
                  <w:pPr>
                    <w:pStyle w:val="Normal"/>
                    <w:spacing w:lineRule="auto" w:line="240" w:before="120" w:after="0"/>
                    <w:ind w:left="0" w:right="0" w:hanging="0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spacing w:lineRule="auto" w:line="240" w:before="120" w:after="120"/>
              <w:ind w:left="0" w:right="0" w:hanging="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  <w:t>Київ 2016</w:t>
      </w:r>
    </w:p>
    <w:p>
      <w:pPr>
        <w:pStyle w:val="Normal"/>
        <w:ind w:left="0" w:right="0" w:hanging="0"/>
        <w:jc w:val="center"/>
        <w:rPr>
          <w:b/>
          <w:b/>
        </w:rPr>
      </w:pPr>
      <w:r>
        <w:rPr>
          <w:b/>
        </w:rPr>
        <w:t>Постановка задачі а варіантом</w:t>
      </w:r>
    </w:p>
    <w:p>
      <w:pPr>
        <w:pStyle w:val="Normal"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ind w:left="0" w:right="0" w:hanging="0"/>
        <w:jc w:val="left"/>
        <w:rPr>
          <w:b/>
          <w:b/>
        </w:rPr>
      </w:pPr>
      <w:r>
        <w:rPr>
          <w:b/>
        </w:rPr>
        <w:t xml:space="preserve">Таблиця 1.1.1. Розподіл рівнянь та методів за варіантами </w:t>
      </w:r>
    </w:p>
    <w:tbl>
      <w:tblPr>
        <w:tblW w:w="9570" w:type="dxa"/>
        <w:jc w:val="left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190"/>
        <w:gridCol w:w="3190"/>
        <w:gridCol w:w="3190"/>
      </w:tblGrid>
      <w:tr>
        <w:trPr/>
        <w:tc>
          <w:tcPr>
            <w:tcW w:w="31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Варіант №</w:t>
            </w:r>
          </w:p>
        </w:tc>
        <w:tc>
          <w:tcPr>
            <w:tcW w:w="31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Рівняння №</w:t>
            </w:r>
          </w:p>
        </w:tc>
        <w:tc>
          <w:tcPr>
            <w:tcW w:w="31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Методи</w:t>
            </w:r>
          </w:p>
        </w:tc>
      </w:tr>
      <w:tr>
        <w:trPr/>
        <w:tc>
          <w:tcPr>
            <w:tcW w:w="319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1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31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>
        <w:trPr/>
        <w:tc>
          <w:tcPr>
            <w:tcW w:w="319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31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lang w:val="ru-RU"/>
              </w:rPr>
            </w:pPr>
            <w:r>
              <w:rPr>
                <w:lang w:val="ru-RU"/>
              </w:rPr>
              <w:t>35</w:t>
            </w:r>
          </w:p>
        </w:tc>
        <w:tc>
          <w:tcPr>
            <w:tcW w:w="31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1,8</w:t>
            </w:r>
          </w:p>
        </w:tc>
      </w:tr>
    </w:tbl>
    <w:p>
      <w:pPr>
        <w:pStyle w:val="Normal"/>
        <w:ind w:left="0" w:right="0" w:hanging="0"/>
        <w:jc w:val="left"/>
        <w:rPr>
          <w:b/>
          <w:b/>
        </w:rPr>
      </w:pPr>
      <w:r>
        <w:rPr>
          <w:b/>
        </w:rPr>
      </w:r>
    </w:p>
    <w:p>
      <w:pPr>
        <w:pStyle w:val="Normal"/>
        <w:ind w:left="0" w:right="0" w:hanging="0"/>
        <w:jc w:val="left"/>
        <w:rPr>
          <w:b/>
          <w:b/>
        </w:rPr>
      </w:pPr>
      <w:r>
        <w:rPr>
          <w:b/>
        </w:rPr>
        <w:t xml:space="preserve">Таблиця 1.1.2. Перелік нелінійних рівнянь </w:t>
      </w:r>
    </w:p>
    <w:p>
      <w:pPr>
        <w:pStyle w:val="Normal"/>
        <w:ind w:left="0" w:right="0" w:hanging="0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-201295</wp:posOffset>
            </wp:positionH>
            <wp:positionV relativeFrom="paragraph">
              <wp:posOffset>142875</wp:posOffset>
            </wp:positionV>
            <wp:extent cx="4534535" cy="391160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2310" t="42039" r="22969" b="52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b/>
          <w:b/>
        </w:rPr>
      </w:pPr>
      <w:r>
        <w:rPr>
          <w:b/>
        </w:rPr>
      </w:r>
    </w:p>
    <w:p>
      <w:pPr>
        <w:pStyle w:val="Normal"/>
        <w:ind w:left="0" w:right="0" w:hanging="0"/>
        <w:jc w:val="left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-43180</wp:posOffset>
            </wp:positionH>
            <wp:positionV relativeFrom="paragraph">
              <wp:posOffset>635</wp:posOffset>
            </wp:positionV>
            <wp:extent cx="4334510" cy="35687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5379" t="53770" r="56909" b="4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b/>
          <w:b/>
        </w:rPr>
      </w:pPr>
      <w:r>
        <w:rPr>
          <w:b/>
        </w:rPr>
      </w:r>
    </w:p>
    <w:p>
      <w:pPr>
        <w:pStyle w:val="Normal"/>
        <w:ind w:left="0" w:right="0" w:hanging="0"/>
        <w:jc w:val="left"/>
        <w:rPr>
          <w:b/>
          <w:b/>
        </w:rPr>
      </w:pPr>
      <w:r>
        <w:rPr>
          <w:b/>
        </w:rPr>
        <w:t xml:space="preserve">Таблиця 1.1.3. Перелік алгебраїчних рівнянь </w:t>
      </w:r>
    </w:p>
    <w:p>
      <w:pPr>
        <w:pStyle w:val="Normal"/>
        <w:ind w:left="0" w:right="0" w:hanging="0"/>
        <w:jc w:val="left"/>
        <w:rPr/>
      </w:pPr>
      <w:r>
        <w:rPr/>
        <w:drawing>
          <wp:inline distT="0" distB="0" distL="0" distR="0">
            <wp:extent cx="3829050" cy="75247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Normal"/>
        <w:ind w:left="0" w:right="0" w:hanging="0"/>
        <w:jc w:val="left"/>
        <w:rPr>
          <w:b/>
          <w:b/>
          <w:lang w:val="ru-RU"/>
        </w:rPr>
      </w:pPr>
      <w:bookmarkStart w:id="0" w:name="__DdeLink__672_287166291"/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-126365</wp:posOffset>
            </wp:positionH>
            <wp:positionV relativeFrom="paragraph">
              <wp:posOffset>635</wp:posOffset>
            </wp:positionV>
            <wp:extent cx="4154170" cy="24828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958" t="31447" r="56400" b="65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ru-RU"/>
        </w:rPr>
        <w:t>5</w:t>
      </w:r>
      <w:bookmarkEnd w:id="0"/>
      <w:r>
        <w:rPr>
          <w:b/>
          <w:lang w:val="ru-RU"/>
        </w:rPr>
        <w:t>+7x^7sinx-x^13cosx sqrt(Pi-cosx^3)</w:t>
      </w:r>
    </w:p>
    <w:p>
      <w:pPr>
        <w:pStyle w:val="Normal"/>
        <w:ind w:left="0" w:right="0" w:hanging="0"/>
        <w:jc w:val="left"/>
        <w:rPr>
          <w:b/>
          <w:b/>
        </w:rPr>
      </w:pPr>
      <w:r>
        <w:rPr>
          <w:b/>
        </w:rPr>
        <w:t xml:space="preserve">Таблиця 1.1.4. Перелік методів </w:t>
      </w:r>
    </w:p>
    <w:p>
      <w:pPr>
        <w:pStyle w:val="Normal"/>
        <w:ind w:left="0" w:right="0" w:hanging="0"/>
        <w:jc w:val="left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-38735</wp:posOffset>
            </wp:positionH>
            <wp:positionV relativeFrom="paragraph">
              <wp:posOffset>47625</wp:posOffset>
            </wp:positionV>
            <wp:extent cx="4634865" cy="34163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918" t="25235" r="56291" b="70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-38735</wp:posOffset>
            </wp:positionH>
            <wp:positionV relativeFrom="paragraph">
              <wp:posOffset>445770</wp:posOffset>
            </wp:positionV>
            <wp:extent cx="4549140" cy="62547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918" t="46831" r="56603" b="45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ind w:left="0" w:right="0" w:hanging="0"/>
        <w:jc w:val="center"/>
        <w:rPr>
          <w:b/>
          <w:b/>
        </w:rPr>
      </w:pPr>
      <w:r>
        <w:rPr>
          <w:b/>
        </w:rPr>
        <w:t>Математичне  підгрунття для  виконання лабораторної роботи</w:t>
      </w:r>
    </w:p>
    <w:p>
      <w:pPr>
        <w:pStyle w:val="ListParagraph"/>
        <w:numPr>
          <w:ilvl w:val="0"/>
          <w:numId w:val="2"/>
        </w:numPr>
        <w:jc w:val="left"/>
        <w:rPr/>
      </w:pPr>
      <w:bookmarkStart w:id="1" w:name="__DdeLink__450_1747346725"/>
      <w:r>
        <w:rPr>
          <w:b/>
        </w:rPr>
        <w:t xml:space="preserve">Метод </w:t>
      </w:r>
      <w:bookmarkEnd w:id="1"/>
      <w:r>
        <w:rPr>
          <w:b/>
        </w:rPr>
        <w:t>хорд</w:t>
      </w:r>
    </w:p>
    <w:p>
      <w:pPr>
        <w:pStyle w:val="ListParagraph"/>
        <w:numPr>
          <w:ilvl w:val="0"/>
          <w:numId w:val="2"/>
        </w:numPr>
        <w:jc w:val="left"/>
        <w:rPr>
          <w:b/>
          <w:b/>
        </w:rPr>
      </w:pPr>
      <w:r>
        <w:rPr>
          <w:b/>
        </w:rPr>
        <w:t>Метод хорд-дотичних</w:t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</w:rPr>
        <w:t>Метод простих ітерацій (МПІ).</w:t>
      </w:r>
    </w:p>
    <w:p>
      <w:pPr>
        <w:pStyle w:val="ListParagraph"/>
        <w:ind w:left="0" w:right="0" w:hanging="0"/>
        <w:jc w:val="left"/>
        <w:rPr/>
      </w:pPr>
      <w:r>
        <w:rPr/>
        <w:t xml:space="preserve">Виконувався перехід від рівняння </w:t>
      </w:r>
      <w:r>
        <w:rPr/>
        <w:drawing>
          <wp:inline distT="0" distB="0" distL="0" distR="0">
            <wp:extent cx="514350" cy="190500"/>
            <wp:effectExtent l="0" t="0" r="0" b="0"/>
            <wp:docPr id="8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до рівняння виду </w:t>
      </w:r>
      <w:r>
        <w:rPr/>
        <w:drawing>
          <wp:inline distT="0" distB="0" distL="0" distR="0">
            <wp:extent cx="549275" cy="187325"/>
            <wp:effectExtent l="0" t="0" r="0" b="0"/>
            <wp:docPr id="9" name="Объект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>
        <w:rPr/>
        <w:t xml:space="preserve"> здійснювався таким чином: множимо ліву та праву частину рівняння </w:t>
      </w:r>
      <w:r>
        <w:rPr/>
        <w:drawing>
          <wp:inline distT="0" distB="0" distL="0" distR="0">
            <wp:extent cx="514350" cy="190500"/>
            <wp:effectExtent l="0" t="0" r="0" b="0"/>
            <wp:docPr id="10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на відмінний від  нуля  параметр </w:t>
      </w:r>
      <w:r>
        <w:rPr/>
        <w:drawing>
          <wp:inline distT="0" distB="0" distL="0" distR="0">
            <wp:extent cx="190500" cy="123825"/>
            <wp:effectExtent l="0" t="0" r="0" b="0"/>
            <wp:docPr id="11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та  до  обох  частин  додають  x ;  в  результаті отримують рівнозначне </w:t>
      </w:r>
      <w:r>
        <w:rPr/>
        <w:drawing>
          <wp:inline distT="0" distB="0" distL="0" distR="0">
            <wp:extent cx="514350" cy="190500"/>
            <wp:effectExtent l="0" t="0" r="0" b="0"/>
            <wp:docPr id="12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рівняння</w:t>
      </w:r>
    </w:p>
    <w:p>
      <w:pPr>
        <w:pStyle w:val="ListParagraph"/>
        <w:ind w:left="0" w:right="0" w:hanging="0"/>
        <w:jc w:val="left"/>
        <w:rPr/>
      </w:pPr>
      <w:r>
        <w:rPr/>
        <w:drawing>
          <wp:inline distT="0" distB="0" distL="0" distR="0">
            <wp:extent cx="771525" cy="180975"/>
            <wp:effectExtent l="0" t="0" r="0" b="0"/>
            <wp:docPr id="13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,</w:t>
      </w:r>
    </w:p>
    <w:p>
      <w:pPr>
        <w:pStyle w:val="ListParagraph"/>
        <w:ind w:left="0" w:right="0" w:hanging="0"/>
        <w:rPr/>
      </w:pPr>
      <w:r>
        <w:rPr/>
        <w:t xml:space="preserve">де </w:t>
      </w:r>
      <w:r>
        <w:rPr/>
        <w:drawing>
          <wp:inline distT="0" distB="0" distL="0" distR="0">
            <wp:extent cx="971550" cy="209550"/>
            <wp:effectExtent l="0" t="0" r="0" b="0"/>
            <wp:docPr id="14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. Далі параметр </w:t>
      </w:r>
      <w:r>
        <w:rPr/>
        <w:drawing>
          <wp:inline distT="0" distB="0" distL="0" distR="0">
            <wp:extent cx="123825" cy="123825"/>
            <wp:effectExtent l="0" t="0" r="0" b="0"/>
            <wp:docPr id="15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підбирався, виходячи з того, що були відомі мінімум та максимум </w:t>
      </w:r>
      <w:r>
        <w:rPr/>
        <w:drawing>
          <wp:inline distT="0" distB="0" distL="0" distR="0">
            <wp:extent cx="323850" cy="180975"/>
            <wp:effectExtent l="0" t="0" r="0" b="0"/>
            <wp:docPr id="16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(за графіком, похідна на досліджуваному відрізку строго зростала), тому було обрано рекомендоване </w:t>
      </w:r>
      <w:r>
        <w:rPr/>
        <w:drawing>
          <wp:inline distT="0" distB="0" distL="0" distR="0">
            <wp:extent cx="585470" cy="359410"/>
            <wp:effectExtent l="0" t="0" r="0" b="0"/>
            <wp:docPr id="17" name="Объект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rPr/>
        <w:t xml:space="preserve">, де </w:t>
      </w:r>
      <w:r>
        <w:rPr/>
        <w:drawing>
          <wp:inline distT="0" distB="0" distL="0" distR="0">
            <wp:extent cx="165735" cy="168275"/>
            <wp:effectExtent l="0" t="0" r="0" b="0"/>
            <wp:docPr id="18" name="Объект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бъект3" descr="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– оцінка знизу похідної, а </w:t>
      </w:r>
      <w:r>
        <w:rPr/>
        <w:drawing>
          <wp:inline distT="0" distB="0" distL="0" distR="0">
            <wp:extent cx="148590" cy="168275"/>
            <wp:effectExtent l="0" t="0" r="0" b="0"/>
            <wp:docPr id="19" name="Объект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Объект4" descr="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– оцінка зверху.</w:t>
      </w:r>
    </w:p>
    <w:p>
      <w:pPr>
        <w:pStyle w:val="ListParagraph"/>
        <w:ind w:left="0" w:right="0" w:hanging="0"/>
        <w:rPr/>
      </w:pPr>
      <w:r>
        <w:rPr/>
        <w:tab/>
        <w:t xml:space="preserve">Критерієм зупинки МПІ слугував спрощений критерій, оскільки отримане значення </w:t>
      </w:r>
      <w:r>
        <w:rPr/>
        <w:drawing>
          <wp:inline distT="0" distB="0" distL="0" distR="0">
            <wp:extent cx="615315" cy="359410"/>
            <wp:effectExtent l="0" t="0" r="0" b="0"/>
            <wp:docPr id="20" name="Объект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Объект5" descr="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/>
        <w:t>було досить малим.</w:t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</w:rPr>
        <w:t>Метод Лобачевського.</w:t>
      </w:r>
    </w:p>
    <w:p>
      <w:pPr>
        <w:pStyle w:val="ListParagraph"/>
        <w:ind w:left="0" w:right="0" w:hanging="0"/>
        <w:rPr/>
      </w:pPr>
      <w:r>
        <w:rPr/>
        <w:t xml:space="preserve">Виконувався процес квадрування початкового рівняння </w:t>
      </w:r>
    </w:p>
    <w:p>
      <w:pPr>
        <w:pStyle w:val="ListParagraph"/>
        <w:ind w:left="0" w:right="0" w:hanging="0"/>
        <w:jc w:val="center"/>
        <w:rPr/>
      </w:pPr>
      <w:r>
        <w:rPr/>
        <w:drawing>
          <wp:inline distT="0" distB="0" distL="0" distR="0">
            <wp:extent cx="897890" cy="533400"/>
            <wp:effectExtent l="0" t="0" r="0" b="0"/>
            <wp:docPr id="21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89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 xml:space="preserve"> </w:t>
      </w:r>
    </w:p>
    <w:p>
      <w:pPr>
        <w:pStyle w:val="ListParagraph"/>
        <w:ind w:left="0" w:right="0" w:hanging="0"/>
        <w:rPr/>
      </w:pPr>
      <w:r>
        <w:rPr>
          <w:lang w:val="ru-RU" w:eastAsia="ru-RU"/>
        </w:rPr>
        <w:t xml:space="preserve">тобто перехід до рівняння виду </w:t>
      </w:r>
      <w:r>
        <w:rPr>
          <w:lang w:val="ru-RU" w:eastAsia="ru-RU"/>
        </w:rPr>
        <w:drawing>
          <wp:inline distT="0" distB="0" distL="0" distR="0">
            <wp:extent cx="1123950" cy="438150"/>
            <wp:effectExtent l="0" t="0" r="0" b="0"/>
            <wp:docPr id="22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 xml:space="preserve">, у якому, позначивши коефіцієнти як </w:t>
      </w:r>
      <w:r>
        <w:rPr>
          <w:lang w:val="ru-RU" w:eastAsia="ru-RU"/>
        </w:rPr>
        <w:drawing>
          <wp:inline distT="0" distB="0" distL="0" distR="0">
            <wp:extent cx="714375" cy="333375"/>
            <wp:effectExtent l="0" t="0" r="0" b="0"/>
            <wp:docPr id="23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 xml:space="preserve">, де </w:t>
      </w:r>
      <w:r>
        <w:rPr>
          <w:lang w:val="ru-RU" w:eastAsia="ru-RU"/>
        </w:rPr>
        <w:drawing>
          <wp:inline distT="0" distB="0" distL="0" distR="0">
            <wp:extent cx="2143125" cy="438150"/>
            <wp:effectExtent l="0" t="0" r="0" b="0"/>
            <wp:docPr id="24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 xml:space="preserve">, отримували нове рівняння </w:t>
      </w:r>
      <w:r>
        <w:rPr>
          <w:lang w:val="ru-RU" w:eastAsia="ru-RU"/>
        </w:rPr>
        <w:drawing>
          <wp:inline distT="0" distB="0" distL="0" distR="0">
            <wp:extent cx="619125" cy="352425"/>
            <wp:effectExtent l="0" t="0" r="0" b="0"/>
            <wp:docPr id="25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 xml:space="preserve">. Процес квадрування продовжувався доти, доки подвійні добутки не перестануть впливати на перші головні члени коефіцієнтів перетвореного рівняння, тобто поки </w:t>
      </w:r>
      <w:r>
        <w:rPr>
          <w:lang w:val="ru-RU" w:eastAsia="ru-RU"/>
        </w:rPr>
      </w:r>
      <m:oMath xmlns:m="http://schemas.openxmlformats.org/officeDocument/2006/math">
        <m:sSup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≈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</m:oMath>
      <w:r>
        <w:rPr>
          <w:lang w:val="ru-RU" w:eastAsia="ru-RU"/>
        </w:rPr>
        <w:t>.</w:t>
      </w:r>
    </w:p>
    <w:p>
      <w:pPr>
        <w:pStyle w:val="ListParagraph"/>
        <w:ind w:left="0" w:right="0" w:hanging="11"/>
        <w:rPr/>
      </w:pPr>
      <w:r>
        <w:rPr>
          <w:lang w:val="ru-RU" w:eastAsia="ru-RU"/>
        </w:rPr>
        <w:t>Шукані корен</w:t>
      </w:r>
      <w:r>
        <w:rPr>
          <w:lang w:eastAsia="ru-RU"/>
        </w:rPr>
        <w:t xml:space="preserve">і знаходились відповідно як </w:t>
      </w:r>
    </w:p>
    <w:p>
      <w:pPr>
        <w:pStyle w:val="ListParagraph"/>
        <w:ind w:left="0" w:right="0" w:firstLine="696"/>
        <w:jc w:val="center"/>
        <w:rPr/>
      </w:pPr>
      <w:r>
        <w:rPr/>
        <w:drawing>
          <wp:inline distT="0" distB="0" distL="0" distR="0">
            <wp:extent cx="2009775" cy="428625"/>
            <wp:effectExtent l="0" t="0" r="0" b="0"/>
            <wp:docPr id="26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hanging="11"/>
        <w:rPr>
          <w:lang w:eastAsia="ru-RU"/>
        </w:rPr>
      </w:pPr>
      <w:r>
        <w:rPr>
          <w:lang w:eastAsia="ru-RU"/>
        </w:rPr>
        <w:t>де р = кількість квадрувань.</w:t>
      </w:r>
    </w:p>
    <w:p>
      <w:pPr>
        <w:pStyle w:val="Normal"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ind w:left="0" w:right="0" w:hanging="0"/>
        <w:jc w:val="center"/>
        <w:rPr>
          <w:b/>
          <w:b/>
        </w:rPr>
      </w:pPr>
      <w:r>
        <w:rPr>
          <w:b/>
        </w:rPr>
        <w:t>Результати виконання лабораторної роботи</w:t>
      </w:r>
    </w:p>
    <w:p>
      <w:pPr>
        <w:pStyle w:val="Normal"/>
        <w:ind w:left="0" w:right="0" w:hanging="0"/>
        <w:jc w:val="center"/>
        <w:rPr/>
      </w:pPr>
      <w:r>
        <w:rPr>
          <w:b/>
          <w:lang w:val="ru-RU"/>
        </w:rPr>
        <w:t>Локал</w:t>
      </w:r>
      <w:r>
        <w:rPr>
          <w:b/>
        </w:rPr>
        <w:t>ізація коренів</w:t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199390</wp:posOffset>
            </wp:positionH>
            <wp:positionV relativeFrom="paragraph">
              <wp:posOffset>635</wp:posOffset>
            </wp:positionV>
            <wp:extent cx="5330190" cy="2887345"/>
            <wp:effectExtent l="0" t="0" r="0" b="0"/>
            <wp:wrapTopAndBottom/>
            <wp:docPr id="2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7007" t="30705" r="11189" b="28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  <w:t>Рис. 1. Графік рівняння №17</w:t>
      </w:r>
    </w:p>
    <w:p>
      <w:pPr>
        <w:pStyle w:val="Normal"/>
        <w:spacing w:lineRule="auto" w:line="24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Відповідно проміжки існування коренів: [-1,8;-1,5],[1,1;1,4],[1,5;1,7],[4,5;4,8],[7,7;8]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199390</wp:posOffset>
            </wp:positionH>
            <wp:positionV relativeFrom="paragraph">
              <wp:posOffset>142875</wp:posOffset>
            </wp:positionV>
            <wp:extent cx="4874260" cy="3977005"/>
            <wp:effectExtent l="0" t="0" r="0" b="0"/>
            <wp:wrapTopAndBottom/>
            <wp:docPr id="2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6327" t="15288" r="823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  <w:t>Рис. 2. Графік рівняння №21</w:t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  <w:t>Відповідно проміжки існування коренів: [0;0,5], [2,2;2,8]</w:t>
      </w:r>
    </w:p>
    <w:p>
      <w:pPr>
        <w:pStyle w:val="Normal"/>
        <w:spacing w:lineRule="auto" w:line="276" w:before="0" w:after="200"/>
        <w:ind w:left="0" w:right="0" w:hanging="0"/>
        <w:jc w:val="left"/>
        <w:rPr/>
      </w:pPr>
      <w:r>
        <w:rPr/>
      </w:r>
      <w:r>
        <w:br w:type="page"/>
      </w:r>
    </w:p>
    <w:p>
      <w:pPr>
        <w:pStyle w:val="Normal"/>
        <w:spacing w:lineRule="auto" w:line="240"/>
        <w:ind w:left="0" w:right="0" w:hanging="0"/>
        <w:jc w:val="center"/>
        <w:rPr>
          <w:b/>
          <w:b/>
        </w:rPr>
      </w:pPr>
      <w:r>
        <w:rPr>
          <w:b/>
        </w:rPr>
        <w:t>Уточнення коренів</w:t>
      </w:r>
    </w:p>
    <w:p>
      <w:pPr>
        <w:pStyle w:val="Normal"/>
        <w:spacing w:lineRule="auto" w:line="240"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>
          <w:b/>
        </w:rPr>
        <w:t>Рівняння №</w:t>
      </w:r>
      <w:r>
        <w:rPr>
          <w:b/>
          <w:lang w:val="ru-RU"/>
        </w:rPr>
        <w:t>8</w:t>
      </w:r>
    </w:p>
    <w:tbl>
      <w:tblPr>
        <w:tblW w:w="8208" w:type="dxa"/>
        <w:jc w:val="left"/>
        <w:tblInd w:w="9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1983"/>
        <w:gridCol w:w="2267"/>
        <w:gridCol w:w="3958"/>
      </w:tblGrid>
      <w:tr>
        <w:trPr/>
        <w:tc>
          <w:tcPr>
            <w:tcW w:w="19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Метод</w:t>
            </w:r>
          </w:p>
        </w:tc>
        <w:tc>
          <w:tcPr>
            <w:tcW w:w="22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b/>
                <w:sz w:val="24"/>
                <w:szCs w:val="24"/>
              </w:rPr>
              <w:t>С</w:t>
            </w:r>
            <w:r>
              <w:rPr>
                <w:b/>
                <w:sz w:val="24"/>
                <w:szCs w:val="24"/>
                <w:lang w:val="en-US"/>
              </w:rPr>
              <w:t>#</w:t>
            </w:r>
          </w:p>
        </w:tc>
        <w:tc>
          <w:tcPr>
            <w:tcW w:w="395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MatLab 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/>
        <w:tc>
          <w:tcPr>
            <w:tcW w:w="19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 хорд-дотичних</w:t>
            </w:r>
          </w:p>
        </w:tc>
        <w:tc>
          <w:tcPr>
            <w:tcW w:w="22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Fonts w:cs="Calibri" w:ascii="Calibri" w:hAnsi="Calibri"/>
                <w:color w:val="000000"/>
                <w:sz w:val="22"/>
                <w:lang w:val="en-US"/>
              </w:rPr>
              <w:t>-1,60659644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Fonts w:cs="Calibri" w:ascii="Calibri" w:hAnsi="Calibri"/>
                <w:color w:val="000000"/>
                <w:sz w:val="22"/>
                <w:lang w:val="en-US"/>
              </w:rPr>
              <w:t>4,71234155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cs="Calibri" w:ascii="Calibri" w:hAnsi="Calibri"/>
                <w:color w:val="000000"/>
                <w:sz w:val="22"/>
                <w:lang w:val="en-US"/>
              </w:rPr>
              <w:t>7,85397886</w:t>
            </w:r>
          </w:p>
        </w:tc>
        <w:tc>
          <w:tcPr>
            <w:tcW w:w="395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sz w:val="24"/>
                <w:szCs w:val="24"/>
              </w:rPr>
            </w:pPr>
            <w:bookmarkStart w:id="2" w:name="_Hlk402685075"/>
            <w:bookmarkEnd w:id="2"/>
            <w:r>
              <w:rPr>
                <w:sz w:val="24"/>
                <w:szCs w:val="24"/>
              </w:rPr>
              <w:t xml:space="preserve">-1.78589485, 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0.651694455, 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0.0263560438, 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4.71174925,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7.85395181</w:t>
            </w:r>
          </w:p>
        </w:tc>
      </w:tr>
    </w:tbl>
    <w:p>
      <w:pPr>
        <w:pStyle w:val="Normal"/>
        <w:spacing w:lineRule="auto" w:line="240"/>
        <w:ind w:left="0" w:right="0" w:hanging="0"/>
        <w:jc w:val="center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>
          <w:b/>
        </w:rPr>
        <w:t>Рівняння №</w:t>
      </w:r>
      <w:r>
        <w:rPr>
          <w:b/>
          <w:lang w:val="ru-RU"/>
        </w:rPr>
        <w:t>35</w:t>
      </w:r>
    </w:p>
    <w:tbl>
      <w:tblPr>
        <w:tblW w:w="7594" w:type="dxa"/>
        <w:jc w:val="left"/>
        <w:tblInd w:w="8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1957"/>
        <w:gridCol w:w="2242"/>
        <w:gridCol w:w="3395"/>
      </w:tblGrid>
      <w:tr>
        <w:trPr/>
        <w:tc>
          <w:tcPr>
            <w:tcW w:w="19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Метод</w:t>
            </w:r>
          </w:p>
        </w:tc>
        <w:tc>
          <w:tcPr>
            <w:tcW w:w="22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b/>
                <w:sz w:val="24"/>
                <w:szCs w:val="24"/>
              </w:rPr>
              <w:t>С</w:t>
            </w:r>
            <w:r>
              <w:rPr>
                <w:b/>
                <w:sz w:val="24"/>
                <w:szCs w:val="24"/>
                <w:lang w:val="en-US"/>
              </w:rPr>
              <w:t>#</w:t>
            </w:r>
          </w:p>
        </w:tc>
        <w:tc>
          <w:tcPr>
            <w:tcW w:w="33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MatLab 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/>
        <w:tc>
          <w:tcPr>
            <w:tcW w:w="19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 хорд</w:t>
            </w:r>
          </w:p>
        </w:tc>
        <w:tc>
          <w:tcPr>
            <w:tcW w:w="22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rFonts w:ascii="Calibri" w:hAnsi="Calibri"/>
                <w:sz w:val="22"/>
                <w:lang w:val="en-US"/>
              </w:rPr>
            </w:pPr>
            <w:r>
              <w:rPr>
                <w:rFonts w:ascii="Calibri" w:hAnsi="Calibri"/>
                <w:sz w:val="22"/>
                <w:lang w:val="en-US"/>
              </w:rPr>
              <w:t>0,29448256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rFonts w:ascii="Calibri" w:hAnsi="Calibri"/>
                <w:sz w:val="22"/>
                <w:lang w:val="en-US"/>
              </w:rPr>
            </w:pPr>
            <w:r>
              <w:rPr>
                <w:rFonts w:ascii="Calibri" w:hAnsi="Calibri"/>
                <w:sz w:val="22"/>
                <w:lang w:val="en-US"/>
              </w:rPr>
              <w:t>2,68642474</w:t>
            </w:r>
          </w:p>
        </w:tc>
        <w:tc>
          <w:tcPr>
            <w:tcW w:w="3395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0.294482563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2.68642474</w:t>
            </w:r>
          </w:p>
        </w:tc>
      </w:tr>
      <w:tr>
        <w:trPr/>
        <w:tc>
          <w:tcPr>
            <w:tcW w:w="19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 простих ітерацій</w:t>
            </w:r>
          </w:p>
        </w:tc>
        <w:tc>
          <w:tcPr>
            <w:tcW w:w="22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cs="Calibri" w:ascii="Calibri" w:hAnsi="Calibri"/>
                <w:color w:val="000000"/>
                <w:sz w:val="22"/>
                <w:lang w:val="en-US"/>
              </w:rPr>
              <w:t>0,29448255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rFonts w:ascii="Calibri" w:hAnsi="Calibri" w:cs="Calibri"/>
                <w:color w:val="000000"/>
                <w:sz w:val="22"/>
                <w:lang w:val="en-US"/>
              </w:rPr>
            </w:pPr>
            <w:r>
              <w:rPr>
                <w:rFonts w:cs="Calibri" w:ascii="Calibri" w:hAnsi="Calibri"/>
                <w:color w:val="000000"/>
                <w:sz w:val="22"/>
                <w:lang w:val="en-US"/>
              </w:rPr>
              <w:t>2,68642480</w:t>
            </w:r>
          </w:p>
        </w:tc>
        <w:tc>
          <w:tcPr>
            <w:tcW w:w="3395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spacing w:lineRule="auto" w:line="240"/>
        <w:ind w:left="0" w:right="0" w:hanging="0"/>
        <w:jc w:val="center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  <w:t>Рис. 3. Графік наближених значень коренів рівняння №8</w:t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  <w:t>Рис. 4. Графіки наближених значень коренів рівняння №35 методом простих ітерацій</w:t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bookmarkStart w:id="3" w:name="_GoBack"/>
      <w:bookmarkStart w:id="4" w:name="_GoBack"/>
      <w:bookmarkEnd w:id="4"/>
      <w:r>
        <w:rPr/>
      </w:r>
    </w:p>
    <w:p>
      <w:pPr>
        <w:pStyle w:val="Normal"/>
        <w:spacing w:lineRule="auto" w:line="240"/>
        <w:ind w:left="0" w:right="0" w:hanging="0"/>
        <w:jc w:val="center"/>
        <w:rPr/>
      </w:pPr>
      <w:r>
        <w:rPr/>
        <w:t>Рис. 5. Графіки наближених значень коренів рівняння №35  методом хорд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866140</wp:posOffset>
            </wp:positionH>
            <wp:positionV relativeFrom="paragraph">
              <wp:posOffset>1687195</wp:posOffset>
            </wp:positionV>
            <wp:extent cx="1543050" cy="257175"/>
            <wp:effectExtent l="0" t="0" r="0" b="0"/>
            <wp:wrapTopAndBottom/>
            <wp:docPr id="29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9525</wp:posOffset>
            </wp:positionH>
            <wp:positionV relativeFrom="paragraph">
              <wp:posOffset>1642110</wp:posOffset>
            </wp:positionV>
            <wp:extent cx="581025" cy="504825"/>
            <wp:effectExtent l="0" t="0" r="0" b="0"/>
            <wp:wrapTopAndBottom/>
            <wp:docPr id="30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1036955</wp:posOffset>
            </wp:positionV>
            <wp:extent cx="590550" cy="371475"/>
            <wp:effectExtent l="0" t="0" r="0" b="0"/>
            <wp:wrapTopAndBottom/>
            <wp:docPr id="31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posOffset>914400</wp:posOffset>
            </wp:positionH>
            <wp:positionV relativeFrom="paragraph">
              <wp:posOffset>1084580</wp:posOffset>
            </wp:positionV>
            <wp:extent cx="1676400" cy="266700"/>
            <wp:effectExtent l="0" t="0" r="0" b="0"/>
            <wp:wrapTopAndBottom/>
            <wp:docPr id="32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/>
        <w:t xml:space="preserve">ерхня ти нижня границі  додатних  і від’ємних  коренів заданого  за  варіантом  алгебраїчного рівняння знаходились з теореми 2.9, що всі корені алгебраїчного рівняння розміщені в кільці </w:t>
      </w:r>
      <w:r>
        <w:rPr/>
        <w:drawing>
          <wp:inline distT="0" distB="0" distL="0" distR="0">
            <wp:extent cx="590550" cy="190500"/>
            <wp:effectExtent l="0" t="0" r="0" b="0"/>
            <wp:docPr id="33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, де</w:t>
      </w:r>
    </w:p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ind w:left="0" w:right="0" w:hanging="0"/>
        <w:rPr/>
      </w:pPr>
      <w:r>
        <w:rPr/>
        <w:t>Для заданого за варіантом рівняння:</w:t>
      </w:r>
    </w:p>
    <w:p>
      <w:pPr>
        <w:pStyle w:val="Normal"/>
        <w:spacing w:lineRule="auto" w:line="240"/>
        <w:ind w:left="0" w:right="0" w:hanging="0"/>
        <w:rPr/>
      </w:pPr>
      <w:r>
        <w:rPr/>
        <w:drawing>
          <wp:inline distT="0" distB="0" distL="0" distR="0">
            <wp:extent cx="1819275" cy="1323975"/>
            <wp:effectExtent l="0" t="0" r="0" b="0"/>
            <wp:docPr id="34" name="Объект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Объект1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ind w:left="0" w:right="0" w:hanging="0"/>
        <w:jc w:val="left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ind w:left="0" w:right="0" w:hanging="0"/>
        <w:jc w:val="center"/>
        <w:rPr>
          <w:b/>
          <w:b/>
        </w:rPr>
      </w:pPr>
      <w:r>
        <w:rPr>
          <w:b/>
        </w:rPr>
        <w:t>Алгебраїчне рівняння №4</w:t>
      </w:r>
    </w:p>
    <w:tbl>
      <w:tblPr>
        <w:tblW w:w="7960" w:type="dxa"/>
        <w:jc w:val="left"/>
        <w:tblInd w:w="66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1865"/>
        <w:gridCol w:w="2692"/>
        <w:gridCol w:w="3403"/>
      </w:tblGrid>
      <w:tr>
        <w:trPr/>
        <w:tc>
          <w:tcPr>
            <w:tcW w:w="18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Метод</w:t>
            </w:r>
          </w:p>
        </w:tc>
        <w:tc>
          <w:tcPr>
            <w:tcW w:w="2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b/>
                <w:sz w:val="24"/>
                <w:szCs w:val="24"/>
              </w:rPr>
              <w:t>С</w:t>
            </w:r>
            <w:r>
              <w:rPr>
                <w:b/>
                <w:sz w:val="24"/>
                <w:szCs w:val="24"/>
                <w:lang w:val="en-US"/>
              </w:rPr>
              <w:t>#</w:t>
            </w:r>
          </w:p>
        </w:tc>
        <w:tc>
          <w:tcPr>
            <w:tcW w:w="34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 або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MathCAD або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Mathematica</w:t>
            </w:r>
          </w:p>
        </w:tc>
      </w:tr>
      <w:tr>
        <w:trPr>
          <w:trHeight w:val="2648" w:hRule="atLeast"/>
        </w:trPr>
        <w:tc>
          <w:tcPr>
            <w:tcW w:w="18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Лобачевського</w:t>
            </w:r>
          </w:p>
        </w:tc>
        <w:tc>
          <w:tcPr>
            <w:tcW w:w="2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/>
              <w:t>32,61375545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/>
              <w:t>4,08592466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/>
              <w:t>-2,20779919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/>
              <w:t>1,52684317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/>
              <w:t>-1,14031439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/>
              <w:t>0,62626618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center"/>
              <w:rPr/>
            </w:pPr>
            <w:r>
              <w:rPr/>
              <w:t>-0,00467587</w:t>
            </w:r>
          </w:p>
        </w:tc>
        <w:tc>
          <w:tcPr>
            <w:tcW w:w="34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FFFFFF" w:val="clear"/>
            <w:tcMar>
              <w:left w:w="93" w:type="dxa"/>
            </w:tcMar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   </w:t>
            </w:r>
            <w:r>
              <w:rPr/>
              <w:t>32.613755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    </w:t>
            </w:r>
            <w:r>
              <w:rPr/>
              <w:t>4.0859247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   </w:t>
            </w:r>
            <w:r>
              <w:rPr/>
              <w:t>-2.2077992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   </w:t>
            </w:r>
            <w:r>
              <w:rPr/>
              <w:t>-1.1403144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    </w:t>
            </w:r>
            <w:r>
              <w:rPr/>
              <w:t>1.5268432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    </w:t>
            </w:r>
            <w:r>
              <w:rPr/>
              <w:t>0.62626618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    </w:t>
            </w:r>
            <w:r>
              <w:rPr/>
              <w:t>-0.0046758711</w:t>
            </w:r>
          </w:p>
        </w:tc>
      </w:tr>
    </w:tbl>
    <w:p>
      <w:pPr>
        <w:pStyle w:val="Normal"/>
        <w:spacing w:lineRule="auto" w:line="240"/>
        <w:ind w:left="0" w:right="0" w:hanging="0"/>
        <w:rPr/>
      </w:pPr>
      <w:r>
        <w:rPr/>
      </w:r>
    </w:p>
    <w:p>
      <w:pPr>
        <w:pStyle w:val="Normal"/>
        <w:spacing w:lineRule="auto" w:line="276" w:before="0" w:after="200"/>
        <w:ind w:left="0" w:right="0" w:hanging="0"/>
        <w:jc w:val="left"/>
        <w:rPr>
          <w:b/>
          <w:b/>
        </w:rPr>
      </w:pPr>
      <w:r>
        <w:rPr>
          <w:b/>
        </w:rPr>
        <w:t>Висновки</w:t>
      </w:r>
    </w:p>
    <w:p>
      <w:pPr>
        <w:pStyle w:val="Normal"/>
        <w:ind w:left="0" w:right="0" w:firstLine="708"/>
        <w:rPr/>
      </w:pPr>
      <w:r>
        <w:rPr/>
        <w:t xml:space="preserve">Під час виконання лабораторної роботи ми навчились локалізувати корені нелінійних рівнянь з одним невідомим (локалізація здійснювалась за графіком), а далі уточнювати їх за допомогою різних чисельних методів. </w:t>
      </w:r>
    </w:p>
    <w:p>
      <w:pPr>
        <w:pStyle w:val="Normal"/>
        <w:ind w:left="0" w:right="0" w:firstLine="708"/>
        <w:rPr/>
      </w:pPr>
      <w:r>
        <w:rPr/>
        <w:t>Також був реалізований метод Лобачевського знаходження наближених коренів алгебраїчного рівняння, для якого виконується умова, що кожен наступний корінь набагато більше попереднього.</w:t>
      </w:r>
    </w:p>
    <w:p>
      <w:pPr>
        <w:pStyle w:val="Normal"/>
        <w:ind w:left="0" w:right="0" w:firstLine="708"/>
        <w:rPr/>
      </w:pPr>
      <w:r>
        <w:rPr/>
        <w:t>З результатів роботи програми можна визначити, що МПІ є гіршим, ніж спрощений метод Ньютона, оскільки він забезпечує потрібну точність за більшу кількість ітерацій. Метод простих ітерацій є складнішим у програмуванні, так як вимагає пошуку підходящих параметрів для кожного кореня та інших різних перетворень. При розробці програми були використані деякі особливості досліджуваної функції, які спростили програму.</w:t>
      </w:r>
    </w:p>
    <w:sectPr>
      <w:footerReference w:type="default" r:id="rId33"/>
      <w:type w:val="nextPage"/>
      <w:pgSz w:w="11906" w:h="16838"/>
      <w:pgMar w:left="1701" w:right="851" w:header="0" w:top="1134" w:footer="709" w:bottom="1134" w:gutter="0"/>
      <w:pgNumType w:fmt="decimal"/>
      <w:formProt w:val="false"/>
      <w:titlePg/>
      <w:textDirection w:val="lrTb"/>
      <w:docGrid w:type="default" w:linePitch="381" w:charSpace="429495295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swiss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5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8</w:t>
    </w:r>
    <w:r>
      <w:fldChar w:fldCharType="end"/>
    </w:r>
  </w:p>
  <w:p>
    <w:pPr>
      <w:pStyle w:val="Style25"/>
      <w:jc w:val="right"/>
      <w:rPr>
        <w:rFonts w:cs="Times New Roman"/>
        <w:sz w:val="18"/>
        <w:szCs w:val="18"/>
      </w:rPr>
    </w:pPr>
    <w:r>
      <w:rPr>
        <w:rFonts w:cs="Times New Roman"/>
        <w:sz w:val="18"/>
        <w:szCs w:val="18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decimal"/>
      <w:lvlText w:val="%1."/>
      <w:lvlJc w:val="left"/>
      <w:pPr>
        <w:ind w:left="8157" w:hanging="360"/>
      </w:pPr>
    </w:lvl>
    <w:lvl w:ilvl="1">
      <w:start w:val="1"/>
      <w:pStyle w:val="2"/>
      <w:numFmt w:val="decimal"/>
      <w:lvlText w:val="%1.%2."/>
      <w:lvlJc w:val="left"/>
      <w:pPr>
        <w:ind w:left="1429" w:hanging="720"/>
      </w:pPr>
      <w:rPr>
        <w:i w:val="false"/>
      </w:rPr>
    </w:lvl>
    <w:lvl w:ilvl="2">
      <w:start w:val="1"/>
      <w:pStyle w:val="3"/>
      <w:numFmt w:val="decimal"/>
      <w:lvlText w:val="%1.%2.%3."/>
      <w:lvlJc w:val="left"/>
      <w:pPr>
        <w:ind w:left="1778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360" w:before="0" w:after="0"/>
      <w:ind w:left="0" w:right="0" w:firstLine="709"/>
      <w:jc w:val="both"/>
    </w:pPr>
    <w:rPr>
      <w:rFonts w:ascii="Times New Roman" w:hAnsi="Times New Roman" w:eastAsia="Calibri" w:cs="DejaVu Sans"/>
      <w:color w:val="00000A"/>
      <w:sz w:val="28"/>
      <w:szCs w:val="22"/>
      <w:lang w:val="uk-UA" w:eastAsia="en-US" w:bidi="ar-SA"/>
    </w:rPr>
  </w:style>
  <w:style w:type="paragraph" w:styleId="1">
    <w:name w:val="Heading 1"/>
    <w:basedOn w:val="Style19"/>
    <w:qFormat/>
    <w:pPr>
      <w:keepNext/>
      <w:pageBreakBefore/>
      <w:widowControl w:val="false"/>
      <w:numPr>
        <w:ilvl w:val="0"/>
        <w:numId w:val="1"/>
      </w:numPr>
      <w:bidi w:val="0"/>
      <w:jc w:val="center"/>
      <w:outlineLvl w:val="0"/>
      <w:outlineLvl w:val="0"/>
    </w:pPr>
    <w:rPr>
      <w:rFonts w:ascii="Calibri" w:hAnsi="Calibri" w:eastAsia="Calibri" w:cs="Times New Roman"/>
      <w:b/>
      <w:color w:val="00000A"/>
      <w:sz w:val="28"/>
      <w:szCs w:val="32"/>
      <w:lang w:val="ru-RU" w:eastAsia="en-US" w:bidi="ar-SA"/>
    </w:rPr>
  </w:style>
  <w:style w:type="paragraph" w:styleId="2">
    <w:name w:val="Heading 2"/>
    <w:basedOn w:val="Style19"/>
    <w:qFormat/>
    <w:pPr>
      <w:keepNext/>
      <w:widowControl w:val="false"/>
      <w:numPr>
        <w:ilvl w:val="1"/>
        <w:numId w:val="1"/>
      </w:numPr>
      <w:bidi w:val="0"/>
      <w:jc w:val="left"/>
      <w:outlineLvl w:val="1"/>
      <w:outlineLvl w:val="1"/>
    </w:pPr>
    <w:rPr>
      <w:rFonts w:ascii="Calibri" w:hAnsi="Calibri" w:eastAsia="Calibri" w:cs="DejaVu Sans"/>
      <w:b/>
      <w:i/>
      <w:color w:val="00000A"/>
      <w:sz w:val="28"/>
      <w:szCs w:val="22"/>
      <w:lang w:val="ru-RU" w:eastAsia="en-US" w:bidi="ar-SA"/>
    </w:rPr>
  </w:style>
  <w:style w:type="paragraph" w:styleId="3">
    <w:name w:val="Heading 3"/>
    <w:basedOn w:val="Style19"/>
    <w:qFormat/>
    <w:pPr>
      <w:keepNext/>
      <w:widowControl w:val="false"/>
      <w:numPr>
        <w:ilvl w:val="2"/>
        <w:numId w:val="1"/>
      </w:numPr>
      <w:bidi w:val="0"/>
      <w:jc w:val="left"/>
      <w:outlineLvl w:val="2"/>
      <w:outlineLvl w:val="2"/>
    </w:pPr>
    <w:rPr>
      <w:rFonts w:ascii="Calibri" w:hAnsi="Calibri" w:eastAsia="Calibri" w:cs="DejaVu Sans"/>
      <w:b/>
      <w:i/>
      <w:color w:val="00000A"/>
      <w:sz w:val="28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yle11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character" w:styleId="MTDisplayEquation">
    <w:name w:val="MTDisplayEquation Знак"/>
    <w:basedOn w:val="DefaultParagraphFont"/>
    <w:qFormat/>
    <w:rPr>
      <w:rFonts w:ascii="Times New Roman" w:hAnsi="Times New Roman" w:cs="Times New Roman"/>
      <w:sz w:val="28"/>
      <w:szCs w:val="28"/>
      <w:lang w:val="uk-UA"/>
    </w:rPr>
  </w:style>
  <w:style w:type="character" w:styleId="Style12">
    <w:name w:val="Верхний колонтитул Знак"/>
    <w:basedOn w:val="DefaultParagraphFont"/>
    <w:qFormat/>
    <w:rPr/>
  </w:style>
  <w:style w:type="character" w:styleId="Style13">
    <w:name w:val="Нижний колонтитул Знак"/>
    <w:basedOn w:val="DefaultParagraphFont"/>
    <w:qFormat/>
    <w:rPr/>
  </w:style>
  <w:style w:type="character" w:styleId="MTEquationSection">
    <w:name w:val="MTEquationSection"/>
    <w:basedOn w:val="DefaultParagraphFont"/>
    <w:qFormat/>
    <w:rPr>
      <w:rFonts w:cs="Times New Roman"/>
      <w:vanish w:val="false"/>
      <w:color w:val="FF0000"/>
      <w:szCs w:val="28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Style14">
    <w:name w:val="Текст примечания Знак"/>
    <w:basedOn w:val="DefaultParagraphFont"/>
    <w:qFormat/>
    <w:rPr>
      <w:rFonts w:ascii="Times New Roman" w:hAnsi="Times New Roman"/>
      <w:sz w:val="20"/>
      <w:szCs w:val="20"/>
      <w:lang w:val="uk-UA"/>
    </w:rPr>
  </w:style>
  <w:style w:type="character" w:styleId="Style15">
    <w:name w:val="Тема примечания Знак"/>
    <w:basedOn w:val="Style14"/>
    <w:qFormat/>
    <w:rPr>
      <w:rFonts w:ascii="Times New Roman" w:hAnsi="Times New Roman"/>
      <w:b/>
      <w:bCs/>
      <w:sz w:val="20"/>
      <w:szCs w:val="20"/>
      <w:lang w:val="uk-UA"/>
    </w:rPr>
  </w:style>
  <w:style w:type="character" w:styleId="Style16">
    <w:name w:val="Текст сноски Знак"/>
    <w:basedOn w:val="DefaultParagraphFont"/>
    <w:qFormat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qFormat/>
    <w:rPr>
      <w:vertAlign w:val="superscript"/>
    </w:rPr>
  </w:style>
  <w:style w:type="character" w:styleId="11">
    <w:name w:val="Заголовок 1 Знак"/>
    <w:basedOn w:val="DefaultParagraphFont"/>
    <w:qFormat/>
    <w:rPr>
      <w:rFonts w:ascii="Times New Roman" w:hAnsi="Times New Roman" w:cs="Times New Roman"/>
      <w:b/>
      <w:sz w:val="28"/>
      <w:szCs w:val="32"/>
      <w:lang w:val="uk-UA"/>
    </w:rPr>
  </w:style>
  <w:style w:type="character" w:styleId="21">
    <w:name w:val="Заголовок 2 Знак"/>
    <w:basedOn w:val="DefaultParagraphFont"/>
    <w:qFormat/>
    <w:rPr>
      <w:rFonts w:ascii="Times New Roman" w:hAnsi="Times New Roman"/>
      <w:b/>
      <w:i/>
      <w:sz w:val="28"/>
      <w:lang w:val="uk-UA"/>
    </w:rPr>
  </w:style>
  <w:style w:type="character" w:styleId="31">
    <w:name w:val="Заголовок 3 Знак"/>
    <w:basedOn w:val="DefaultParagraphFont"/>
    <w:qFormat/>
    <w:rPr>
      <w:rFonts w:ascii="Times New Roman" w:hAnsi="Times New Roman"/>
      <w:b/>
      <w:i/>
      <w:sz w:val="28"/>
      <w:lang w:val="uk-UA"/>
    </w:rPr>
  </w:style>
  <w:style w:type="character" w:styleId="Style17">
    <w:name w:val="Интернет-ссылка"/>
    <w:basedOn w:val="DefaultParagraphFont"/>
    <w:rPr>
      <w:color w:val="0000FF"/>
      <w:u w:val="single"/>
    </w:rPr>
  </w:style>
  <w:style w:type="character" w:styleId="Style18">
    <w:name w:val="Название Знак"/>
    <w:basedOn w:val="DefaultParagraphFont"/>
    <w:qFormat/>
    <w:rPr>
      <w:rFonts w:ascii="Times New Roman" w:hAnsi="Times New Roman" w:eastAsia="Times New Roman" w:cs="Times New Roman"/>
      <w:sz w:val="28"/>
      <w:szCs w:val="24"/>
      <w:lang w:val="uk-UA" w:eastAsia="ru-RU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i w:val="false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i w:val="false"/>
    </w:rPr>
  </w:style>
  <w:style w:type="character" w:styleId="ListLabel15">
    <w:name w:val="ListLabel 15"/>
    <w:qFormat/>
    <w:rPr>
      <w:rFonts w:eastAsia="Calibri" w:cs="Times New Roman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eastAsia="Calibri" w:cs="Times New Roman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i w:val="false"/>
    </w:rPr>
  </w:style>
  <w:style w:type="character" w:styleId="ListLabel27">
    <w:name w:val="ListLabel 27"/>
    <w:qFormat/>
    <w:rPr>
      <w:b w:val="false"/>
      <w:i w:val="false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i w:val="false"/>
    </w:rPr>
  </w:style>
  <w:style w:type="character" w:styleId="ListLabel35">
    <w:name w:val="ListLabel 35"/>
    <w:qFormat/>
    <w:rPr>
      <w:i w:val="false"/>
    </w:rPr>
  </w:style>
  <w:style w:type="character" w:styleId="ListLabel36">
    <w:name w:val="ListLabel 36"/>
    <w:qFormat/>
    <w:rPr>
      <w:i w:val="false"/>
    </w:rPr>
  </w:style>
  <w:style w:type="paragraph" w:styleId="Style19">
    <w:name w:val="Заголовок"/>
    <w:basedOn w:val="Normal"/>
    <w:next w:val="Style20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20">
    <w:name w:val="Body Text"/>
    <w:basedOn w:val="Normal"/>
    <w:pPr>
      <w:spacing w:lineRule="auto" w:line="288" w:before="0" w:after="140"/>
    </w:pPr>
    <w:rPr/>
  </w:style>
  <w:style w:type="paragraph" w:styleId="Style21">
    <w:name w:val="List"/>
    <w:basedOn w:val="Style20"/>
    <w:pPr/>
    <w:rPr>
      <w:rFonts w:cs="FreeSans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0"/>
      <w:ind w:left="720" w:right="0" w:firstLine="709"/>
      <w:contextualSpacing/>
    </w:pPr>
    <w:rPr/>
  </w:style>
  <w:style w:type="paragraph" w:styleId="BalloonText">
    <w:name w:val="Balloon Text"/>
    <w:basedOn w:val="Normal"/>
    <w:qFormat/>
    <w:pPr>
      <w:spacing w:lineRule="auto" w:line="240"/>
    </w:pPr>
    <w:rPr>
      <w:rFonts w:ascii="Tahoma" w:hAnsi="Tahoma" w:cs="Tahoma"/>
      <w:sz w:val="16"/>
      <w:szCs w:val="16"/>
    </w:rPr>
  </w:style>
  <w:style w:type="paragraph" w:styleId="MTDisplayEquation1">
    <w:name w:val="MTDisplayEquation"/>
    <w:basedOn w:val="Normal"/>
    <w:qFormat/>
    <w:pPr>
      <w:tabs>
        <w:tab w:val="center" w:pos="4680" w:leader="none"/>
        <w:tab w:val="right" w:pos="9360" w:leader="none"/>
      </w:tabs>
    </w:pPr>
    <w:rPr>
      <w:rFonts w:cs="Times New Roman"/>
      <w:szCs w:val="28"/>
    </w:rPr>
  </w:style>
  <w:style w:type="paragraph" w:styleId="Style24">
    <w:name w:val="Header"/>
    <w:basedOn w:val="Normal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Style25">
    <w:name w:val="Footer"/>
    <w:basedOn w:val="Normal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Annotationtext">
    <w:name w:val="annotation text"/>
    <w:basedOn w:val="Normal"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Footnotetext">
    <w:name w:val="footnote text"/>
    <w:basedOn w:val="Normal"/>
    <w:qFormat/>
    <w:pPr>
      <w:spacing w:lineRule="auto" w:line="240"/>
    </w:pPr>
    <w:rPr>
      <w:sz w:val="20"/>
      <w:szCs w:val="20"/>
    </w:rPr>
  </w:style>
  <w:style w:type="paragraph" w:styleId="12">
    <w:name w:val="TOC 1"/>
    <w:basedOn w:val="Normal"/>
    <w:autoRedefine/>
    <w:pPr>
      <w:spacing w:before="0" w:after="100"/>
    </w:pPr>
    <w:rPr/>
  </w:style>
  <w:style w:type="paragraph" w:styleId="22">
    <w:name w:val="TOC 2"/>
    <w:basedOn w:val="Normal"/>
    <w:autoRedefine/>
    <w:pPr>
      <w:spacing w:before="0" w:after="100"/>
      <w:ind w:left="280" w:right="0" w:firstLine="709"/>
    </w:pPr>
    <w:rPr/>
  </w:style>
  <w:style w:type="paragraph" w:styleId="32">
    <w:name w:val="TOC 3"/>
    <w:basedOn w:val="Normal"/>
    <w:autoRedefine/>
    <w:pPr>
      <w:spacing w:before="0" w:after="100"/>
      <w:ind w:left="560" w:right="0" w:firstLine="709"/>
    </w:pPr>
    <w:rPr/>
  </w:style>
  <w:style w:type="paragraph" w:styleId="TOCHeading">
    <w:name w:val="TOC Heading"/>
    <w:basedOn w:val="1"/>
    <w:qFormat/>
    <w:pPr>
      <w:keepLines/>
      <w:pageBreakBefore w:val="false"/>
      <w:numPr>
        <w:ilvl w:val="0"/>
        <w:numId w:val="0"/>
      </w:numPr>
      <w:spacing w:lineRule="auto" w:line="276" w:before="480" w:after="0"/>
      <w:ind w:left="0" w:right="0" w:firstLine="709"/>
      <w:jc w:val="left"/>
    </w:pPr>
    <w:rPr>
      <w:rFonts w:ascii="Cambria" w:hAnsi="Cambria" w:eastAsia="Calibri" w:cs="DejaVu Sans"/>
      <w:bCs/>
      <w:color w:val="365F91"/>
      <w:szCs w:val="28"/>
      <w:lang w:val="ru-RU"/>
    </w:rPr>
  </w:style>
  <w:style w:type="paragraph" w:styleId="Style26">
    <w:name w:val="Title"/>
    <w:basedOn w:val="Normal"/>
    <w:qFormat/>
    <w:pPr>
      <w:spacing w:lineRule="auto" w:line="240" w:before="0" w:after="120"/>
      <w:ind w:left="0" w:right="0" w:hanging="0"/>
      <w:jc w:val="center"/>
    </w:pPr>
    <w:rPr>
      <w:rFonts w:eastAsia="Times New Roman" w:cs="Times New Roman"/>
      <w:szCs w:val="24"/>
      <w:lang w:eastAsia="ru-RU"/>
    </w:rPr>
  </w:style>
  <w:style w:type="paragraph" w:styleId="Style27">
    <w:name w:val="Содержимое таблицы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chart" Target="charts/chart1.xml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chart" Target="charts/chart2.xml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wmf"/><Relationship Id="rId33" Type="http://schemas.openxmlformats.org/officeDocument/2006/relationships/footer" Target="footer1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1" sz="1800" spc="-1" strike="noStrike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Calibri"/>
              </a:defRPr>
            </a:pPr>
            <a:r>
              <a:rPr b="1" sz="1800" spc="-1" strike="noStrike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Calibri"/>
              </a:rPr>
              <a:t>Другий корінь метод дихотомії</a:t>
            </a:r>
          </a:p>
        </c:rich>
      </c:tx>
      <c:overlay val="0"/>
    </c:title>
    <c:autoTitleDeleted val="0"/>
    <c:plotArea>
      <c:lineChart>
        <c:grouping val="standard"/>
        <c:ser>
          <c:idx val="0"/>
          <c:order val="0"/>
          <c:tx>
            <c:strRef>
              <c:f>label 0</c:f>
              <c:strCache>
                <c:ptCount val="1"/>
                <c:pt idx="0">
                  <c:v>Другий корінь метод дихотомії</c:v>
                </c:pt>
              </c:strCache>
            </c:strRef>
          </c:tx>
          <c:spPr>
            <a:solidFill>
              <a:srgbClr val="4a7ebb"/>
            </a:solidFill>
            <a:ln w="28440">
              <a:solidFill>
                <a:srgbClr val="4a7ebb"/>
              </a:solidFill>
              <a:round/>
            </a:ln>
          </c:spPr>
          <c:marker>
            <c:symbol val="none"/>
          </c:marker>
          <c:dLbls>
            <c:dLbl>
              <c:idx val="0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2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3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4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5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6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7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8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9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0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1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2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3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4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5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6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7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8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9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20"/>
              <c:dLblPos val="r"/>
              <c:showLegendKey val="0"/>
              <c:showVal val="0"/>
              <c:showCatName val="0"/>
              <c:showSerName val="0"/>
              <c:showPercent val="0"/>
            </c:dLbl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2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21"/>
                <c:pt idx="0">
                  <c:v>3.1</c:v>
                </c:pt>
                <c:pt idx="1">
                  <c:v>3.05</c:v>
                </c:pt>
                <c:pt idx="2">
                  <c:v>3.075</c:v>
                </c:pt>
                <c:pt idx="3">
                  <c:v>3.0625</c:v>
                </c:pt>
                <c:pt idx="4">
                  <c:v>3.05625</c:v>
                </c:pt>
                <c:pt idx="5">
                  <c:v>3.059375</c:v>
                </c:pt>
                <c:pt idx="6">
                  <c:v>3.0578125</c:v>
                </c:pt>
                <c:pt idx="7">
                  <c:v>3.05703125</c:v>
                </c:pt>
                <c:pt idx="8">
                  <c:v>3.056640625</c:v>
                </c:pt>
                <c:pt idx="9">
                  <c:v>3.0564453125</c:v>
                </c:pt>
                <c:pt idx="10">
                  <c:v>3.05634765625</c:v>
                </c:pt>
                <c:pt idx="11">
                  <c:v>3.056396484375</c:v>
                </c:pt>
                <c:pt idx="12">
                  <c:v>3.0564208984375</c:v>
                </c:pt>
                <c:pt idx="13">
                  <c:v>3.05643310546875</c:v>
                </c:pt>
                <c:pt idx="14">
                  <c:v>3.05642700195313</c:v>
                </c:pt>
                <c:pt idx="15">
                  <c:v>3.05642395019531</c:v>
                </c:pt>
                <c:pt idx="16">
                  <c:v>3.05642547607422</c:v>
                </c:pt>
                <c:pt idx="17">
                  <c:v>3.05642471313477</c:v>
                </c:pt>
                <c:pt idx="18">
                  <c:v>3.05642509460449</c:v>
                </c:pt>
                <c:pt idx="19">
                  <c:v>3.05642528533936</c:v>
                </c:pt>
                <c:pt idx="20">
                  <c:v>3.05642538070679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0"/>
        <c:axId val="1763373"/>
        <c:axId val="99778426"/>
      </c:lineChart>
      <c:catAx>
        <c:axId val="1763373"/>
        <c:scaling>
          <c:orientation val="minMax"/>
        </c:scaling>
        <c:delete val="0"/>
        <c:axPos val="b"/>
        <c:numFmt formatCode="DD/MM/YYYY" sourceLinked="1"/>
        <c:majorTickMark val="out"/>
        <c:minorTickMark val="none"/>
        <c:tickLblPos val="nextTo"/>
        <c:spPr>
          <a:ln w="9360">
            <a:solidFill>
              <a:srgbClr val="878787"/>
            </a:solidFill>
            <a:round/>
          </a:ln>
        </c:spPr>
        <c:txPr>
          <a:bodyPr/>
          <a:p>
            <a:pPr>
              <a:defRPr b="0" sz="1000" spc="-1" strike="noStrike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Calibri"/>
              </a:defRPr>
            </a:pPr>
          </a:p>
        </c:txPr>
        <c:crossAx val="99778426"/>
        <c:crosses val="autoZero"/>
        <c:auto val="1"/>
        <c:lblAlgn val="ctr"/>
        <c:lblOffset val="100"/>
      </c:catAx>
      <c:valAx>
        <c:axId val="99778426"/>
        <c:scaling>
          <c:orientation val="minMax"/>
        </c:scaling>
        <c:delete val="0"/>
        <c:axPos val="l"/>
        <c:majorGridlines>
          <c:spPr>
            <a:ln w="9360">
              <a:solidFill>
                <a:srgbClr val="878787"/>
              </a:solidFill>
              <a:round/>
            </a:ln>
          </c:spPr>
        </c:majorGridlines>
        <c:numFmt formatCode="General" sourceLinked="0"/>
        <c:majorTickMark val="out"/>
        <c:minorTickMark val="none"/>
        <c:tickLblPos val="nextTo"/>
        <c:spPr>
          <a:ln w="9360">
            <a:solidFill>
              <a:srgbClr val="878787"/>
            </a:solidFill>
            <a:round/>
          </a:ln>
        </c:spPr>
        <c:txPr>
          <a:bodyPr/>
          <a:p>
            <a:pPr>
              <a:defRPr b="0" sz="1000" spc="-1" strike="noStrike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Calibri"/>
              </a:defRPr>
            </a:pPr>
          </a:p>
        </c:txPr>
        <c:crossAx val="1763373"/>
        <c:crosses val="autoZero"/>
        <c:crossBetween val="midCat"/>
      </c:valAx>
      <c:spPr>
        <a:solidFill>
          <a:srgbClr val="ffffff"/>
        </a:solidFill>
        <a:ln>
          <a:noFill/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gap"/>
  </c:chart>
  <c:spPr>
    <a:solidFill>
      <a:srgbClr val="ffffff"/>
    </a:solidFill>
    <a:ln>
      <a:noFill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1" sz="1800" spc="-1" strike="noStrike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Calibri"/>
              </a:defRPr>
            </a:pPr>
            <a:r>
              <a:rPr b="1" sz="1800" spc="-1" strike="noStrike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Calibri"/>
              </a:rPr>
              <a:t>Корінь спрощенним методом Ньютона</a:t>
            </a:r>
          </a:p>
        </c:rich>
      </c:tx>
      <c:overlay val="0"/>
    </c:title>
    <c:autoTitleDeleted val="0"/>
    <c:plotArea>
      <c:lineChart>
        <c:grouping val="standard"/>
        <c:ser>
          <c:idx val="0"/>
          <c:order val="0"/>
          <c:tx>
            <c:strRef>
              <c:f>label 0</c:f>
              <c:strCache>
                <c:ptCount val="1"/>
                <c:pt idx="0">
                  <c:v>Корінь спрощенним методом Ньютона</c:v>
                </c:pt>
              </c:strCache>
            </c:strRef>
          </c:tx>
          <c:spPr>
            <a:solidFill>
              <a:srgbClr val="4a7ebb"/>
            </a:solidFill>
            <a:ln w="28440">
              <a:solidFill>
                <a:srgbClr val="4a7ebb"/>
              </a:solidFill>
              <a:round/>
            </a:ln>
          </c:spPr>
          <c:marker>
            <c:symbol val="none"/>
          </c:marker>
          <c:dLbls>
            <c:dLbl>
              <c:idx val="0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1"/>
              <c:dLblPos val="r"/>
              <c:showLegendKey val="0"/>
              <c:showVal val="0"/>
              <c:showCatName val="0"/>
              <c:showSerName val="0"/>
              <c:showPercent val="0"/>
            </c:dLbl>
            <c:dLbl>
              <c:idx val="2"/>
              <c:dLblPos val="r"/>
              <c:showLegendKey val="0"/>
              <c:showVal val="0"/>
              <c:showCatName val="0"/>
              <c:showSerName val="0"/>
              <c:showPercent val="0"/>
            </c:dLbl>
            <c:dLblPos val="r"/>
            <c:showLegendKey val="0"/>
            <c:showVal val="0"/>
            <c:showCatName val="0"/>
            <c:showSerName val="0"/>
            <c:showPercent val="0"/>
            <c:showLeaderLines val="0"/>
          </c:dLbls>
          <c:cat>
            <c:strRef>
              <c:f>categories</c:f>
              <c:strCach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3"/>
                <c:pt idx="0">
                  <c:v>-2.96955724325438</c:v>
                </c:pt>
                <c:pt idx="1">
                  <c:v>-2.96925869916451</c:v>
                </c:pt>
                <c:pt idx="2">
                  <c:v>-2.9692586704688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0"/>
        <c:axId val="40131394"/>
        <c:axId val="60762132"/>
      </c:lineChart>
      <c:catAx>
        <c:axId val="40131394"/>
        <c:scaling>
          <c:orientation val="minMax"/>
        </c:scaling>
        <c:delete val="0"/>
        <c:axPos val="b"/>
        <c:numFmt formatCode="DD/MM/YYYY" sourceLinked="1"/>
        <c:majorTickMark val="out"/>
        <c:minorTickMark val="none"/>
        <c:tickLblPos val="nextTo"/>
        <c:spPr>
          <a:ln w="9360">
            <a:solidFill>
              <a:srgbClr val="878787"/>
            </a:solidFill>
            <a:round/>
          </a:ln>
        </c:spPr>
        <c:txPr>
          <a:bodyPr/>
          <a:p>
            <a:pPr>
              <a:defRPr b="0" sz="1000" spc="-1" strike="noStrike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Calibri"/>
              </a:defRPr>
            </a:pPr>
          </a:p>
        </c:txPr>
        <c:crossAx val="60762132"/>
        <c:crosses val="autoZero"/>
        <c:auto val="1"/>
        <c:lblAlgn val="ctr"/>
        <c:lblOffset val="100"/>
      </c:catAx>
      <c:valAx>
        <c:axId val="60762132"/>
        <c:scaling>
          <c:orientation val="minMax"/>
        </c:scaling>
        <c:delete val="0"/>
        <c:axPos val="l"/>
        <c:majorGridlines>
          <c:spPr>
            <a:ln w="9360">
              <a:solidFill>
                <a:srgbClr val="878787"/>
              </a:solidFill>
              <a:round/>
            </a:ln>
          </c:spPr>
        </c:majorGridlines>
        <c:numFmt formatCode="General" sourceLinked="0"/>
        <c:majorTickMark val="out"/>
        <c:minorTickMark val="none"/>
        <c:tickLblPos val="nextTo"/>
        <c:spPr>
          <a:ln w="9360">
            <a:solidFill>
              <a:srgbClr val="878787"/>
            </a:solidFill>
            <a:round/>
          </a:ln>
        </c:spPr>
        <c:txPr>
          <a:bodyPr/>
          <a:p>
            <a:pPr>
              <a:defRPr b="0" sz="1000" spc="-1" strike="noStrike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Calibri"/>
              </a:defRPr>
            </a:pPr>
          </a:p>
        </c:txPr>
        <c:crossAx val="40131394"/>
        <c:crosses val="autoZero"/>
        <c:crossBetween val="midCat"/>
      </c:valAx>
      <c:spPr>
        <a:solidFill>
          <a:srgbClr val="ffffff"/>
        </a:solidFill>
        <a:ln>
          <a:noFill/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gap"/>
  </c:chart>
  <c:spPr>
    <a:solidFill>
      <a:srgbClr val="ffffff"/>
    </a:solidFill>
    <a:ln>
      <a:noFill/>
    </a:ln>
  </c:spPr>
</c:chartSpac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Application>LibreOffice/5.1.4.2$Linux_X86_64 LibreOffice_project/10m0$Build-2</Application>
  <Pages>8</Pages>
  <Words>521</Words>
  <Characters>3492</Characters>
  <CharactersWithSpaces>3983</CharactersWithSpaces>
  <Paragraphs>119</Paragraphs>
  <Company>Grizli777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2010-09-01T19:02:00Z</dcterms:created>
  <dc:creator>user</dc:creator>
  <dc:description/>
  <dc:language>ru-RU</dc:language>
  <cp:lastModifiedBy/>
  <cp:lastPrinted>2011-08-31T21:50:00Z</cp:lastPrinted>
  <dcterms:modified xsi:type="dcterms:W3CDTF">2016-11-29T15:46:16Z</dcterms:modified>
  <cp:revision>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Grizli777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TEquationNumber2">
    <vt:lpwstr>(#S1.#E1)</vt:lpwstr>
  </property>
  <property fmtid="{D5CDD505-2E9C-101B-9397-08002B2CF9AE}" pid="8" name="MTEquationSection">
    <vt:lpwstr>1</vt:lpwstr>
  </property>
  <property fmtid="{D5CDD505-2E9C-101B-9397-08002B2CF9AE}" pid="9" name="MTWinEqns">
    <vt:bool>1</vt:bool>
  </property>
  <property fmtid="{D5CDD505-2E9C-101B-9397-08002B2CF9AE}" pid="10" name="ScaleCrop">
    <vt:bool>0</vt:bool>
  </property>
  <property fmtid="{D5CDD505-2E9C-101B-9397-08002B2CF9AE}" pid="11" name="ShareDoc">
    <vt:bool>0</vt:bool>
  </property>
</Properties>
</file>