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1AB180AF" w:rsidR="009B56E2" w:rsidRPr="006708D7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190092FF" w14:textId="389D8DD0" w:rsidR="002B191A" w:rsidRDefault="002B191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 – </w:t>
      </w:r>
      <w:r>
        <w:rPr>
          <w:rFonts w:ascii="Times New Roman" w:hAnsi="Times New Roman" w:cs="Times New Roman"/>
          <w:sz w:val="28"/>
          <w:szCs w:val="28"/>
        </w:rPr>
        <w:t>время записи</w:t>
      </w:r>
    </w:p>
    <w:p w14:paraId="0F563124" w14:textId="77777777" w:rsidR="002B191A" w:rsidRPr="00BD6C02" w:rsidRDefault="002B191A" w:rsidP="008A5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14AA9AF1" w14:textId="63E9B758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5D5873E8" w14:textId="621BDCBF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3927840" w14:textId="3CC96A8D" w:rsidR="00225088" w:rsidRP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логи, начиная с указанного времени.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6006F093" w14:textId="4D42B8F6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интерактивной оболочки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контенере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D7352F8" w14:textId="02F9E295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proofErr w:type="spellEnd"/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идентификатор, имя, время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proofErr w:type="spellStart"/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proofErr w:type="spellEnd"/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402AF046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Файловую систему можно заменить, но это рекомендуется только в тех случаях, когда вы точно знаете, что делаете.</w:t>
      </w: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lastRenderedPageBreak/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64547D18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  <w:bookmarkStart w:id="0" w:name="_GoBack"/>
      <w:bookmarkEnd w:id="0"/>
    </w:p>
    <w:p w14:paraId="713BE47F" w14:textId="77777777" w:rsidR="009B56E2" w:rsidRPr="00EF4967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Позволяет вам описывать структуру приложения в файле </w:t>
      </w:r>
      <w:r w:rsidR="00BD6C02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и запускать с помощью одной </w:t>
      </w:r>
      <w:r w:rsidR="00EC21A6">
        <w:rPr>
          <w:rFonts w:ascii="Times New Roman" w:hAnsi="Times New Roman" w:cs="Times New Roman"/>
          <w:sz w:val="28"/>
          <w:szCs w:val="28"/>
        </w:rPr>
        <w:t>ко</w:t>
      </w:r>
      <w:r w:rsidR="00BD6C02">
        <w:rPr>
          <w:rFonts w:ascii="Times New Roman" w:hAnsi="Times New Roman" w:cs="Times New Roman"/>
          <w:sz w:val="28"/>
          <w:szCs w:val="28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BB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BB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BB0129">
        <w:rPr>
          <w:rFonts w:ascii="Times New Roman" w:hAnsi="Times New Roman" w:cs="Times New Roman"/>
          <w:sz w:val="28"/>
          <w:szCs w:val="28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контейнеры в фоновом режиме.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A61AA8" w:rsidRPr="00BB0129">
        <w:rPr>
          <w:rFonts w:ascii="Times New Roman" w:hAnsi="Times New Roman" w:cs="Times New Roman"/>
          <w:b/>
          <w:sz w:val="28"/>
          <w:szCs w:val="28"/>
        </w:rPr>
        <w:t>-</w:t>
      </w:r>
      <w:r w:rsidR="00A61AA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>
        <w:rPr>
          <w:rFonts w:ascii="Times New Roman" w:hAnsi="Times New Roman" w:cs="Times New Roman"/>
          <w:sz w:val="28"/>
          <w:szCs w:val="28"/>
        </w:rPr>
        <w:t xml:space="preserve">пересоздание всех образов, созданных из </w:t>
      </w:r>
      <w:r w:rsidR="00A61AA8"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 w:rsidR="00A61AA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61AA8" w:rsidRPr="00A61AA8">
        <w:rPr>
          <w:rFonts w:ascii="Times New Roman" w:hAnsi="Times New Roman" w:cs="Times New Roman"/>
          <w:sz w:val="28"/>
          <w:szCs w:val="28"/>
        </w:rPr>
        <w:t xml:space="preserve">.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r w:rsidR="00A61AA8">
        <w:rPr>
          <w:rFonts w:ascii="Times New Roman" w:hAnsi="Times New Roman" w:cs="Times New Roman"/>
          <w:sz w:val="28"/>
          <w:szCs w:val="28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61A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2C0FCE0F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61AA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service_name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&gt; &lt;command&gt;</w:t>
      </w:r>
    </w:p>
    <w:p w14:paraId="50ED7CC3" w14:textId="377F1F84" w:rsidR="002D7AED" w:rsidRPr="00BB0129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1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2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3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3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Default="002D7AE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4421C7">
        <w:rPr>
          <w:rFonts w:ascii="Times New Roman" w:hAnsi="Times New Roman" w:cs="Times New Roman"/>
          <w:sz w:val="28"/>
          <w:szCs w:val="28"/>
        </w:rPr>
        <w:t>создаваемых контейнеров. Далее</w:t>
      </w:r>
      <w:r w:rsidR="004421C7" w:rsidRPr="004421C7">
        <w:rPr>
          <w:rFonts w:ascii="Times New Roman" w:hAnsi="Times New Roman" w:cs="Times New Roman"/>
          <w:sz w:val="28"/>
          <w:szCs w:val="28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4421C7">
        <w:rPr>
          <w:rFonts w:ascii="Times New Roman" w:hAnsi="Times New Roman" w:cs="Times New Roman"/>
          <w:sz w:val="28"/>
          <w:szCs w:val="28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4421C7">
        <w:rPr>
          <w:rFonts w:ascii="Times New Roman" w:hAnsi="Times New Roman" w:cs="Times New Roman"/>
          <w:sz w:val="28"/>
          <w:szCs w:val="28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4421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4421C7">
        <w:rPr>
          <w:rFonts w:ascii="Times New Roman" w:hAnsi="Times New Roman" w:cs="Times New Roman"/>
          <w:i/>
          <w:sz w:val="28"/>
          <w:szCs w:val="28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4421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proofErr w:type="spellEnd"/>
      <w:r w:rsidR="004421C7" w:rsidRPr="004421C7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4421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</w:rPr>
        <w:t>keycloak</w:t>
      </w:r>
      <w:proofErr w:type="spellEnd"/>
      <w:r w:rsidR="004421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</w:rPr>
        <w:t>rabbitmq</w:t>
      </w:r>
      <w:proofErr w:type="spellEnd"/>
      <w:r w:rsidR="004421C7">
        <w:rPr>
          <w:rFonts w:ascii="Times New Roman" w:hAnsi="Times New Roman" w:cs="Times New Roman"/>
          <w:sz w:val="28"/>
          <w:szCs w:val="28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образ, который используется для запуска контейнера.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контейнера.</w:t>
      </w:r>
    </w:p>
    <w:p w14:paraId="6C512E02" w14:textId="6E0EA30F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4421C7">
        <w:rPr>
          <w:rFonts w:ascii="Times New Roman" w:hAnsi="Times New Roman" w:cs="Times New Roman"/>
          <w:b/>
          <w:sz w:val="28"/>
          <w:szCs w:val="28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переменных окружения и их значений.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пробрасываемых портов.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наследования конфигурации из другого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D0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FD053D">
        <w:rPr>
          <w:rFonts w:ascii="Times New Roman" w:hAnsi="Times New Roman" w:cs="Times New Roman"/>
          <w:sz w:val="28"/>
          <w:szCs w:val="28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из которого наследовать конфигурацию.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сервиса, который мы хотим экспортировать из другого файла.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путь к папке, в которой хранится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и запуска контейнера.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монтируемых томов.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перезапуска контейнера в случае возникновения ошибки.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сетей.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A0594"/>
    <w:rsid w:val="000F3C7F"/>
    <w:rsid w:val="00117D7F"/>
    <w:rsid w:val="00123B5A"/>
    <w:rsid w:val="00170B84"/>
    <w:rsid w:val="00175B63"/>
    <w:rsid w:val="001C20F6"/>
    <w:rsid w:val="001C305A"/>
    <w:rsid w:val="001F6E06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421C7"/>
    <w:rsid w:val="00471D57"/>
    <w:rsid w:val="00485DD3"/>
    <w:rsid w:val="0049773B"/>
    <w:rsid w:val="004A5411"/>
    <w:rsid w:val="004E514E"/>
    <w:rsid w:val="005510F5"/>
    <w:rsid w:val="00593D27"/>
    <w:rsid w:val="005A06D2"/>
    <w:rsid w:val="00617E4F"/>
    <w:rsid w:val="00647D22"/>
    <w:rsid w:val="00665070"/>
    <w:rsid w:val="006650EE"/>
    <w:rsid w:val="006708D7"/>
    <w:rsid w:val="006F369D"/>
    <w:rsid w:val="007471BB"/>
    <w:rsid w:val="00756323"/>
    <w:rsid w:val="007D3416"/>
    <w:rsid w:val="007E0855"/>
    <w:rsid w:val="00814225"/>
    <w:rsid w:val="00816E41"/>
    <w:rsid w:val="00834794"/>
    <w:rsid w:val="00847DEB"/>
    <w:rsid w:val="008946BA"/>
    <w:rsid w:val="008A5031"/>
    <w:rsid w:val="0093769F"/>
    <w:rsid w:val="00946E50"/>
    <w:rsid w:val="009B56E2"/>
    <w:rsid w:val="00A33125"/>
    <w:rsid w:val="00A55DDA"/>
    <w:rsid w:val="00A6024C"/>
    <w:rsid w:val="00A61AA8"/>
    <w:rsid w:val="00A7349F"/>
    <w:rsid w:val="00A8417B"/>
    <w:rsid w:val="00A86A2D"/>
    <w:rsid w:val="00AD29C9"/>
    <w:rsid w:val="00B25807"/>
    <w:rsid w:val="00B85D7B"/>
    <w:rsid w:val="00BB0129"/>
    <w:rsid w:val="00BD6C02"/>
    <w:rsid w:val="00C00FE7"/>
    <w:rsid w:val="00C7096E"/>
    <w:rsid w:val="00C9013A"/>
    <w:rsid w:val="00CB647E"/>
    <w:rsid w:val="00CF2D71"/>
    <w:rsid w:val="00D13324"/>
    <w:rsid w:val="00D44E92"/>
    <w:rsid w:val="00E0579A"/>
    <w:rsid w:val="00E26337"/>
    <w:rsid w:val="00E94F26"/>
    <w:rsid w:val="00EA4190"/>
    <w:rsid w:val="00EC21A6"/>
    <w:rsid w:val="00EF4967"/>
    <w:rsid w:val="00F12A25"/>
    <w:rsid w:val="00F26330"/>
    <w:rsid w:val="00F642EB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67D3-AA54-4162-BD9E-6B4F68C0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17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2023-07-07T09:05:00Z</dcterms:created>
  <dcterms:modified xsi:type="dcterms:W3CDTF">2023-07-12T14:54:00Z</dcterms:modified>
</cp:coreProperties>
</file>