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5"/>
        <w:gridCol w:w="3030"/>
        <w:gridCol w:w="1115"/>
        <w:gridCol w:w="3247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707C792" w:rsidR="00547F36" w:rsidRPr="001E6010" w:rsidRDefault="00212156">
            <w:pPr>
              <w:pStyle w:val="Informazionisullostudente"/>
            </w:pPr>
            <w:r>
              <w:t>Valentyna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FD14CAA" w:rsidR="00547F36" w:rsidRPr="001E6010" w:rsidRDefault="00212156">
            <w:pPr>
              <w:pStyle w:val="Informazionisullostudente"/>
            </w:pPr>
            <w:r>
              <w:t>Bogachova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6558749" w:rsidR="00547F36" w:rsidRPr="001E6010" w:rsidRDefault="00212156">
            <w:pPr>
              <w:pStyle w:val="Informazionisullostudente"/>
            </w:pPr>
            <w:r>
              <w:t>09/04/2021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A480C7A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210CC2DA" w14:textId="3A25EAE1" w:rsidR="006234C7" w:rsidRDefault="00212156" w:rsidP="006234C7">
      <w:pPr>
        <w:ind w:left="360"/>
        <w:rPr>
          <w:lang w:val="it-IT"/>
        </w:rPr>
      </w:pPr>
      <w:r>
        <w:rPr>
          <w:lang w:val="it-IT"/>
        </w:rPr>
        <w:t xml:space="preserve">Ci sono due modolità di utilizzo di ADO.NET : Connected </w:t>
      </w:r>
      <w:r w:rsidR="00946A4C">
        <w:rPr>
          <w:lang w:val="it-IT"/>
        </w:rPr>
        <w:t>Mode e Disconnected Mode</w:t>
      </w:r>
    </w:p>
    <w:p w14:paraId="5BB07A7A" w14:textId="34C3020E" w:rsidR="00946A4C" w:rsidRDefault="00946A4C" w:rsidP="006234C7">
      <w:pPr>
        <w:ind w:left="360"/>
        <w:rPr>
          <w:lang w:val="it-IT"/>
        </w:rPr>
      </w:pPr>
      <w:r>
        <w:rPr>
          <w:lang w:val="it-IT"/>
        </w:rPr>
        <w:t>Connected Mode</w:t>
      </w:r>
      <w:r>
        <w:rPr>
          <w:lang w:val="it-IT"/>
        </w:rPr>
        <w:t xml:space="preserve"> fornisce acceso di solo lettura ai dati nell’origine </w:t>
      </w:r>
      <w:r w:rsidR="0015581F">
        <w:rPr>
          <w:lang w:val="it-IT"/>
        </w:rPr>
        <w:t>dati  e la posibilità di eseguire comandi sull’origine dati(i classi prinicipali sono: SqlConnected, SqlCommand,SqlDataReader,SqlParameter)</w:t>
      </w:r>
    </w:p>
    <w:p w14:paraId="07273F8E" w14:textId="1B35640B" w:rsidR="0015581F" w:rsidRDefault="0015581F" w:rsidP="0015581F">
      <w:pPr>
        <w:ind w:left="360"/>
        <w:rPr>
          <w:lang w:val="it-IT"/>
        </w:rPr>
      </w:pPr>
      <w:r>
        <w:rPr>
          <w:lang w:val="it-IT"/>
        </w:rPr>
        <w:t xml:space="preserve"> Disconnected Mode</w:t>
      </w:r>
      <w:r>
        <w:rPr>
          <w:lang w:val="it-IT"/>
        </w:rPr>
        <w:t xml:space="preserve"> permette di gestire i dati recuperati dall’origine dati e poi riutilizzarli con l’origine dati</w:t>
      </w:r>
      <w:r w:rsidR="00CA35CD">
        <w:rPr>
          <w:lang w:val="it-IT"/>
        </w:rPr>
        <w:t>(Classi principali: DataSet,DataTable,DataColumn,DataRow,Constraint,DataRelation)</w:t>
      </w:r>
    </w:p>
    <w:p w14:paraId="38329267" w14:textId="77777777" w:rsidR="0015581F" w:rsidRDefault="0015581F" w:rsidP="006234C7">
      <w:pPr>
        <w:ind w:left="360"/>
        <w:rPr>
          <w:lang w:val="it-IT"/>
        </w:rPr>
      </w:pPr>
    </w:p>
    <w:p w14:paraId="770EF266" w14:textId="77777777" w:rsidR="00946A4C" w:rsidRPr="00087B65" w:rsidRDefault="00946A4C" w:rsidP="006234C7">
      <w:pPr>
        <w:ind w:left="360"/>
        <w:rPr>
          <w:lang w:val="it-IT"/>
        </w:rPr>
      </w:pPr>
    </w:p>
    <w:p w14:paraId="5055FDB6" w14:textId="2372E21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59AFA165" w14:textId="6727E807" w:rsidR="006234C7" w:rsidRPr="00087B65" w:rsidRDefault="00CA35CD" w:rsidP="006234C7">
      <w:pPr>
        <w:ind w:left="360"/>
        <w:rPr>
          <w:lang w:val="it-IT"/>
        </w:rPr>
      </w:pPr>
      <w:r w:rsidRPr="00CA35CD">
        <w:rPr>
          <w:lang w:val="it-IT"/>
        </w:rPr>
        <w:t>Rappresenta un'istruzione SQL o una stored procedure da eseguire su un'origine dati. Fornisce una classe base per le classi specifiche del database che rappresentano i comandi.</w:t>
      </w:r>
    </w:p>
    <w:p w14:paraId="33DA965A" w14:textId="725E9B2B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6F5C8EB0" w14:textId="583FC7DE" w:rsidR="006234C7" w:rsidRPr="00087B65" w:rsidRDefault="00310F85" w:rsidP="006234C7">
      <w:pPr>
        <w:ind w:left="360"/>
        <w:rPr>
          <w:lang w:val="it-IT"/>
        </w:rPr>
      </w:pPr>
      <w:r w:rsidRPr="00310F85">
        <w:rPr>
          <w:lang w:val="it-IT"/>
        </w:rPr>
        <w:t>Rappresenta un set di comandi SQL e una connessione al database utilizzati per riempire il DataSet e aggiornare l'origine dati.</w:t>
      </w:r>
    </w:p>
    <w:p w14:paraId="46A7BA13" w14:textId="468B5A8F" w:rsidR="006234C7" w:rsidRDefault="004A2BF1" w:rsidP="006234C7">
      <w:pPr>
        <w:pStyle w:val="ListParagraph"/>
        <w:numPr>
          <w:ilvl w:val="0"/>
          <w:numId w:val="19"/>
        </w:numPr>
      </w:pPr>
      <w:r>
        <w:t>Come è possibile andare a definire il modello dati in Entity Framework?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2D66E473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178F9C1C" w14:textId="0416E710" w:rsidR="006234C7" w:rsidRDefault="00C41DB1" w:rsidP="006234C7">
      <w:pPr>
        <w:pStyle w:val="ListParagraph"/>
      </w:pPr>
      <w:r>
        <w:t>Si utilizzano per creare o modificare il database.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49D43D35" w:rsid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6E3CF451" w14:textId="3375AE01" w:rsidR="007B1791" w:rsidRDefault="007B179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8ED5A" w14:textId="77777777" w:rsidR="00A13C45" w:rsidRDefault="00A13C4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5548629" w14:textId="77777777" w:rsidR="00A13C45" w:rsidRDefault="00A13C4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C96C5" w14:textId="77777777" w:rsidR="00C41DB1" w:rsidRDefault="00C41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84D7" w14:textId="77777777" w:rsidR="00C41DB1" w:rsidRDefault="00C4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DD2BD" w14:textId="77777777" w:rsidR="00A13C45" w:rsidRDefault="00A13C4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50848F6" w14:textId="77777777" w:rsidR="00A13C45" w:rsidRDefault="00A13C4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19BC8" w14:textId="77777777" w:rsidR="00C41DB1" w:rsidRDefault="00C41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60242" w14:textId="77777777" w:rsidR="00C41DB1" w:rsidRDefault="00C41D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77550" w14:textId="77777777" w:rsidR="00C41DB1" w:rsidRDefault="00C41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C2472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5581F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12156"/>
    <w:rsid w:val="00225A62"/>
    <w:rsid w:val="00230A4D"/>
    <w:rsid w:val="0024707B"/>
    <w:rsid w:val="002529E5"/>
    <w:rsid w:val="00261529"/>
    <w:rsid w:val="00270C3F"/>
    <w:rsid w:val="002733D1"/>
    <w:rsid w:val="002825D6"/>
    <w:rsid w:val="002B0244"/>
    <w:rsid w:val="002B51AD"/>
    <w:rsid w:val="002F2AFA"/>
    <w:rsid w:val="00310F85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1791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46A4C"/>
    <w:rsid w:val="00957D96"/>
    <w:rsid w:val="0097786E"/>
    <w:rsid w:val="0099502D"/>
    <w:rsid w:val="009973D7"/>
    <w:rsid w:val="009E2BE0"/>
    <w:rsid w:val="00A13C45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329F9"/>
    <w:rsid w:val="00C41DB1"/>
    <w:rsid w:val="00C71FAF"/>
    <w:rsid w:val="00C8122C"/>
    <w:rsid w:val="00C83061"/>
    <w:rsid w:val="00CA35CD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715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Valentyna Bogachova (c)</cp:lastModifiedBy>
  <cp:revision>29</cp:revision>
  <cp:lastPrinted>2004-01-22T16:32:00Z</cp:lastPrinted>
  <dcterms:created xsi:type="dcterms:W3CDTF">2020-11-06T14:31:00Z</dcterms:created>
  <dcterms:modified xsi:type="dcterms:W3CDTF">2021-04-09T10:46:00Z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