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690E" w14:textId="20845EA8" w:rsidR="00A272D8" w:rsidRPr="00373A3E" w:rsidRDefault="00A272D8" w:rsidP="00373A3E">
      <w:pPr>
        <w:spacing w:line="360" w:lineRule="auto"/>
        <w:rPr>
          <w:rFonts w:ascii="Arial" w:hAnsi="Arial" w:cs="Arial"/>
          <w:sz w:val="24"/>
          <w:szCs w:val="24"/>
        </w:rPr>
      </w:pPr>
    </w:p>
    <w:p w14:paraId="75C31B85" w14:textId="31121DE5" w:rsidR="00A272D8" w:rsidRPr="00373A3E" w:rsidRDefault="00000000" w:rsidP="00373A3E">
      <w:pPr>
        <w:spacing w:line="360" w:lineRule="auto"/>
        <w:jc w:val="center"/>
        <w:rPr>
          <w:rFonts w:ascii="Arial" w:hAnsi="Arial" w:cs="Arial"/>
          <w:sz w:val="36"/>
          <w:szCs w:val="36"/>
          <w:lang w:val="es-ES"/>
        </w:rPr>
      </w:pPr>
      <w:r w:rsidRPr="00373A3E">
        <w:rPr>
          <w:rFonts w:ascii="Arial" w:hAnsi="Arial" w:cs="Arial"/>
          <w:b/>
          <w:sz w:val="36"/>
          <w:szCs w:val="36"/>
          <w:lang w:val="es-ES"/>
        </w:rPr>
        <w:t>Derechos Humanos y Paz Total</w:t>
      </w:r>
    </w:p>
    <w:p w14:paraId="7CE07F17" w14:textId="77777777" w:rsidR="00373A3E" w:rsidRPr="00373A3E" w:rsidRDefault="00373A3E" w:rsidP="00373A3E">
      <w:pPr>
        <w:spacing w:line="360" w:lineRule="auto"/>
        <w:rPr>
          <w:rFonts w:ascii="Arial" w:hAnsi="Arial" w:cs="Arial"/>
          <w:sz w:val="24"/>
          <w:szCs w:val="24"/>
          <w:lang w:val="es-ES"/>
        </w:rPr>
      </w:pPr>
    </w:p>
    <w:p w14:paraId="6B7047BB" w14:textId="77777777" w:rsidR="00373A3E" w:rsidRPr="00373A3E" w:rsidRDefault="00373A3E" w:rsidP="00373A3E">
      <w:pPr>
        <w:spacing w:line="360" w:lineRule="auto"/>
        <w:rPr>
          <w:rFonts w:ascii="Arial" w:hAnsi="Arial" w:cs="Arial"/>
          <w:sz w:val="24"/>
          <w:szCs w:val="24"/>
          <w:lang w:val="es-ES"/>
        </w:rPr>
      </w:pPr>
    </w:p>
    <w:p w14:paraId="5903AA90" w14:textId="4B789170" w:rsidR="00A272D8" w:rsidRPr="00373A3E" w:rsidRDefault="00000000" w:rsidP="00373A3E">
      <w:pPr>
        <w:spacing w:line="360" w:lineRule="auto"/>
        <w:rPr>
          <w:rFonts w:ascii="Arial" w:hAnsi="Arial" w:cs="Arial"/>
          <w:sz w:val="24"/>
          <w:szCs w:val="24"/>
          <w:lang w:val="es-ES"/>
        </w:rPr>
      </w:pPr>
      <w:r w:rsidRPr="00373A3E">
        <w:rPr>
          <w:rFonts w:ascii="Arial" w:hAnsi="Arial" w:cs="Arial"/>
          <w:sz w:val="24"/>
          <w:szCs w:val="24"/>
          <w:lang w:val="es-ES"/>
        </w:rPr>
        <w:br/>
      </w:r>
    </w:p>
    <w:p w14:paraId="0E8FFFDD" w14:textId="77777777" w:rsidR="00373A3E" w:rsidRPr="00373A3E" w:rsidRDefault="00373A3E" w:rsidP="00373A3E">
      <w:pPr>
        <w:spacing w:line="360" w:lineRule="auto"/>
        <w:rPr>
          <w:rFonts w:ascii="Arial" w:hAnsi="Arial" w:cs="Arial"/>
          <w:sz w:val="24"/>
          <w:szCs w:val="24"/>
          <w:lang w:val="es-ES"/>
        </w:rPr>
      </w:pPr>
    </w:p>
    <w:p w14:paraId="48C23C05" w14:textId="77777777" w:rsidR="00373A3E" w:rsidRPr="00373A3E" w:rsidRDefault="00373A3E" w:rsidP="00373A3E">
      <w:pPr>
        <w:spacing w:line="360" w:lineRule="auto"/>
        <w:rPr>
          <w:rFonts w:ascii="Arial" w:hAnsi="Arial" w:cs="Arial"/>
          <w:sz w:val="24"/>
          <w:szCs w:val="24"/>
          <w:lang w:val="es-ES"/>
        </w:rPr>
      </w:pPr>
    </w:p>
    <w:p w14:paraId="3C74A868" w14:textId="77777777" w:rsidR="00373A3E" w:rsidRPr="00373A3E" w:rsidRDefault="00373A3E" w:rsidP="00373A3E">
      <w:pPr>
        <w:spacing w:line="360" w:lineRule="auto"/>
        <w:rPr>
          <w:rFonts w:ascii="Arial" w:hAnsi="Arial" w:cs="Arial"/>
          <w:sz w:val="24"/>
          <w:szCs w:val="24"/>
          <w:lang w:val="es-ES"/>
        </w:rPr>
      </w:pPr>
    </w:p>
    <w:p w14:paraId="4E223560" w14:textId="77777777" w:rsidR="00373A3E" w:rsidRPr="00373A3E" w:rsidRDefault="00373A3E" w:rsidP="00373A3E">
      <w:pPr>
        <w:spacing w:line="360" w:lineRule="auto"/>
        <w:rPr>
          <w:rFonts w:ascii="Arial" w:hAnsi="Arial" w:cs="Arial"/>
          <w:sz w:val="24"/>
          <w:szCs w:val="24"/>
          <w:lang w:val="es-ES"/>
        </w:rPr>
      </w:pPr>
    </w:p>
    <w:p w14:paraId="253F1827" w14:textId="77777777" w:rsidR="00373A3E" w:rsidRPr="00373A3E" w:rsidRDefault="00373A3E" w:rsidP="00373A3E">
      <w:pPr>
        <w:spacing w:line="360" w:lineRule="auto"/>
        <w:rPr>
          <w:rFonts w:ascii="Arial" w:hAnsi="Arial" w:cs="Arial"/>
          <w:sz w:val="24"/>
          <w:szCs w:val="24"/>
          <w:lang w:val="es-ES"/>
        </w:rPr>
      </w:pPr>
    </w:p>
    <w:p w14:paraId="6FCDFFB1" w14:textId="77777777" w:rsidR="00373A3E" w:rsidRPr="00373A3E" w:rsidRDefault="00373A3E" w:rsidP="00373A3E">
      <w:pPr>
        <w:spacing w:line="360" w:lineRule="auto"/>
        <w:rPr>
          <w:rFonts w:ascii="Arial" w:hAnsi="Arial" w:cs="Arial"/>
          <w:sz w:val="24"/>
          <w:szCs w:val="24"/>
          <w:lang w:val="es-ES"/>
        </w:rPr>
      </w:pPr>
    </w:p>
    <w:p w14:paraId="191ACACF" w14:textId="626D64A9" w:rsidR="00373A3E" w:rsidRPr="00373A3E" w:rsidRDefault="00000000" w:rsidP="00373A3E">
      <w:pPr>
        <w:spacing w:line="360" w:lineRule="auto"/>
        <w:jc w:val="center"/>
        <w:rPr>
          <w:rFonts w:ascii="Arial" w:hAnsi="Arial" w:cs="Arial"/>
          <w:sz w:val="24"/>
          <w:szCs w:val="24"/>
          <w:lang w:val="es-ES"/>
        </w:rPr>
      </w:pPr>
      <w:r w:rsidRPr="00373A3E">
        <w:rPr>
          <w:rFonts w:ascii="Arial" w:hAnsi="Arial" w:cs="Arial"/>
          <w:sz w:val="24"/>
          <w:szCs w:val="24"/>
          <w:lang w:val="es-ES"/>
        </w:rPr>
        <w:t>Presentado por:</w:t>
      </w:r>
      <w:r w:rsidRPr="00373A3E">
        <w:rPr>
          <w:rFonts w:ascii="Arial" w:hAnsi="Arial" w:cs="Arial"/>
          <w:sz w:val="24"/>
          <w:szCs w:val="24"/>
          <w:lang w:val="es-ES"/>
        </w:rPr>
        <w:br/>
        <w:t>Diego Sebastián Guerrero Niño</w:t>
      </w:r>
      <w:r w:rsidRPr="00373A3E">
        <w:rPr>
          <w:rFonts w:ascii="Arial" w:hAnsi="Arial" w:cs="Arial"/>
          <w:sz w:val="24"/>
          <w:szCs w:val="24"/>
          <w:lang w:val="es-ES"/>
        </w:rPr>
        <w:br/>
        <w:t>Número de identificación: 1074527054</w:t>
      </w:r>
      <w:r w:rsidRPr="00373A3E">
        <w:rPr>
          <w:rFonts w:ascii="Arial" w:hAnsi="Arial" w:cs="Arial"/>
          <w:sz w:val="24"/>
          <w:szCs w:val="24"/>
          <w:lang w:val="es-ES"/>
        </w:rPr>
        <w:br/>
      </w:r>
    </w:p>
    <w:p w14:paraId="2DA24C91" w14:textId="77777777" w:rsidR="00373A3E" w:rsidRPr="00373A3E" w:rsidRDefault="00373A3E" w:rsidP="00373A3E">
      <w:pPr>
        <w:spacing w:line="360" w:lineRule="auto"/>
        <w:jc w:val="center"/>
        <w:rPr>
          <w:rFonts w:ascii="Arial" w:hAnsi="Arial" w:cs="Arial"/>
          <w:sz w:val="24"/>
          <w:szCs w:val="24"/>
          <w:lang w:val="es-ES"/>
        </w:rPr>
      </w:pPr>
    </w:p>
    <w:p w14:paraId="73EA0158" w14:textId="77777777" w:rsidR="00373A3E" w:rsidRPr="00373A3E" w:rsidRDefault="00373A3E" w:rsidP="00373A3E">
      <w:pPr>
        <w:spacing w:line="360" w:lineRule="auto"/>
        <w:jc w:val="center"/>
        <w:rPr>
          <w:rFonts w:ascii="Arial" w:hAnsi="Arial" w:cs="Arial"/>
          <w:sz w:val="24"/>
          <w:szCs w:val="24"/>
          <w:lang w:val="es-ES"/>
        </w:rPr>
      </w:pPr>
    </w:p>
    <w:p w14:paraId="5BD55B3B" w14:textId="77777777" w:rsidR="00373A3E" w:rsidRPr="00373A3E" w:rsidRDefault="00373A3E" w:rsidP="00373A3E">
      <w:pPr>
        <w:spacing w:line="360" w:lineRule="auto"/>
        <w:jc w:val="center"/>
        <w:rPr>
          <w:rFonts w:ascii="Arial" w:hAnsi="Arial" w:cs="Arial"/>
          <w:sz w:val="24"/>
          <w:szCs w:val="24"/>
          <w:lang w:val="es-ES"/>
        </w:rPr>
      </w:pPr>
    </w:p>
    <w:p w14:paraId="7CB329DB" w14:textId="61AE8E45" w:rsidR="00A272D8" w:rsidRPr="00373A3E" w:rsidRDefault="00000000" w:rsidP="00373A3E">
      <w:pPr>
        <w:spacing w:line="360" w:lineRule="auto"/>
        <w:jc w:val="center"/>
        <w:rPr>
          <w:rFonts w:ascii="Arial" w:hAnsi="Arial" w:cs="Arial"/>
          <w:sz w:val="24"/>
          <w:szCs w:val="24"/>
          <w:lang w:val="es-ES"/>
        </w:rPr>
      </w:pPr>
      <w:r w:rsidRPr="00373A3E">
        <w:rPr>
          <w:rFonts w:ascii="Arial" w:hAnsi="Arial" w:cs="Arial"/>
          <w:sz w:val="24"/>
          <w:szCs w:val="24"/>
          <w:lang w:val="es-ES"/>
        </w:rPr>
        <w:br/>
        <w:t>SENA - Formación en Derechos Humanos y Paz Total</w:t>
      </w:r>
      <w:r w:rsidRPr="00373A3E">
        <w:rPr>
          <w:rFonts w:ascii="Arial" w:hAnsi="Arial" w:cs="Arial"/>
          <w:sz w:val="24"/>
          <w:szCs w:val="24"/>
          <w:lang w:val="es-ES"/>
        </w:rPr>
        <w:br/>
        <w:t>2025</w:t>
      </w:r>
    </w:p>
    <w:p w14:paraId="0059A4B5" w14:textId="41E34349" w:rsidR="00A272D8" w:rsidRPr="00373A3E" w:rsidRDefault="00A272D8" w:rsidP="00373A3E">
      <w:pPr>
        <w:spacing w:line="360" w:lineRule="auto"/>
        <w:rPr>
          <w:rFonts w:ascii="Arial" w:hAnsi="Arial" w:cs="Arial"/>
          <w:sz w:val="24"/>
          <w:szCs w:val="24"/>
          <w:lang w:val="es-ES"/>
        </w:rPr>
      </w:pPr>
    </w:p>
    <w:p w14:paraId="0A1067D5" w14:textId="77777777" w:rsidR="00A272D8" w:rsidRPr="00373A3E" w:rsidRDefault="00000000" w:rsidP="00373A3E">
      <w:pPr>
        <w:pStyle w:val="Ttulo1"/>
        <w:spacing w:line="360" w:lineRule="auto"/>
        <w:rPr>
          <w:rFonts w:ascii="Arial" w:hAnsi="Arial" w:cs="Arial"/>
          <w:sz w:val="24"/>
          <w:szCs w:val="24"/>
          <w:lang w:val="es-ES"/>
        </w:rPr>
      </w:pPr>
      <w:r w:rsidRPr="00373A3E">
        <w:rPr>
          <w:rFonts w:ascii="Arial" w:hAnsi="Arial" w:cs="Arial"/>
          <w:sz w:val="24"/>
          <w:szCs w:val="24"/>
          <w:lang w:val="es-ES"/>
        </w:rPr>
        <w:lastRenderedPageBreak/>
        <w:t>Resumen</w:t>
      </w:r>
    </w:p>
    <w:p w14:paraId="326C1313" w14:textId="77777777" w:rsidR="00A272D8" w:rsidRPr="00373A3E" w:rsidRDefault="00000000" w:rsidP="00373A3E">
      <w:pPr>
        <w:spacing w:line="360" w:lineRule="auto"/>
        <w:rPr>
          <w:rFonts w:ascii="Arial" w:hAnsi="Arial" w:cs="Arial"/>
          <w:sz w:val="24"/>
          <w:szCs w:val="24"/>
          <w:lang w:val="es-ES"/>
        </w:rPr>
      </w:pPr>
      <w:r w:rsidRPr="00373A3E">
        <w:rPr>
          <w:rFonts w:ascii="Arial" w:hAnsi="Arial" w:cs="Arial"/>
          <w:sz w:val="24"/>
          <w:szCs w:val="24"/>
          <w:lang w:val="es-ES"/>
        </w:rPr>
        <w:t>El presente documento aborda los conceptos fundamentales de los Derechos Humanos y la Paz Total, temas tratados durante la sesión de formación. Los Derechos Humanos constituyen el conjunto de principios universales que garantizan la dignidad, la libertad y la igualdad de todas las personas, sin distinción alguna. Por su parte, la Paz Total se presenta como una política integral orientada a la construcción de una sociedad inclusiva, equitativa y libre de violencia, promoviendo el diálogo, la reconciliación y la justicia social.</w:t>
      </w:r>
      <w:r w:rsidRPr="00373A3E">
        <w:rPr>
          <w:rFonts w:ascii="Arial" w:hAnsi="Arial" w:cs="Arial"/>
          <w:sz w:val="24"/>
          <w:szCs w:val="24"/>
          <w:lang w:val="es-ES"/>
        </w:rPr>
        <w:br/>
      </w:r>
      <w:r w:rsidRPr="00373A3E">
        <w:rPr>
          <w:rFonts w:ascii="Arial" w:hAnsi="Arial" w:cs="Arial"/>
          <w:sz w:val="24"/>
          <w:szCs w:val="24"/>
          <w:lang w:val="es-ES"/>
        </w:rPr>
        <w:br/>
        <w:t>Durante la sesión se enfatizó en la importancia de reconocer los derechos fundamentales y el rol de los ciudadanos en su protección. Asimismo, se reflexionó sobre los desafíos actuales que enfrenta el país para alcanzar una paz sostenible, entendiendo que la convivencia pacífica requiere del respeto mutuo, la participación ciudadana y el cumplimiento efectivo de los derechos consagrados en la Constitución Política y los tratados internacionales.</w:t>
      </w:r>
    </w:p>
    <w:p w14:paraId="772486B2" w14:textId="77777777" w:rsidR="00A272D8" w:rsidRPr="00373A3E" w:rsidRDefault="00000000" w:rsidP="00373A3E">
      <w:pPr>
        <w:pStyle w:val="Ttulo1"/>
        <w:spacing w:line="360" w:lineRule="auto"/>
        <w:rPr>
          <w:rFonts w:ascii="Arial" w:hAnsi="Arial" w:cs="Arial"/>
          <w:sz w:val="24"/>
          <w:szCs w:val="24"/>
          <w:lang w:val="es-ES"/>
        </w:rPr>
      </w:pPr>
      <w:r w:rsidRPr="00373A3E">
        <w:rPr>
          <w:rFonts w:ascii="Arial" w:hAnsi="Arial" w:cs="Arial"/>
          <w:sz w:val="24"/>
          <w:szCs w:val="24"/>
          <w:lang w:val="es-ES"/>
        </w:rPr>
        <w:t>Contenido - Taller</w:t>
      </w:r>
    </w:p>
    <w:p w14:paraId="4F506492" w14:textId="1F11B05C" w:rsidR="00A272D8" w:rsidRPr="00373A3E" w:rsidRDefault="00000000" w:rsidP="00373A3E">
      <w:pPr>
        <w:spacing w:line="360" w:lineRule="auto"/>
        <w:rPr>
          <w:rFonts w:ascii="Arial" w:hAnsi="Arial" w:cs="Arial"/>
          <w:sz w:val="24"/>
          <w:szCs w:val="24"/>
          <w:lang w:val="es-ES"/>
        </w:rPr>
      </w:pPr>
      <w:r w:rsidRPr="00373A3E">
        <w:rPr>
          <w:rFonts w:ascii="Arial" w:hAnsi="Arial" w:cs="Arial"/>
          <w:sz w:val="24"/>
          <w:szCs w:val="24"/>
          <w:lang w:val="es-ES"/>
        </w:rPr>
        <w:t xml:space="preserve">A partir del análisis del video sobre los Derechos Humanos y asumiendo un rol diplomático y de participación inclusiva, se identifican a continuación cinco derechos que, según las dinámicas actuales observadas en el territorio colombiano, requieren fortalecimiento o una mayor garantía de cumplimiento. </w:t>
      </w:r>
    </w:p>
    <w:p w14:paraId="5A2F07AF" w14:textId="77777777" w:rsidR="00A272D8" w:rsidRPr="00373A3E" w:rsidRDefault="00000000" w:rsidP="00373A3E">
      <w:pPr>
        <w:pStyle w:val="Ttulo2"/>
        <w:spacing w:line="360" w:lineRule="auto"/>
        <w:rPr>
          <w:rFonts w:ascii="Arial" w:hAnsi="Arial" w:cs="Arial"/>
          <w:sz w:val="24"/>
          <w:szCs w:val="24"/>
          <w:lang w:val="es-ES"/>
        </w:rPr>
      </w:pPr>
      <w:r w:rsidRPr="00373A3E">
        <w:rPr>
          <w:rFonts w:ascii="Arial" w:hAnsi="Arial" w:cs="Arial"/>
          <w:sz w:val="24"/>
          <w:szCs w:val="24"/>
          <w:lang w:val="es-ES"/>
        </w:rPr>
        <w:t>1. Derecho a la seguridad y protección ciudadana</w:t>
      </w:r>
    </w:p>
    <w:p w14:paraId="5946ABD3" w14:textId="77777777" w:rsidR="00A272D8" w:rsidRDefault="00000000" w:rsidP="00373A3E">
      <w:pPr>
        <w:spacing w:line="360" w:lineRule="auto"/>
        <w:rPr>
          <w:rFonts w:ascii="Arial" w:hAnsi="Arial" w:cs="Arial"/>
          <w:sz w:val="24"/>
          <w:szCs w:val="24"/>
          <w:lang w:val="es-ES"/>
        </w:rPr>
      </w:pPr>
      <w:r w:rsidRPr="00373A3E">
        <w:rPr>
          <w:rFonts w:ascii="Arial" w:hAnsi="Arial" w:cs="Arial"/>
          <w:sz w:val="24"/>
          <w:szCs w:val="24"/>
          <w:lang w:val="es-ES"/>
        </w:rPr>
        <w:t>En muchos territorios persisten altos niveles de violencia y criminalidad, afectando la tranquilidad de las comunidades. Este derecho debe fortalecerse mediante políticas de seguridad integrales, que no solo prioricen el control, sino también la prevención, la justicia social y la presencia institucional en las regiones más vulnerables. Imagen sugerida: una comunidad trabajando junto a la policía en actividades de convivencia.</w:t>
      </w:r>
    </w:p>
    <w:p w14:paraId="40503F80" w14:textId="024FECAF" w:rsidR="0089297A" w:rsidRPr="00373A3E" w:rsidRDefault="0089297A" w:rsidP="00373A3E">
      <w:pPr>
        <w:spacing w:line="360" w:lineRule="auto"/>
        <w:rPr>
          <w:rFonts w:ascii="Arial" w:hAnsi="Arial" w:cs="Arial"/>
          <w:sz w:val="24"/>
          <w:szCs w:val="24"/>
          <w:lang w:val="es-ES"/>
        </w:rPr>
      </w:pPr>
      <w:r>
        <w:rPr>
          <w:noProof/>
        </w:rPr>
        <w:lastRenderedPageBreak/>
        <w:drawing>
          <wp:inline distT="0" distB="0" distL="0" distR="0" wp14:anchorId="386FFA76" wp14:editId="3E7749DB">
            <wp:extent cx="3686175" cy="3686175"/>
            <wp:effectExtent l="0" t="0" r="9525" b="9525"/>
            <wp:docPr id="557048319" name="Imagen 1" descr="Práctica Revista Pictórica LA SEGURIDAD CIUDADANA Seguridad ciudadana: ￼  Percepción: ￼ Inseguridad percibida: ￼ Inseguridad ciudadana: ￼ Inseguridad  real: ￼ Organización comunitaria : ￼ Violencia : ￼ Barrio : ￼ Delito : ￼  Respeto a lo aje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áctica Revista Pictórica LA SEGURIDAD CIUDADANA Seguridad ciudadana: ￼  Percepción: ￼ Inseguridad percibida: ￼ Inseguridad ciudadana: ￼ Inseguridad  real: ￼ Organización comunitaria : ￼ Violencia : ￼ Barrio : ￼ Delito : ￼  Respeto a lo ajeno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6175" cy="3686175"/>
                    </a:xfrm>
                    <a:prstGeom prst="rect">
                      <a:avLst/>
                    </a:prstGeom>
                    <a:noFill/>
                    <a:ln>
                      <a:noFill/>
                    </a:ln>
                  </pic:spPr>
                </pic:pic>
              </a:graphicData>
            </a:graphic>
          </wp:inline>
        </w:drawing>
      </w:r>
    </w:p>
    <w:p w14:paraId="073AA309" w14:textId="77777777" w:rsidR="00A272D8" w:rsidRPr="00373A3E" w:rsidRDefault="00000000" w:rsidP="00373A3E">
      <w:pPr>
        <w:pStyle w:val="Ttulo2"/>
        <w:spacing w:line="360" w:lineRule="auto"/>
        <w:rPr>
          <w:rFonts w:ascii="Arial" w:hAnsi="Arial" w:cs="Arial"/>
          <w:sz w:val="24"/>
          <w:szCs w:val="24"/>
          <w:lang w:val="es-ES"/>
        </w:rPr>
      </w:pPr>
      <w:r w:rsidRPr="00373A3E">
        <w:rPr>
          <w:rFonts w:ascii="Arial" w:hAnsi="Arial" w:cs="Arial"/>
          <w:sz w:val="24"/>
          <w:szCs w:val="24"/>
          <w:lang w:val="es-ES"/>
        </w:rPr>
        <w:t>2. Derecho a la igualdad de oportunidades laborales</w:t>
      </w:r>
    </w:p>
    <w:p w14:paraId="6F8D3A87" w14:textId="77777777" w:rsidR="00A272D8" w:rsidRDefault="00000000" w:rsidP="00373A3E">
      <w:pPr>
        <w:spacing w:line="360" w:lineRule="auto"/>
        <w:rPr>
          <w:rFonts w:ascii="Arial" w:hAnsi="Arial" w:cs="Arial"/>
          <w:sz w:val="24"/>
          <w:szCs w:val="24"/>
          <w:lang w:val="es-ES"/>
        </w:rPr>
      </w:pPr>
      <w:r w:rsidRPr="00373A3E">
        <w:rPr>
          <w:rFonts w:ascii="Arial" w:hAnsi="Arial" w:cs="Arial"/>
          <w:sz w:val="24"/>
          <w:szCs w:val="24"/>
          <w:lang w:val="es-ES"/>
        </w:rPr>
        <w:t>A pesar de los avances, aún existen brechas significativas en el acceso al empleo digno, especialmente para jóvenes, mujeres y poblaciones rurales. Garantizar este derecho implica promover políticas de inclusión laboral, educación técnica y emprendimiento sostenible. Imagen sugerida: personas de diferentes edades y géneros colaborando en un entorno de trabajo.</w:t>
      </w:r>
    </w:p>
    <w:p w14:paraId="277DBC10" w14:textId="200C75AD" w:rsidR="0089297A" w:rsidRPr="00373A3E" w:rsidRDefault="0089297A" w:rsidP="00373A3E">
      <w:pPr>
        <w:spacing w:line="360" w:lineRule="auto"/>
        <w:rPr>
          <w:rFonts w:ascii="Arial" w:hAnsi="Arial" w:cs="Arial"/>
          <w:sz w:val="24"/>
          <w:szCs w:val="24"/>
          <w:lang w:val="es-ES"/>
        </w:rPr>
      </w:pPr>
      <w:r>
        <w:rPr>
          <w:noProof/>
        </w:rPr>
        <w:lastRenderedPageBreak/>
        <w:drawing>
          <wp:inline distT="0" distB="0" distL="0" distR="0" wp14:anchorId="5E3C77A4" wp14:editId="66D2F543">
            <wp:extent cx="4676486" cy="2628900"/>
            <wp:effectExtent l="0" t="0" r="0" b="0"/>
            <wp:docPr id="916822471" name="Imagen 2" descr="Igualdad de oportunidades en e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gualdad de oportunidades en el trabaj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2360" cy="2637824"/>
                    </a:xfrm>
                    <a:prstGeom prst="rect">
                      <a:avLst/>
                    </a:prstGeom>
                    <a:noFill/>
                    <a:ln>
                      <a:noFill/>
                    </a:ln>
                  </pic:spPr>
                </pic:pic>
              </a:graphicData>
            </a:graphic>
          </wp:inline>
        </w:drawing>
      </w:r>
    </w:p>
    <w:p w14:paraId="180B37F8" w14:textId="77777777" w:rsidR="00A272D8" w:rsidRPr="00373A3E" w:rsidRDefault="00000000" w:rsidP="00373A3E">
      <w:pPr>
        <w:pStyle w:val="Ttulo2"/>
        <w:spacing w:line="360" w:lineRule="auto"/>
        <w:rPr>
          <w:rFonts w:ascii="Arial" w:hAnsi="Arial" w:cs="Arial"/>
          <w:sz w:val="24"/>
          <w:szCs w:val="24"/>
          <w:lang w:val="es-ES"/>
        </w:rPr>
      </w:pPr>
      <w:r w:rsidRPr="00373A3E">
        <w:rPr>
          <w:rFonts w:ascii="Arial" w:hAnsi="Arial" w:cs="Arial"/>
          <w:sz w:val="24"/>
          <w:szCs w:val="24"/>
          <w:lang w:val="es-ES"/>
        </w:rPr>
        <w:t>3. Derecho a un medio ambiente sano</w:t>
      </w:r>
    </w:p>
    <w:p w14:paraId="016EE05E" w14:textId="77777777" w:rsidR="00A272D8" w:rsidRDefault="00000000" w:rsidP="00373A3E">
      <w:pPr>
        <w:spacing w:line="360" w:lineRule="auto"/>
        <w:rPr>
          <w:rFonts w:ascii="Arial" w:hAnsi="Arial" w:cs="Arial"/>
          <w:sz w:val="24"/>
          <w:szCs w:val="24"/>
          <w:lang w:val="es-ES"/>
        </w:rPr>
      </w:pPr>
      <w:r w:rsidRPr="00373A3E">
        <w:rPr>
          <w:rFonts w:ascii="Arial" w:hAnsi="Arial" w:cs="Arial"/>
          <w:sz w:val="24"/>
          <w:szCs w:val="24"/>
          <w:lang w:val="es-ES"/>
        </w:rPr>
        <w:t>El deterioro ambiental por la deforestación, la minería ilegal y la contaminación amenaza la calidad de vida de las comunidades. Este derecho requiere acciones firmes del Estado y la sociedad para proteger los ecosistemas y fomentar prácticas sostenibles. Imagen sugerida: paisajes naturales con mensajes de conservación ambiental.</w:t>
      </w:r>
    </w:p>
    <w:p w14:paraId="56F828DA" w14:textId="4BE0E321" w:rsidR="0089297A" w:rsidRPr="00373A3E" w:rsidRDefault="0089297A" w:rsidP="00373A3E">
      <w:pPr>
        <w:spacing w:line="360" w:lineRule="auto"/>
        <w:rPr>
          <w:rFonts w:ascii="Arial" w:hAnsi="Arial" w:cs="Arial"/>
          <w:sz w:val="24"/>
          <w:szCs w:val="24"/>
          <w:lang w:val="es-ES"/>
        </w:rPr>
      </w:pPr>
      <w:r>
        <w:rPr>
          <w:noProof/>
        </w:rPr>
        <w:drawing>
          <wp:inline distT="0" distB="0" distL="0" distR="0" wp14:anchorId="23775F84" wp14:editId="3E2B3B63">
            <wp:extent cx="4657725" cy="3117009"/>
            <wp:effectExtent l="0" t="0" r="0" b="7620"/>
            <wp:docPr id="139403479" name="Imagen 3" descr="La acción inmediata es crucial para garantizar el derecho a un medio  ambiente saludable, dice experta de la ONU | ONU-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acción inmediata es crucial para garantizar el derecho a un medio  ambiente saludable, dice experta de la ONU | ONU-D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0673" cy="3125674"/>
                    </a:xfrm>
                    <a:prstGeom prst="rect">
                      <a:avLst/>
                    </a:prstGeom>
                    <a:noFill/>
                    <a:ln>
                      <a:noFill/>
                    </a:ln>
                  </pic:spPr>
                </pic:pic>
              </a:graphicData>
            </a:graphic>
          </wp:inline>
        </w:drawing>
      </w:r>
    </w:p>
    <w:p w14:paraId="15A21D44" w14:textId="77777777" w:rsidR="00A272D8" w:rsidRPr="00373A3E" w:rsidRDefault="00000000" w:rsidP="00373A3E">
      <w:pPr>
        <w:pStyle w:val="Ttulo2"/>
        <w:spacing w:line="360" w:lineRule="auto"/>
        <w:rPr>
          <w:rFonts w:ascii="Arial" w:hAnsi="Arial" w:cs="Arial"/>
          <w:sz w:val="24"/>
          <w:szCs w:val="24"/>
          <w:lang w:val="es-ES"/>
        </w:rPr>
      </w:pPr>
      <w:r w:rsidRPr="00373A3E">
        <w:rPr>
          <w:rFonts w:ascii="Arial" w:hAnsi="Arial" w:cs="Arial"/>
          <w:sz w:val="24"/>
          <w:szCs w:val="24"/>
          <w:lang w:val="es-ES"/>
        </w:rPr>
        <w:lastRenderedPageBreak/>
        <w:t>4. Derecho a la educación inclusiva y de calidad</w:t>
      </w:r>
    </w:p>
    <w:p w14:paraId="07496624" w14:textId="77777777" w:rsidR="00A272D8" w:rsidRDefault="00000000" w:rsidP="00373A3E">
      <w:pPr>
        <w:spacing w:line="360" w:lineRule="auto"/>
        <w:rPr>
          <w:rFonts w:ascii="Arial" w:hAnsi="Arial" w:cs="Arial"/>
          <w:sz w:val="24"/>
          <w:szCs w:val="24"/>
          <w:lang w:val="es-ES"/>
        </w:rPr>
      </w:pPr>
      <w:r w:rsidRPr="00373A3E">
        <w:rPr>
          <w:rFonts w:ascii="Arial" w:hAnsi="Arial" w:cs="Arial"/>
          <w:sz w:val="24"/>
          <w:szCs w:val="24"/>
          <w:lang w:val="es-ES"/>
        </w:rPr>
        <w:t>La educación es la base del desarrollo humano y la paz. Sin embargo, muchos niños y jóvenes en zonas rurales no tienen acceso a una educación de calidad. Fortalecer este derecho significa invertir en infraestructura, tecnología y formación docente. Imagen sugerida: aula rural equipada con recursos tecnológicos y estudiantes participando activamente.</w:t>
      </w:r>
    </w:p>
    <w:p w14:paraId="3519AC4A" w14:textId="5B4F58A1" w:rsidR="0089297A" w:rsidRPr="00373A3E" w:rsidRDefault="0089297A" w:rsidP="00373A3E">
      <w:pPr>
        <w:spacing w:line="360" w:lineRule="auto"/>
        <w:rPr>
          <w:rFonts w:ascii="Arial" w:hAnsi="Arial" w:cs="Arial"/>
          <w:sz w:val="24"/>
          <w:szCs w:val="24"/>
          <w:lang w:val="es-ES"/>
        </w:rPr>
      </w:pPr>
      <w:r>
        <w:rPr>
          <w:noProof/>
        </w:rPr>
        <w:drawing>
          <wp:inline distT="0" distB="0" distL="0" distR="0" wp14:anchorId="2C529A7D" wp14:editId="4EB0F291">
            <wp:extent cx="4800600" cy="2878693"/>
            <wp:effectExtent l="0" t="0" r="0" b="0"/>
            <wp:docPr id="774375530" name="Imagen 4" descr="Educación inclusiva, equitativa y de calidad - Fundación Saldarriaga Con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ucación inclusiva, equitativa y de calidad - Fundación Saldarriaga Conch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7426" cy="2882786"/>
                    </a:xfrm>
                    <a:prstGeom prst="rect">
                      <a:avLst/>
                    </a:prstGeom>
                    <a:noFill/>
                    <a:ln>
                      <a:noFill/>
                    </a:ln>
                  </pic:spPr>
                </pic:pic>
              </a:graphicData>
            </a:graphic>
          </wp:inline>
        </w:drawing>
      </w:r>
    </w:p>
    <w:p w14:paraId="25E0270B" w14:textId="77777777" w:rsidR="00A272D8" w:rsidRPr="00373A3E" w:rsidRDefault="00000000" w:rsidP="00373A3E">
      <w:pPr>
        <w:pStyle w:val="Ttulo2"/>
        <w:spacing w:line="360" w:lineRule="auto"/>
        <w:rPr>
          <w:rFonts w:ascii="Arial" w:hAnsi="Arial" w:cs="Arial"/>
          <w:sz w:val="24"/>
          <w:szCs w:val="24"/>
          <w:lang w:val="es-ES"/>
        </w:rPr>
      </w:pPr>
      <w:r w:rsidRPr="00373A3E">
        <w:rPr>
          <w:rFonts w:ascii="Arial" w:hAnsi="Arial" w:cs="Arial"/>
          <w:sz w:val="24"/>
          <w:szCs w:val="24"/>
          <w:lang w:val="es-ES"/>
        </w:rPr>
        <w:t>5. Derecho a la participación ciudadana y al acceso a la información</w:t>
      </w:r>
    </w:p>
    <w:p w14:paraId="2346966B" w14:textId="77777777" w:rsidR="00A272D8" w:rsidRDefault="00000000" w:rsidP="00373A3E">
      <w:pPr>
        <w:spacing w:line="360" w:lineRule="auto"/>
        <w:rPr>
          <w:rFonts w:ascii="Arial" w:hAnsi="Arial" w:cs="Arial"/>
          <w:sz w:val="24"/>
          <w:szCs w:val="24"/>
          <w:lang w:val="es-ES"/>
        </w:rPr>
      </w:pPr>
      <w:r w:rsidRPr="00373A3E">
        <w:rPr>
          <w:rFonts w:ascii="Arial" w:hAnsi="Arial" w:cs="Arial"/>
          <w:sz w:val="24"/>
          <w:szCs w:val="24"/>
          <w:lang w:val="es-ES"/>
        </w:rPr>
        <w:t>En una democracia participativa, las personas deben tener garantizado el acceso a la información y la posibilidad de incidir en las decisiones públicas. Este derecho se fortalece con transparencia institucional y educación cívica. Imagen sugerida: ciudadanos deliberando en asambleas comunitarias o consultas populares.</w:t>
      </w:r>
    </w:p>
    <w:p w14:paraId="721EE2CD" w14:textId="7856D4C9" w:rsidR="0089297A" w:rsidRPr="00373A3E" w:rsidRDefault="0089297A" w:rsidP="00373A3E">
      <w:pPr>
        <w:spacing w:line="360" w:lineRule="auto"/>
        <w:rPr>
          <w:rFonts w:ascii="Arial" w:hAnsi="Arial" w:cs="Arial"/>
          <w:sz w:val="24"/>
          <w:szCs w:val="24"/>
          <w:lang w:val="es-ES"/>
        </w:rPr>
      </w:pPr>
      <w:r>
        <w:rPr>
          <w:noProof/>
        </w:rPr>
        <w:lastRenderedPageBreak/>
        <w:drawing>
          <wp:inline distT="0" distB="0" distL="0" distR="0" wp14:anchorId="321C242A" wp14:editId="30BE8F87">
            <wp:extent cx="4714875" cy="3264396"/>
            <wp:effectExtent l="0" t="0" r="0" b="0"/>
            <wp:docPr id="2133812783" name="Imagen 5" descr="Participación Ciudadana de colombianos desde el exterior - Colex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rticipación Ciudadana de colombianos desde el exterior - Colexr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3235" cy="3270184"/>
                    </a:xfrm>
                    <a:prstGeom prst="rect">
                      <a:avLst/>
                    </a:prstGeom>
                    <a:noFill/>
                    <a:ln>
                      <a:noFill/>
                    </a:ln>
                  </pic:spPr>
                </pic:pic>
              </a:graphicData>
            </a:graphic>
          </wp:inline>
        </w:drawing>
      </w:r>
    </w:p>
    <w:sectPr w:rsidR="0089297A" w:rsidRPr="00373A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9664065">
    <w:abstractNumId w:val="8"/>
  </w:num>
  <w:num w:numId="2" w16cid:durableId="38748264">
    <w:abstractNumId w:val="6"/>
  </w:num>
  <w:num w:numId="3" w16cid:durableId="157578153">
    <w:abstractNumId w:val="5"/>
  </w:num>
  <w:num w:numId="4" w16cid:durableId="1355115414">
    <w:abstractNumId w:val="4"/>
  </w:num>
  <w:num w:numId="5" w16cid:durableId="759955515">
    <w:abstractNumId w:val="7"/>
  </w:num>
  <w:num w:numId="6" w16cid:durableId="823156321">
    <w:abstractNumId w:val="3"/>
  </w:num>
  <w:num w:numId="7" w16cid:durableId="1538621060">
    <w:abstractNumId w:val="2"/>
  </w:num>
  <w:num w:numId="8" w16cid:durableId="1995450408">
    <w:abstractNumId w:val="1"/>
  </w:num>
  <w:num w:numId="9" w16cid:durableId="83912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A3E"/>
    <w:rsid w:val="0089297A"/>
    <w:rsid w:val="008D68A6"/>
    <w:rsid w:val="009C39E2"/>
    <w:rsid w:val="00A272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E1172"/>
  <w14:defaultImageDpi w14:val="300"/>
  <w15:docId w15:val="{E38A21E4-107A-4500-A454-4C9E0705A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547</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Guerrero</cp:lastModifiedBy>
  <cp:revision>3</cp:revision>
  <dcterms:created xsi:type="dcterms:W3CDTF">2013-12-23T23:15:00Z</dcterms:created>
  <dcterms:modified xsi:type="dcterms:W3CDTF">2025-11-11T19:45:00Z</dcterms:modified>
  <cp:category/>
</cp:coreProperties>
</file>