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Calibri" w:cs="Calibri" w:eastAsia="Calibri" w:hAnsi="Calibri"/>
          <w:b/>
          <w:bCs/>
          <w:color w:val="061428"/>
          <w:sz w:val="52"/>
          <w:szCs w:val="52"/>
        </w:rPr>
        <w:t xml:space="preserve">CONTRATO DE DESARROLLO DE SOFTWARE</w:t>
      </w:r>
    </w:p>
    <w:p>
      <w:pPr>
        <w:spacing w:after="500"/>
        <w:jc w:val="center"/>
      </w:pPr>
      <w:r>
        <w:rPr>
          <w:rFonts w:ascii="Calibri" w:cs="Calibri" w:eastAsia="Calibri" w:hAnsi="Calibri"/>
          <w:b/>
          <w:bCs/>
          <w:color w:val="061428"/>
          <w:sz w:val="38"/>
          <w:szCs w:val="38"/>
        </w:rPr>
        <w:t xml:space="preserve">Y PRESTACIÓN DE SERVICIOS TECNOLÓGICOS</w:t>
      </w:r>
    </w:p>
    <w:p>
      <w:pPr>
        <w:spacing w:after="100"/>
        <w:jc w:val="center"/>
      </w:pPr>
      <w:r>
        <w:rPr>
          <w:rFonts w:ascii="Calibri" w:cs="Calibri" w:eastAsia="Calibri" w:hAnsi="Calibri"/>
          <w:i/>
          <w:iCs/>
          <w:color w:val="6A8A9A"/>
          <w:sz w:val="28"/>
          <w:szCs w:val="28"/>
        </w:rPr>
        <w:t xml:space="preserve">DigitalAxios  ×  La Internacional Distribuidora</w:t>
      </w:r>
    </w:p>
    <w:p>
      <w:pPr>
        <w:spacing w:after="800"/>
        <w:jc w:val="center"/>
      </w:pPr>
      <w:r>
        <w:rPr>
          <w:rFonts w:ascii="Calibri" w:cs="Calibri" w:eastAsia="Calibri" w:hAnsi="Calibri"/>
          <w:color w:val="6A8A9A"/>
          <w:sz w:val="22"/>
          <w:szCs w:val="22"/>
        </w:rPr>
        <w:t xml:space="preserve">Córdoba, Argentina — Mayo 2026</w:t>
      </w: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tblGrid>
      <w:tr>
        <w:tc>
          <w:tcPr>
            <w:tcW w:type="dxa" w:w="435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PRESTADOR DEL SERVICIO</w:t>
            </w:r>
          </w:p>
        </w:tc>
        <w:tc>
          <w:tcPr>
            <w:tcW w:type="dxa" w:w="435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CLIENTE</w:t>
            </w:r>
          </w:p>
        </w:tc>
      </w:tr>
      <w:tr>
        <w:tc>
          <w:tcPr>
            <w:tcW w:type="dxa" w:w="4350"/>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DigitalAxios</w:t>
            </w:r>
          </w:p>
          <w:p>
            <w:pPr>
              <w:spacing w:after="60"/>
              <w:jc w:val="left"/>
            </w:pPr>
            <w:r>
              <w:rPr>
                <w:rFonts w:ascii="Calibri" w:cs="Calibri" w:eastAsia="Calibri" w:hAnsi="Calibri"/>
                <w:b w:val="false"/>
                <w:bCs w:val="false"/>
                <w:color w:val="111827"/>
                <w:sz w:val="20"/>
                <w:szCs w:val="20"/>
              </w:rPr>
              <w:t xml:space="preserve">Custom Software Engineering</w:t>
            </w:r>
          </w:p>
          <w:p>
            <w:pPr>
              <w:spacing w:after="0"/>
              <w:jc w:val="left"/>
            </w:pPr>
            <w:r>
              <w:rPr>
                <w:rFonts w:ascii="Calibri" w:cs="Calibri" w:eastAsia="Calibri" w:hAnsi="Calibri"/>
                <w:b w:val="false"/>
                <w:bCs w:val="false"/>
                <w:color w:val="111827"/>
                <w:sz w:val="20"/>
                <w:szCs w:val="20"/>
              </w:rPr>
              <w:t xml:space="preserve">Córdoba, Argentina</w:t>
            </w:r>
          </w:p>
        </w:tc>
        <w:tc>
          <w:tcPr>
            <w:tcW w:type="dxa" w:w="4350"/>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La Internacional Distribuidora</w:t>
            </w:r>
          </w:p>
          <w:p>
            <w:pPr>
              <w:spacing w:after="0"/>
              <w:jc w:val="left"/>
            </w:pPr>
            <w:r>
              <w:rPr>
                <w:rFonts w:ascii="Calibri" w:cs="Calibri" w:eastAsia="Calibri" w:hAnsi="Calibri"/>
                <w:b w:val="false"/>
                <w:bCs w:val="false"/>
                <w:color w:val="111827"/>
                <w:sz w:val="20"/>
                <w:szCs w:val="20"/>
              </w:rPr>
              <w:t xml:space="preserve">Córdoba, Argentina</w:t>
            </w:r>
          </w:p>
        </w:tc>
      </w:tr>
    </w:tbl>
    <w:p>
      <w:pPr>
        <w:spacing w:after="60"/>
      </w:pPr>
    </w:p>
    <w:p>
      <w:pPr>
        <w:spacing w:after="60"/>
      </w:pPr>
    </w:p>
    <w:p>
      <w:pPr>
        <w:jc w:val="center"/>
      </w:pPr>
      <w:r>
        <w:rPr>
          <w:rFonts w:ascii="Calibri" w:cs="Calibri" w:eastAsia="Calibri" w:hAnsi="Calibri"/>
          <w:i/>
          <w:iCs/>
          <w:color w:val="6A8A9A"/>
          <w:sz w:val="20"/>
          <w:szCs w:val="20"/>
        </w:rPr>
        <w:t xml:space="preserve">Fecha de celebración: Mayo 2026</w:t>
      </w:r>
    </w:p>
    <w:p>
      <w:pPr>
        <w:spacing w:after="400"/>
        <w:jc w:val="center"/>
      </w:pPr>
      <w:r>
        <w:rPr>
          <w:rFonts w:ascii="Calibri" w:cs="Calibri" w:eastAsia="Calibri" w:hAnsi="Calibri"/>
          <w:i/>
          <w:iCs/>
          <w:color w:val="6A8A9A"/>
          <w:sz w:val="20"/>
          <w:szCs w:val="20"/>
        </w:rPr>
        <w:t xml:space="preserve">Vigencia: según cronograma de hitos acordado + período de mantenimiento mensual</w:t>
      </w:r>
    </w:p>
    <w:p>
      <w:r>
        <w:br w:type="page"/>
      </w:r>
    </w:p>
    <w:p>
      <w:pPr>
        <w:pBdr>
          <w:bottom w:val="single" w:color="00C8E8" w:sz="10" w:space="4"/>
        </w:pBdr>
        <w:spacing w:after="160" w:before="360"/>
      </w:pPr>
      <w:r>
        <w:rPr>
          <w:rFonts w:ascii="Calibri" w:cs="Calibri" w:eastAsia="Calibri" w:hAnsi="Calibri"/>
          <w:b/>
          <w:bCs/>
          <w:color w:val="061428"/>
          <w:sz w:val="30"/>
          <w:szCs w:val="30"/>
        </w:rPr>
        <w:t xml:space="preserve">PREÁMBULO</w:t>
      </w:r>
    </w:p>
    <w:p>
      <w:pPr>
        <w:spacing w:after="100" w:line="310" w:lineRule="auto"/>
        <w:jc w:val="both"/>
      </w:pPr>
      <w:r>
        <w:rPr>
          <w:rFonts w:ascii="Calibri" w:cs="Calibri" w:eastAsia="Calibri" w:hAnsi="Calibri"/>
          <w:b w:val="false"/>
          <w:bCs w:val="false"/>
          <w:i w:val="false"/>
          <w:iCs w:val="false"/>
          <w:color w:val="111827"/>
          <w:sz w:val="21"/>
          <w:szCs w:val="21"/>
        </w:rPr>
        <w:t xml:space="preserve">El presente contrato regula la relación comercial y técnica entre DigitalAxios (en adelante "el Prestador") y La Internacional Distribuidora (en adelante "el Cliente") para el desarrollo, implementación y mantenimiento de una plataforma CRM integrada de gestión y automatización de comunicaciones.</w:t>
      </w:r>
    </w:p>
    <w:p>
      <w:pPr>
        <w:spacing w:after="100" w:line="310" w:lineRule="auto"/>
        <w:jc w:val="both"/>
      </w:pPr>
      <w:r>
        <w:rPr>
          <w:rFonts w:ascii="Calibri" w:cs="Calibri" w:eastAsia="Calibri" w:hAnsi="Calibri"/>
          <w:b w:val="false"/>
          <w:bCs w:val="false"/>
          <w:i w:val="false"/>
          <w:iCs w:val="false"/>
          <w:color w:val="111827"/>
          <w:sz w:val="21"/>
          <w:szCs w:val="21"/>
        </w:rPr>
        <w:t xml:space="preserve">Ambas partes declaran tener capacidad legal para celebrar el presente acuerdo y se obligan a cumplir los términos y condiciones que se detallan a continuación.</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1 — ALCANCE EXACTO DEL PROYECTO</w:t>
      </w:r>
    </w:p>
    <w:p>
      <w:pPr>
        <w:spacing w:after="100" w:line="310" w:lineRule="auto"/>
        <w:jc w:val="both"/>
      </w:pPr>
      <w:r>
        <w:rPr>
          <w:rFonts w:ascii="Calibri" w:cs="Calibri" w:eastAsia="Calibri" w:hAnsi="Calibri"/>
          <w:b w:val="false"/>
          <w:bCs w:val="false"/>
          <w:i w:val="false"/>
          <w:iCs w:val="false"/>
          <w:color w:val="111827"/>
          <w:sz w:val="21"/>
          <w:szCs w:val="21"/>
        </w:rPr>
        <w:t xml:space="preserve">El Prestador se compromete a desarrollar e implementar una plataforma CRM personalizada que incluye la totalidad de los siguientes módulos y funcionalidades:</w:t>
      </w:r>
    </w:p>
    <w:p>
      <w:pPr>
        <w:spacing w:after="60"/>
      </w:pPr>
    </w:p>
    <w:p>
      <w:pPr>
        <w:spacing w:after="100" w:before="240"/>
      </w:pPr>
      <w:r>
        <w:rPr>
          <w:rFonts w:ascii="Calibri" w:cs="Calibri" w:eastAsia="Calibri" w:hAnsi="Calibri"/>
          <w:b/>
          <w:bCs/>
          <w:color w:val="061428"/>
          <w:sz w:val="24"/>
          <w:szCs w:val="24"/>
        </w:rPr>
        <w:t xml:space="preserve">1.1 Módulos de desarrollo incluidos</w:t>
      </w: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tblGrid>
      <w:tr>
        <w:tc>
          <w:tcPr>
            <w:tcW w:type="dxa" w:w="2436"/>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Módulo</w:t>
            </w:r>
          </w:p>
        </w:tc>
        <w:tc>
          <w:tcPr>
            <w:tcW w:type="dxa" w:w="6264"/>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Descripción técnica incluida</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CRM Core &amp; Clientes</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Gestión completa de base de clientes: importación con validación anti-duplicados por número, asignación automática de asesora según tipo de cliente, filtros avanzados y búsqueda. Integración con Google Contacts API para registro directo en dispositivos móviles.</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Bandeja Unificada &amp; Oportunidades</w:t>
            </w:r>
          </w:p>
        </w:tc>
        <w:tc>
          <w:tcPr>
            <w:tcW w:type="dxa" w:w="626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Bandeja unificada omnicanal con filtros específicos, creación de nuevos contactos desde la conversación, notificaciones en tiempo real con dominio propio. Gestión de oportunidades por estado (nuevo, contactado, interesado, negociando, ganado, perdido).</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Motor de Difusiones &amp; Plantillas</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Creación y gestión de plantillas por tipo de cliente, restricciones y límites de envío configurables, sincronización directa con Meta para revisión y aprobación. Campañas masivas con tracking de entrega, lectura y respuesta.</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Microservicio Postventa</w:t>
            </w:r>
          </w:p>
        </w:tc>
        <w:tc>
          <w:tcPr>
            <w:tcW w:type="dxa" w:w="626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Seguimientos automáticos configurables a 3, 7 y 20 días post-venta. Lógica de recuperación de oportunidades en estado "Perdida". Encuestas automáticas de feedback para ventas completadas.</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Visibilidad Global de Conversaciones</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Acceso al historial completo y cruzado de conversaciones para perfil administrador. Auditoría y supervisión de todas las interacciones del equipo. (Módulo extra incluido sin costo adicional.)</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Bot IA de Soporte 24/7</w:t>
            </w:r>
          </w:p>
        </w:tc>
        <w:tc>
          <w:tcPr>
            <w:tcW w:type="dxa" w:w="626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Asistente inteligente integrado para asesoras: explica el funcionamiento del sistema, asiste en resolución de dudas operativas y detecta errores en tiempo real. (Módulo extra incluido sin costo adicional.)</w:t>
            </w:r>
          </w:p>
        </w:tc>
      </w:tr>
    </w:tbl>
    <w:p>
      <w:pPr>
        <w:spacing w:after="60"/>
      </w:pPr>
    </w:p>
    <w:p>
      <w:pPr>
        <w:spacing w:after="100" w:before="240"/>
      </w:pPr>
      <w:r>
        <w:rPr>
          <w:rFonts w:ascii="Calibri" w:cs="Calibri" w:eastAsia="Calibri" w:hAnsi="Calibri"/>
          <w:b/>
          <w:bCs/>
          <w:color w:val="061428"/>
          <w:sz w:val="24"/>
          <w:szCs w:val="24"/>
        </w:rPr>
        <w:t xml:space="preserve">1.2 Funcionalidades transversales incluidas</w:t>
      </w:r>
    </w:p>
    <w:p>
      <w:pPr>
        <w:pStyle w:val="ListParagraph"/>
        <w:numPr>
          <w:ilvl w:val="0"/>
          <w:numId w:val="1"/>
        </w:numPr>
        <w:spacing w:after="60" w:line="300" w:lineRule="auto"/>
      </w:pPr>
      <w:r>
        <w:rPr>
          <w:rFonts w:ascii="Calibri" w:cs="Calibri" w:eastAsia="Calibri" w:hAnsi="Calibri"/>
          <w:color w:val="111827"/>
          <w:sz w:val="21"/>
          <w:szCs w:val="21"/>
        </w:rPr>
        <w:t xml:space="preserve">Integración con hasta 6 líneas de WhatsApp Cloud API (API oficial de Meta) + 2 perfiles de administrador.</w:t>
      </w:r>
    </w:p>
    <w:p>
      <w:pPr>
        <w:pStyle w:val="ListParagraph"/>
        <w:numPr>
          <w:ilvl w:val="0"/>
          <w:numId w:val="1"/>
        </w:numPr>
        <w:spacing w:after="60" w:line="300" w:lineRule="auto"/>
      </w:pPr>
      <w:r>
        <w:rPr>
          <w:rFonts w:ascii="Calibri" w:cs="Calibri" w:eastAsia="Calibri" w:hAnsi="Calibri"/>
          <w:color w:val="111827"/>
          <w:sz w:val="21"/>
          <w:szCs w:val="21"/>
        </w:rPr>
        <w:t xml:space="preserve">Sistema de roles y permisos: perfil administrador con visibilidad total y perfil asesora con vista restringida a su cartera de clientes.</w:t>
      </w:r>
    </w:p>
    <w:p>
      <w:pPr>
        <w:pStyle w:val="ListParagraph"/>
        <w:numPr>
          <w:ilvl w:val="0"/>
          <w:numId w:val="1"/>
        </w:numPr>
        <w:spacing w:after="60" w:line="300" w:lineRule="auto"/>
      </w:pPr>
      <w:r>
        <w:rPr>
          <w:rFonts w:ascii="Calibri" w:cs="Calibri" w:eastAsia="Calibri" w:hAnsi="Calibri"/>
          <w:color w:val="111827"/>
          <w:sz w:val="21"/>
          <w:szCs w:val="21"/>
        </w:rPr>
        <w:t xml:space="preserve">Analíticas y reportes: métricas de desempeño por asesora, por canal, tasa de conversión, tiempos de respuesta y eficacia de difusiones.</w:t>
      </w:r>
    </w:p>
    <w:p>
      <w:pPr>
        <w:pStyle w:val="ListParagraph"/>
        <w:numPr>
          <w:ilvl w:val="0"/>
          <w:numId w:val="1"/>
        </w:numPr>
        <w:spacing w:after="60" w:line="300" w:lineRule="auto"/>
      </w:pPr>
      <w:r>
        <w:rPr>
          <w:rFonts w:ascii="Calibri" w:cs="Calibri" w:eastAsia="Calibri" w:hAnsi="Calibri"/>
          <w:color w:val="111827"/>
          <w:sz w:val="21"/>
          <w:szCs w:val="21"/>
        </w:rPr>
        <w:t xml:space="preserve">Capacitación del equipo incluida (ver Cláusula 6).</w:t>
      </w:r>
    </w:p>
    <w:p>
      <w:pPr>
        <w:pStyle w:val="ListParagraph"/>
        <w:numPr>
          <w:ilvl w:val="0"/>
          <w:numId w:val="1"/>
        </w:numPr>
        <w:spacing w:after="60" w:line="300" w:lineRule="auto"/>
      </w:pPr>
      <w:r>
        <w:rPr>
          <w:rFonts w:ascii="Calibri" w:cs="Calibri" w:eastAsia="Calibri" w:hAnsi="Calibri"/>
          <w:color w:val="111827"/>
          <w:sz w:val="21"/>
          <w:szCs w:val="21"/>
        </w:rPr>
        <w:t xml:space="preserve">Deployment en entorno productivo en la nube con dominio propio.</w:t>
      </w:r>
    </w:p>
    <w:p>
      <w:pPr>
        <w:pStyle w:val="ListParagraph"/>
        <w:numPr>
          <w:ilvl w:val="0"/>
          <w:numId w:val="1"/>
        </w:numPr>
        <w:spacing w:after="60" w:line="300" w:lineRule="auto"/>
      </w:pPr>
      <w:r>
        <w:rPr>
          <w:rFonts w:ascii="Calibri" w:cs="Calibri" w:eastAsia="Calibri" w:hAnsi="Calibri"/>
          <w:color w:val="111827"/>
          <w:sz w:val="21"/>
          <w:szCs w:val="21"/>
        </w:rPr>
        <w:t xml:space="preserve">Integración con Instagram Business API (condicionada a disponibilidad de la cuenta del Cliente al momento de implementación).</w:t>
      </w:r>
    </w:p>
    <w:p>
      <w:pPr>
        <w:spacing w:after="60"/>
      </w:pPr>
    </w:p>
    <w:p>
      <w:pPr>
        <w:pBdr>
          <w:left w:val="single" w:color="00C8E8" w:sz="14" w:space="8"/>
        </w:pBdr>
        <w:shd w:fill="F4F7FA" w:color="auto" w:val="clear"/>
        <w:spacing w:after="100" w:before="100" w:line="290" w:lineRule="auto"/>
        <w:ind w:left="280" w:right="280"/>
      </w:pPr>
      <w:r>
        <w:rPr>
          <w:rFonts w:ascii="Calibri" w:cs="Calibri" w:eastAsia="Calibri" w:hAnsi="Calibri"/>
          <w:i/>
          <w:iCs/>
          <w:color w:val="6A8A9A"/>
          <w:sz w:val="19"/>
          <w:szCs w:val="19"/>
        </w:rPr>
        <w:t xml:space="preserve">Todo lo no listado explícitamente en esta cláusula se considerará fuera del alcance y podrá cotizarse como desarrollo adicional según Cláusula 8.</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2 — PROPIEDAD DE DATOS Y ACCESO</w:t>
      </w:r>
    </w:p>
    <w:p>
      <w:pPr>
        <w:spacing w:after="100" w:line="310" w:lineRule="auto"/>
        <w:jc w:val="both"/>
      </w:pPr>
      <w:r>
        <w:rPr>
          <w:rFonts w:ascii="Calibri" w:cs="Calibri" w:eastAsia="Calibri" w:hAnsi="Calibri"/>
          <w:b w:val="false"/>
          <w:bCs w:val="false"/>
          <w:i w:val="false"/>
          <w:iCs w:val="false"/>
          <w:color w:val="111827"/>
          <w:sz w:val="21"/>
          <w:szCs w:val="21"/>
        </w:rPr>
        <w:t xml:space="preserve">La Internacional Distribuidora es la única y legítima propietaria de todos los datos generados y almacenados en la plataforma. El Prestador reconoce expresamente que no tiene ningún derecho de propiedad sobre dichos datos.</w:t>
      </w:r>
    </w:p>
    <w:p>
      <w:pPr>
        <w:spacing w:after="60"/>
      </w:pPr>
    </w:p>
    <w:p>
      <w:pPr>
        <w:spacing w:after="100" w:before="240"/>
      </w:pPr>
      <w:r>
        <w:rPr>
          <w:rFonts w:ascii="Calibri" w:cs="Calibri" w:eastAsia="Calibri" w:hAnsi="Calibri"/>
          <w:b/>
          <w:bCs/>
          <w:color w:val="061428"/>
          <w:sz w:val="24"/>
          <w:szCs w:val="24"/>
        </w:rPr>
        <w:t xml:space="preserve">2.1 Datos de propiedad exclusiva del Cliente</w:t>
      </w:r>
    </w:p>
    <w:p>
      <w:pPr>
        <w:pStyle w:val="ListParagraph"/>
        <w:numPr>
          <w:ilvl w:val="0"/>
          <w:numId w:val="1"/>
        </w:numPr>
        <w:spacing w:after="60" w:line="300" w:lineRule="auto"/>
      </w:pPr>
      <w:r>
        <w:rPr>
          <w:rFonts w:ascii="Calibri" w:cs="Calibri" w:eastAsia="Calibri" w:hAnsi="Calibri"/>
          <w:color w:val="111827"/>
          <w:sz w:val="21"/>
          <w:szCs w:val="21"/>
        </w:rPr>
        <w:t xml:space="preserve">Base de clientes completa (nombres, teléfonos, historial de contactos, segmentación).</w:t>
      </w:r>
    </w:p>
    <w:p>
      <w:pPr>
        <w:pStyle w:val="ListParagraph"/>
        <w:numPr>
          <w:ilvl w:val="0"/>
          <w:numId w:val="1"/>
        </w:numPr>
        <w:spacing w:after="60" w:line="300" w:lineRule="auto"/>
      </w:pPr>
      <w:r>
        <w:rPr>
          <w:rFonts w:ascii="Calibri" w:cs="Calibri" w:eastAsia="Calibri" w:hAnsi="Calibri"/>
          <w:color w:val="111827"/>
          <w:sz w:val="21"/>
          <w:szCs w:val="21"/>
        </w:rPr>
        <w:t xml:space="preserve">Historial íntegro de conversaciones con cada cliente en todos los canales.</w:t>
      </w:r>
    </w:p>
    <w:p>
      <w:pPr>
        <w:pStyle w:val="ListParagraph"/>
        <w:numPr>
          <w:ilvl w:val="0"/>
          <w:numId w:val="1"/>
        </w:numPr>
        <w:spacing w:after="60" w:line="300" w:lineRule="auto"/>
      </w:pPr>
      <w:r>
        <w:rPr>
          <w:rFonts w:ascii="Calibri" w:cs="Calibri" w:eastAsia="Calibri" w:hAnsi="Calibri"/>
          <w:color w:val="111827"/>
          <w:sz w:val="21"/>
          <w:szCs w:val="21"/>
        </w:rPr>
        <w:t xml:space="preserve">Plantillas de mensajes creadas y aprobadas.</w:t>
      </w:r>
    </w:p>
    <w:p>
      <w:pPr>
        <w:pStyle w:val="ListParagraph"/>
        <w:numPr>
          <w:ilvl w:val="0"/>
          <w:numId w:val="1"/>
        </w:numPr>
        <w:spacing w:after="60" w:line="300" w:lineRule="auto"/>
      </w:pPr>
      <w:r>
        <w:rPr>
          <w:rFonts w:ascii="Calibri" w:cs="Calibri" w:eastAsia="Calibri" w:hAnsi="Calibri"/>
          <w:color w:val="111827"/>
          <w:sz w:val="21"/>
          <w:szCs w:val="21"/>
        </w:rPr>
        <w:t xml:space="preserve">Métricas, reportes y analíticas generadas por el sistema.</w:t>
      </w:r>
    </w:p>
    <w:p>
      <w:pPr>
        <w:pStyle w:val="ListParagraph"/>
        <w:numPr>
          <w:ilvl w:val="0"/>
          <w:numId w:val="1"/>
        </w:numPr>
        <w:spacing w:after="60" w:line="300" w:lineRule="auto"/>
      </w:pPr>
      <w:r>
        <w:rPr>
          <w:rFonts w:ascii="Calibri" w:cs="Calibri" w:eastAsia="Calibri" w:hAnsi="Calibri"/>
          <w:color w:val="111827"/>
          <w:sz w:val="21"/>
          <w:szCs w:val="21"/>
        </w:rPr>
        <w:t xml:space="preserve">Campañas de difusión y sus resultados.</w:t>
      </w:r>
    </w:p>
    <w:p>
      <w:pPr>
        <w:pStyle w:val="ListParagraph"/>
        <w:numPr>
          <w:ilvl w:val="0"/>
          <w:numId w:val="1"/>
        </w:numPr>
        <w:spacing w:after="60" w:line="300" w:lineRule="auto"/>
      </w:pPr>
      <w:r>
        <w:rPr>
          <w:rFonts w:ascii="Calibri" w:cs="Calibri" w:eastAsia="Calibri" w:hAnsi="Calibri"/>
          <w:color w:val="111827"/>
          <w:sz w:val="21"/>
          <w:szCs w:val="21"/>
        </w:rPr>
        <w:t xml:space="preserve">Configuraciones de secuencias de postventa.</w:t>
      </w:r>
    </w:p>
    <w:p>
      <w:pPr>
        <w:spacing w:after="60"/>
      </w:pPr>
    </w:p>
    <w:p>
      <w:pPr>
        <w:spacing w:after="100" w:before="240"/>
      </w:pPr>
      <w:r>
        <w:rPr>
          <w:rFonts w:ascii="Calibri" w:cs="Calibri" w:eastAsia="Calibri" w:hAnsi="Calibri"/>
          <w:b/>
          <w:bCs/>
          <w:color w:val="061428"/>
          <w:sz w:val="24"/>
          <w:szCs w:val="24"/>
        </w:rPr>
        <w:t xml:space="preserve">2.2 Exportación de datos</w:t>
      </w:r>
    </w:p>
    <w:p>
      <w:pPr>
        <w:spacing w:after="100" w:line="310" w:lineRule="auto"/>
        <w:jc w:val="both"/>
      </w:pPr>
      <w:r>
        <w:rPr>
          <w:rFonts w:ascii="Calibri" w:cs="Calibri" w:eastAsia="Calibri" w:hAnsi="Calibri"/>
          <w:b w:val="false"/>
          <w:bCs w:val="false"/>
          <w:i w:val="false"/>
          <w:iCs w:val="false"/>
          <w:color w:val="111827"/>
          <w:sz w:val="21"/>
          <w:szCs w:val="21"/>
        </w:rPr>
        <w:t xml:space="preserve">El Cliente tiene derecho a solicitar la exportación completa de sus datos en cualquier momento durante la vigencia del contrato, en formato CSV o Excel, sin costo adicional. El Prestador deberá entregar los datos dentro de los 5 (cinco) días hábiles siguientes a la solicitud. En caso de finalización del vínculo, aplican los términos de la Cláusula 12.</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3 — SOPORTE TÉCNICO</w:t>
      </w: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tblGrid>
      <w:tr>
        <w:tc>
          <w:tcPr>
            <w:tcW w:type="dxa" w:w="3045"/>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Concepto</w:t>
            </w:r>
          </w:p>
        </w:tc>
        <w:tc>
          <w:tcPr>
            <w:tcW w:type="dxa" w:w="5655"/>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Detalle</w:t>
            </w:r>
          </w:p>
        </w:tc>
      </w:tr>
      <w:tr>
        <w:tc>
          <w:tcPr>
            <w:tcW w:type="dxa" w:w="3045"/>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Horario de soporte</w:t>
            </w:r>
          </w:p>
        </w:tc>
        <w:tc>
          <w:tcPr>
            <w:tcW w:type="dxa" w:w="5655"/>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Lunes a viernes 9:00–18:00 hs (Argentina, GMT-3). Sábados 9:00–13:00 hs para incidencias críticas.</w:t>
            </w:r>
          </w:p>
        </w:tc>
      </w:tr>
      <w:tr>
        <w:tc>
          <w:tcPr>
            <w:tcW w:type="dxa" w:w="3045"/>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Canal principal</w:t>
            </w:r>
          </w:p>
        </w:tc>
        <w:tc>
          <w:tcPr>
            <w:tcW w:type="dxa" w:w="5655"/>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Grupo de WhatsApp dedicado al proyecto (creado al inicio del Hito 1).</w:t>
            </w:r>
          </w:p>
        </w:tc>
      </w:tr>
      <w:tr>
        <w:tc>
          <w:tcPr>
            <w:tcW w:type="dxa" w:w="3045"/>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Canal secundario</w:t>
            </w:r>
          </w:p>
        </w:tc>
        <w:tc>
          <w:tcPr>
            <w:tcW w:type="dxa" w:w="5655"/>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Correo electrónico del equipo DigitalAxios.</w:t>
            </w:r>
          </w:p>
        </w:tc>
      </w:tr>
      <w:tr>
        <w:tc>
          <w:tcPr>
            <w:tcW w:type="dxa" w:w="3045"/>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Tiempo máximo de respuesta</w:t>
            </w:r>
          </w:p>
        </w:tc>
        <w:tc>
          <w:tcPr>
            <w:tcW w:type="dxa" w:w="5655"/>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4 horas hábiles desde la notificación del incidente.</w:t>
            </w:r>
          </w:p>
        </w:tc>
      </w:tr>
      <w:tr>
        <w:tc>
          <w:tcPr>
            <w:tcW w:type="dxa" w:w="3045"/>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Crítico — resolución</w:t>
            </w:r>
          </w:p>
        </w:tc>
        <w:tc>
          <w:tcPr>
            <w:tcW w:type="dxa" w:w="5655"/>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Máximo 24 horas. Definición: sistema completamente inaccesible, imposibilidad total de enviar o recibir mensajes.</w:t>
            </w:r>
          </w:p>
        </w:tc>
      </w:tr>
      <w:tr>
        <w:tc>
          <w:tcPr>
            <w:tcW w:type="dxa" w:w="3045"/>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Operativo — resolución</w:t>
            </w:r>
          </w:p>
        </w:tc>
        <w:tc>
          <w:tcPr>
            <w:tcW w:type="dxa" w:w="5655"/>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Máximo 72 horas. Definición: una o más funcionalidades con comportamiento incorrecto pero el sistema sigue operativo.</w:t>
            </w:r>
          </w:p>
        </w:tc>
      </w:tr>
      <w:tr>
        <w:tc>
          <w:tcPr>
            <w:tcW w:type="dxa" w:w="3045"/>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Menor — resolución</w:t>
            </w:r>
          </w:p>
        </w:tc>
        <w:tc>
          <w:tcPr>
            <w:tcW w:type="dxa" w:w="5655"/>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Máximo 7 días hábiles. Definición: errores de visualización, textos o comportamientos no críticos.</w:t>
            </w:r>
          </w:p>
        </w:tc>
      </w:tr>
    </w:tbl>
    <w:p>
      <w:pPr>
        <w:spacing w:after="60"/>
      </w:pPr>
    </w:p>
    <w:p>
      <w:pPr>
        <w:pBdr>
          <w:left w:val="single" w:color="00C8E8" w:sz="14" w:space="8"/>
        </w:pBdr>
        <w:shd w:fill="F4F7FA" w:color="auto" w:val="clear"/>
        <w:spacing w:after="100" w:before="100" w:line="290" w:lineRule="auto"/>
        <w:ind w:left="280" w:right="280"/>
      </w:pPr>
      <w:r>
        <w:rPr>
          <w:rFonts w:ascii="Calibri" w:cs="Calibri" w:eastAsia="Calibri" w:hAnsi="Calibri"/>
          <w:i/>
          <w:iCs/>
          <w:color w:val="6A8A9A"/>
          <w:sz w:val="19"/>
          <w:szCs w:val="19"/>
        </w:rPr>
        <w:t xml:space="preserve">El soporte cubre únicamente la plataforma desarrollada. No incluye soporte sobre la infraestructura de Meta/WhatsApp, decisiones de Meta sobre cuentas, ni hardware del Cliente.</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4 — CRONOGRAMA DE ENTREGAS</w:t>
      </w:r>
    </w:p>
    <w:p>
      <w:pPr>
        <w:spacing w:after="100" w:line="310" w:lineRule="auto"/>
        <w:jc w:val="both"/>
      </w:pPr>
      <w:r>
        <w:rPr>
          <w:rFonts w:ascii="Calibri" w:cs="Calibri" w:eastAsia="Calibri" w:hAnsi="Calibri"/>
          <w:b w:val="false"/>
          <w:bCs w:val="false"/>
          <w:i w:val="false"/>
          <w:iCs w:val="false"/>
          <w:color w:val="111827"/>
          <w:sz w:val="21"/>
          <w:szCs w:val="21"/>
        </w:rPr>
        <w:t xml:space="preserve">El desarrollo se ejecuta en tres hitos auditables. Cada hito define funcionalidades que deben estar operativas para que el Cliente apruebe la entrega y se habilite el pago correspondiente.</w:t>
      </w:r>
    </w:p>
    <w:p>
      <w:pPr>
        <w:spacing w:after="60"/>
      </w:pP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gridCol w:w="100"/>
        <w:gridCol w:w="100"/>
      </w:tblGrid>
      <w:tr>
        <w:tc>
          <w:tcPr>
            <w:tcW w:type="dxa" w:w="1131"/>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Hito</w:t>
            </w:r>
          </w:p>
        </w:tc>
        <w:tc>
          <w:tcPr>
            <w:tcW w:type="dxa" w:w="783"/>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Semanas</w:t>
            </w:r>
          </w:p>
        </w:tc>
        <w:tc>
          <w:tcPr>
            <w:tcW w:type="dxa" w:w="522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Entregables operativos</w:t>
            </w:r>
          </w:p>
        </w:tc>
        <w:tc>
          <w:tcPr>
            <w:tcW w:type="dxa" w:w="1566"/>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Pago</w:t>
            </w:r>
          </w:p>
        </w:tc>
      </w:tr>
      <w:tr>
        <w:tc>
          <w:tcPr>
            <w:tcW w:type="dxa" w:w="1131"/>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Hito 1</w:t>
            </w:r>
          </w:p>
          <w:p>
            <w:pPr>
              <w:spacing w:after="0"/>
              <w:jc w:val="left"/>
            </w:pPr>
            <w:r>
              <w:rPr>
                <w:rFonts w:ascii="Calibri" w:cs="Calibri" w:eastAsia="Calibri" w:hAnsi="Calibri"/>
                <w:b w:val="false"/>
                <w:bCs w:val="false"/>
                <w:color w:val="111827"/>
                <w:sz w:val="20"/>
                <w:szCs w:val="20"/>
              </w:rPr>
              <w:t xml:space="preserve">Arranque</w:t>
            </w:r>
          </w:p>
        </w:tc>
        <w:tc>
          <w:tcPr>
            <w:tcW w:type="dxa" w:w="783"/>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1–2</w:t>
            </w:r>
          </w:p>
        </w:tc>
        <w:tc>
          <w:tcPr>
            <w:tcW w:type="dxa" w:w="5220"/>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 Setup de repositorios y entornos</w:t>
            </w:r>
          </w:p>
          <w:p>
            <w:pPr>
              <w:spacing w:after="60"/>
              <w:jc w:val="left"/>
            </w:pPr>
            <w:r>
              <w:rPr>
                <w:rFonts w:ascii="Calibri" w:cs="Calibri" w:eastAsia="Calibri" w:hAnsi="Calibri"/>
                <w:b w:val="false"/>
                <w:bCs w:val="false"/>
                <w:color w:val="111827"/>
                <w:sz w:val="20"/>
                <w:szCs w:val="20"/>
              </w:rPr>
              <w:t xml:space="preserve">• Diseño de arquitectura y base de datos</w:t>
            </w:r>
          </w:p>
          <w:p>
            <w:pPr>
              <w:spacing w:after="60"/>
              <w:jc w:val="left"/>
            </w:pPr>
            <w:r>
              <w:rPr>
                <w:rFonts w:ascii="Calibri" w:cs="Calibri" w:eastAsia="Calibri" w:hAnsi="Calibri"/>
                <w:b w:val="false"/>
                <w:bCs w:val="false"/>
                <w:color w:val="111827"/>
                <w:sz w:val="20"/>
                <w:szCs w:val="20"/>
              </w:rPr>
              <w:t xml:space="preserve">• Primeras plantillas gestionadas en Meta</w:t>
            </w:r>
          </w:p>
          <w:p>
            <w:pPr>
              <w:spacing w:after="60"/>
              <w:jc w:val="left"/>
            </w:pPr>
            <w:r>
              <w:rPr>
                <w:rFonts w:ascii="Calibri" w:cs="Calibri" w:eastAsia="Calibri" w:hAnsi="Calibri"/>
                <w:b w:val="false"/>
                <w:bCs w:val="false"/>
                <w:color w:val="111827"/>
                <w:sz w:val="20"/>
                <w:szCs w:val="20"/>
              </w:rPr>
              <w:t xml:space="preserve">• Prototipo navegable del sistema</w:t>
            </w:r>
          </w:p>
          <w:p>
            <w:pPr>
              <w:spacing w:after="0"/>
              <w:jc w:val="left"/>
            </w:pPr>
            <w:r>
              <w:rPr>
                <w:rFonts w:ascii="Calibri" w:cs="Calibri" w:eastAsia="Calibri" w:hAnsi="Calibri"/>
                <w:b w:val="false"/>
                <w:bCs w:val="false"/>
                <w:color w:val="111827"/>
                <w:sz w:val="20"/>
                <w:szCs w:val="20"/>
              </w:rPr>
              <w:t xml:space="preserve">• Canales WhatsApp conectados a entorno de prueba</w:t>
            </w:r>
          </w:p>
        </w:tc>
        <w:tc>
          <w:tcPr>
            <w:tcW w:type="dxa" w:w="1566"/>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USD 1.140</w:t>
            </w:r>
          </w:p>
          <w:p>
            <w:pPr>
              <w:spacing w:after="0"/>
              <w:jc w:val="left"/>
            </w:pPr>
            <w:r>
              <w:rPr>
                <w:rFonts w:ascii="Calibri" w:cs="Calibri" w:eastAsia="Calibri" w:hAnsi="Calibri"/>
                <w:b w:val="false"/>
                <w:bCs w:val="false"/>
                <w:color w:val="111827"/>
                <w:sz w:val="20"/>
                <w:szCs w:val="20"/>
              </w:rPr>
              <w:t xml:space="preserve">(30%)</w:t>
            </w:r>
          </w:p>
        </w:tc>
      </w:tr>
      <w:tr>
        <w:tc>
          <w:tcPr>
            <w:tcW w:type="dxa" w:w="1131"/>
            <w:shd w:fill="F4F7FA"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Hito 2</w:t>
            </w:r>
          </w:p>
          <w:p>
            <w:pPr>
              <w:spacing w:after="0"/>
              <w:jc w:val="left"/>
            </w:pPr>
            <w:r>
              <w:rPr>
                <w:rFonts w:ascii="Calibri" w:cs="Calibri" w:eastAsia="Calibri" w:hAnsi="Calibri"/>
                <w:b w:val="false"/>
                <w:bCs w:val="false"/>
                <w:color w:val="111827"/>
                <w:sz w:val="20"/>
                <w:szCs w:val="20"/>
              </w:rPr>
              <w:t xml:space="preserve">Núcleo</w:t>
            </w:r>
          </w:p>
        </w:tc>
        <w:tc>
          <w:tcPr>
            <w:tcW w:type="dxa" w:w="783"/>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3–5</w:t>
            </w:r>
          </w:p>
        </w:tc>
        <w:tc>
          <w:tcPr>
            <w:tcW w:type="dxa" w:w="5220"/>
            <w:shd w:fill="F4F7FA"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 CRM Core operativo: clientes, importación, asignación automática</w:t>
            </w:r>
          </w:p>
          <w:p>
            <w:pPr>
              <w:spacing w:after="60"/>
              <w:jc w:val="left"/>
            </w:pPr>
            <w:r>
              <w:rPr>
                <w:rFonts w:ascii="Calibri" w:cs="Calibri" w:eastAsia="Calibri" w:hAnsi="Calibri"/>
                <w:b w:val="false"/>
                <w:bCs w:val="false"/>
                <w:color w:val="111827"/>
                <w:sz w:val="20"/>
                <w:szCs w:val="20"/>
              </w:rPr>
              <w:t xml:space="preserve">• Motor de Difusiones y Plantillas funcional</w:t>
            </w:r>
          </w:p>
          <w:p>
            <w:pPr>
              <w:spacing w:after="60"/>
              <w:jc w:val="left"/>
            </w:pPr>
            <w:r>
              <w:rPr>
                <w:rFonts w:ascii="Calibri" w:cs="Calibri" w:eastAsia="Calibri" w:hAnsi="Calibri"/>
                <w:b w:val="false"/>
                <w:bCs w:val="false"/>
                <w:color w:val="111827"/>
                <w:sz w:val="20"/>
                <w:szCs w:val="20"/>
              </w:rPr>
              <w:t xml:space="preserve">• Integración Google Contacts API activa</w:t>
            </w:r>
          </w:p>
          <w:p>
            <w:pPr>
              <w:spacing w:after="60"/>
              <w:jc w:val="left"/>
            </w:pPr>
            <w:r>
              <w:rPr>
                <w:rFonts w:ascii="Calibri" w:cs="Calibri" w:eastAsia="Calibri" w:hAnsi="Calibri"/>
                <w:b w:val="false"/>
                <w:bCs w:val="false"/>
                <w:color w:val="111827"/>
                <w:sz w:val="20"/>
                <w:szCs w:val="20"/>
              </w:rPr>
              <w:t xml:space="preserve">• Validación anti-duplicados operativa</w:t>
            </w:r>
          </w:p>
          <w:p>
            <w:pPr>
              <w:spacing w:after="0"/>
              <w:jc w:val="left"/>
            </w:pPr>
            <w:r>
              <w:rPr>
                <w:rFonts w:ascii="Calibri" w:cs="Calibri" w:eastAsia="Calibri" w:hAnsi="Calibri"/>
                <w:b w:val="false"/>
                <w:bCs w:val="false"/>
                <w:color w:val="111827"/>
                <w:sz w:val="20"/>
                <w:szCs w:val="20"/>
              </w:rPr>
              <w:t xml:space="preserve">• Sistema de roles y permisos activo</w:t>
            </w:r>
          </w:p>
        </w:tc>
        <w:tc>
          <w:tcPr>
            <w:tcW w:type="dxa" w:w="1566"/>
            <w:shd w:fill="F4F7FA"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USD 1.140</w:t>
            </w:r>
          </w:p>
          <w:p>
            <w:pPr>
              <w:spacing w:after="0"/>
              <w:jc w:val="left"/>
            </w:pPr>
            <w:r>
              <w:rPr>
                <w:rFonts w:ascii="Calibri" w:cs="Calibri" w:eastAsia="Calibri" w:hAnsi="Calibri"/>
                <w:b w:val="false"/>
                <w:bCs w:val="false"/>
                <w:color w:val="111827"/>
                <w:sz w:val="20"/>
                <w:szCs w:val="20"/>
              </w:rPr>
              <w:t xml:space="preserve">(30%)</w:t>
            </w:r>
          </w:p>
        </w:tc>
      </w:tr>
      <w:tr>
        <w:tc>
          <w:tcPr>
            <w:tcW w:type="dxa" w:w="1131"/>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Hito 3</w:t>
            </w:r>
          </w:p>
          <w:p>
            <w:pPr>
              <w:spacing w:after="0"/>
              <w:jc w:val="left"/>
            </w:pPr>
            <w:r>
              <w:rPr>
                <w:rFonts w:ascii="Calibri" w:cs="Calibri" w:eastAsia="Calibri" w:hAnsi="Calibri"/>
                <w:b w:val="false"/>
                <w:bCs w:val="false"/>
                <w:color w:val="111827"/>
                <w:sz w:val="20"/>
                <w:szCs w:val="20"/>
              </w:rPr>
              <w:t xml:space="preserve">Producción</w:t>
            </w:r>
          </w:p>
        </w:tc>
        <w:tc>
          <w:tcPr>
            <w:tcW w:type="dxa" w:w="783"/>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6–8</w:t>
            </w:r>
          </w:p>
        </w:tc>
        <w:tc>
          <w:tcPr>
            <w:tcW w:type="dxa" w:w="5220"/>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 Bandeja Unificada omnicanal operativa</w:t>
            </w:r>
          </w:p>
          <w:p>
            <w:pPr>
              <w:spacing w:after="60"/>
              <w:jc w:val="left"/>
            </w:pPr>
            <w:r>
              <w:rPr>
                <w:rFonts w:ascii="Calibri" w:cs="Calibri" w:eastAsia="Calibri" w:hAnsi="Calibri"/>
                <w:b w:val="false"/>
                <w:bCs w:val="false"/>
                <w:color w:val="111827"/>
                <w:sz w:val="20"/>
                <w:szCs w:val="20"/>
              </w:rPr>
              <w:t xml:space="preserve">• Módulo de Postventa (3/7/20 días) activo</w:t>
            </w:r>
          </w:p>
          <w:p>
            <w:pPr>
              <w:spacing w:after="60"/>
              <w:jc w:val="left"/>
            </w:pPr>
            <w:r>
              <w:rPr>
                <w:rFonts w:ascii="Calibri" w:cs="Calibri" w:eastAsia="Calibri" w:hAnsi="Calibri"/>
                <w:b w:val="false"/>
                <w:bCs w:val="false"/>
                <w:color w:val="111827"/>
                <w:sz w:val="20"/>
                <w:szCs w:val="20"/>
              </w:rPr>
              <w:t xml:space="preserve">• Visibilidad global de conversaciones (admin)</w:t>
            </w:r>
          </w:p>
          <w:p>
            <w:pPr>
              <w:spacing w:after="60"/>
              <w:jc w:val="left"/>
            </w:pPr>
            <w:r>
              <w:rPr>
                <w:rFonts w:ascii="Calibri" w:cs="Calibri" w:eastAsia="Calibri" w:hAnsi="Calibri"/>
                <w:b w:val="false"/>
                <w:bCs w:val="false"/>
                <w:color w:val="111827"/>
                <w:sz w:val="20"/>
                <w:szCs w:val="20"/>
              </w:rPr>
              <w:t xml:space="preserve">• Bot IA de soporte integrado</w:t>
            </w:r>
          </w:p>
          <w:p>
            <w:pPr>
              <w:spacing w:after="60"/>
              <w:jc w:val="left"/>
            </w:pPr>
            <w:r>
              <w:rPr>
                <w:rFonts w:ascii="Calibri" w:cs="Calibri" w:eastAsia="Calibri" w:hAnsi="Calibri"/>
                <w:b w:val="false"/>
                <w:bCs w:val="false"/>
                <w:color w:val="111827"/>
                <w:sz w:val="20"/>
                <w:szCs w:val="20"/>
              </w:rPr>
              <w:t xml:space="preserve">• Analíticas y reportes activos</w:t>
            </w:r>
          </w:p>
          <w:p>
            <w:pPr>
              <w:spacing w:after="60"/>
              <w:jc w:val="left"/>
            </w:pPr>
            <w:r>
              <w:rPr>
                <w:rFonts w:ascii="Calibri" w:cs="Calibri" w:eastAsia="Calibri" w:hAnsi="Calibri"/>
                <w:b w:val="false"/>
                <w:bCs w:val="false"/>
                <w:color w:val="111827"/>
                <w:sz w:val="20"/>
                <w:szCs w:val="20"/>
              </w:rPr>
              <w:t xml:space="preserve">• Deploy en producción con dominio propio</w:t>
            </w:r>
          </w:p>
          <w:p>
            <w:pPr>
              <w:spacing w:after="0"/>
              <w:jc w:val="left"/>
            </w:pPr>
            <w:r>
              <w:rPr>
                <w:rFonts w:ascii="Calibri" w:cs="Calibri" w:eastAsia="Calibri" w:hAnsi="Calibri"/>
                <w:b w:val="false"/>
                <w:bCs w:val="false"/>
                <w:color w:val="111827"/>
                <w:sz w:val="20"/>
                <w:szCs w:val="20"/>
              </w:rPr>
              <w:t xml:space="preserve">• Capacitaciones realizadas</w:t>
            </w:r>
          </w:p>
        </w:tc>
        <w:tc>
          <w:tcPr>
            <w:tcW w:type="dxa" w:w="1566"/>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USD 1.520</w:t>
            </w:r>
          </w:p>
          <w:p>
            <w:pPr>
              <w:spacing w:after="0"/>
              <w:jc w:val="left"/>
            </w:pPr>
            <w:r>
              <w:rPr>
                <w:rFonts w:ascii="Calibri" w:cs="Calibri" w:eastAsia="Calibri" w:hAnsi="Calibri"/>
                <w:b w:val="false"/>
                <w:bCs w:val="false"/>
                <w:color w:val="111827"/>
                <w:sz w:val="20"/>
                <w:szCs w:val="20"/>
              </w:rPr>
              <w:t xml:space="preserve">(40%)</w:t>
            </w:r>
          </w:p>
        </w:tc>
      </w:tr>
    </w:tbl>
    <w:p>
      <w:pPr>
        <w:spacing w:after="60"/>
      </w:pPr>
    </w:p>
    <w:p>
      <w:pPr>
        <w:spacing w:after="100" w:line="310" w:lineRule="auto"/>
        <w:jc w:val="both"/>
      </w:pPr>
      <w:r>
        <w:rPr>
          <w:rFonts w:ascii="Calibri" w:cs="Calibri" w:eastAsia="Calibri" w:hAnsi="Calibri"/>
          <w:b w:val="false"/>
          <w:bCs w:val="false"/>
          <w:i w:val="false"/>
          <w:iCs w:val="false"/>
          <w:color w:val="111827"/>
          <w:sz w:val="21"/>
          <w:szCs w:val="21"/>
        </w:rPr>
        <w:t xml:space="preserve">Los plazos son estimativos y pueden extenderse hasta 5 días hábiles por hito sin penalización, notificando al Cliente con 48 horas de anticipación. Demoras mayores aplican lo dispuesto en la Cláusula 5.</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5 — ESQUEMA DE PAGOS</w:t>
      </w:r>
    </w:p>
    <w:p>
      <w:pPr>
        <w:spacing w:after="100" w:before="240"/>
      </w:pPr>
      <w:r>
        <w:rPr>
          <w:rFonts w:ascii="Calibri" w:cs="Calibri" w:eastAsia="Calibri" w:hAnsi="Calibri"/>
          <w:b/>
          <w:bCs/>
          <w:color w:val="061428"/>
          <w:sz w:val="24"/>
          <w:szCs w:val="24"/>
        </w:rPr>
        <w:t xml:space="preserve">5.1 Inversión de desarrollo — pago único por hitos</w:t>
      </w: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gridCol w:w="100"/>
      </w:tblGrid>
      <w:tr>
        <w:tc>
          <w:tcPr>
            <w:tcW w:type="dxa" w:w="3654"/>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Concepto</w:t>
            </w:r>
          </w:p>
        </w:tc>
        <w:tc>
          <w:tcPr>
            <w:tcW w:type="dxa" w:w="1392"/>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Monto</w:t>
            </w:r>
          </w:p>
        </w:tc>
        <w:tc>
          <w:tcPr>
            <w:tcW w:type="dxa" w:w="3654"/>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Condición de pago</w:t>
            </w:r>
          </w:p>
        </w:tc>
      </w:tr>
      <w:tr>
        <w:tc>
          <w:tcPr>
            <w:tcW w:type="dxa" w:w="365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Hito 1 — Arranque y arquitectura</w:t>
            </w:r>
          </w:p>
        </w:tc>
        <w:tc>
          <w:tcPr>
            <w:tcW w:type="dxa" w:w="1392"/>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USD 1.140</w:t>
            </w:r>
          </w:p>
        </w:tc>
        <w:tc>
          <w:tcPr>
            <w:tcW w:type="dxa" w:w="365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Al firmar el presente contrato, antes del inicio del desarrollo.</w:t>
            </w:r>
          </w:p>
        </w:tc>
      </w:tr>
      <w:tr>
        <w:tc>
          <w:tcPr>
            <w:tcW w:type="dxa" w:w="365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Hito 2 — CRM Core y Difusiones</w:t>
            </w:r>
          </w:p>
        </w:tc>
        <w:tc>
          <w:tcPr>
            <w:tcW w:type="dxa" w:w="1392"/>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USD 1.140</w:t>
            </w:r>
          </w:p>
        </w:tc>
        <w:tc>
          <w:tcPr>
            <w:tcW w:type="dxa" w:w="365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 la entrega y aprobación funcional del Hito 1.</w:t>
            </w:r>
          </w:p>
        </w:tc>
      </w:tr>
      <w:tr>
        <w:tc>
          <w:tcPr>
            <w:tcW w:type="dxa" w:w="365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Hito 3 — Producción completa</w:t>
            </w:r>
          </w:p>
        </w:tc>
        <w:tc>
          <w:tcPr>
            <w:tcW w:type="dxa" w:w="1392"/>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USD 1.520</w:t>
            </w:r>
          </w:p>
        </w:tc>
        <w:tc>
          <w:tcPr>
            <w:tcW w:type="dxa" w:w="365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 la entrega y aprobación funcional del Hito 2.</w:t>
            </w:r>
          </w:p>
        </w:tc>
      </w:tr>
      <w:tr>
        <w:tc>
          <w:tcPr>
            <w:tcW w:type="dxa" w:w="365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TOTAL DESARROLLO</w:t>
            </w:r>
          </w:p>
        </w:tc>
        <w:tc>
          <w:tcPr>
            <w:tcW w:type="dxa" w:w="1392"/>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USD 3.800</w:t>
            </w:r>
          </w:p>
        </w:tc>
        <w:tc>
          <w:tcPr>
            <w:tcW w:type="dxa" w:w="365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Incluye todos los módulos y funcionalidades de la Cláusula 1, incluyendo módulos extra (Visibilidad Global y Bot IA).</w:t>
            </w:r>
          </w:p>
        </w:tc>
      </w:tr>
    </w:tbl>
    <w:p>
      <w:pPr>
        <w:spacing w:after="60"/>
      </w:pPr>
    </w:p>
    <w:p>
      <w:pPr>
        <w:spacing w:after="100" w:before="240"/>
      </w:pPr>
      <w:r>
        <w:rPr>
          <w:rFonts w:ascii="Calibri" w:cs="Calibri" w:eastAsia="Calibri" w:hAnsi="Calibri"/>
          <w:b/>
          <w:bCs/>
          <w:color w:val="061428"/>
          <w:sz w:val="24"/>
          <w:szCs w:val="24"/>
        </w:rPr>
        <w:t xml:space="preserve">5.2 Servicio mensual de mantenimiento y cloud</w:t>
      </w: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gridCol w:w="100"/>
      </w:tblGrid>
      <w:tr>
        <w:tc>
          <w:tcPr>
            <w:tcW w:type="dxa" w:w="261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Concepto</w:t>
            </w:r>
          </w:p>
        </w:tc>
        <w:tc>
          <w:tcPr>
            <w:tcW w:type="dxa" w:w="435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Descripción</w:t>
            </w:r>
          </w:p>
        </w:tc>
        <w:tc>
          <w:tcPr>
            <w:tcW w:type="dxa" w:w="174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Precio/mes</w:t>
            </w:r>
          </w:p>
        </w:tc>
      </w:tr>
      <w:tr>
        <w:tc>
          <w:tcPr>
            <w:tcW w:type="dxa" w:w="261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Suscripción Base y Dominio</w:t>
            </w:r>
          </w:p>
        </w:tc>
        <w:tc>
          <w:tcPr>
            <w:tcW w:type="dxa" w:w="435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Hosting en nube, mantenimiento de APIs, gestión de notificaciones y dominio propio.</w:t>
            </w:r>
          </w:p>
        </w:tc>
        <w:tc>
          <w:tcPr>
            <w:tcW w:type="dxa" w:w="174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USD 120</w:t>
            </w:r>
          </w:p>
        </w:tc>
      </w:tr>
      <w:tr>
        <w:tc>
          <w:tcPr>
            <w:tcW w:type="dxa" w:w="2610"/>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Analítica Personalizada</w:t>
            </w:r>
          </w:p>
        </w:tc>
        <w:tc>
          <w:tcPr>
            <w:tcW w:type="dxa" w:w="4350"/>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Métricas de conversión y desempeño 100% a medida de La Internacional.</w:t>
            </w:r>
          </w:p>
        </w:tc>
        <w:tc>
          <w:tcPr>
            <w:tcW w:type="dxa" w:w="1740"/>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USD 40</w:t>
            </w:r>
          </w:p>
        </w:tc>
      </w:tr>
      <w:tr>
        <w:tc>
          <w:tcPr>
            <w:tcW w:type="dxa" w:w="261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TOTAL MENSUAL</w:t>
            </w:r>
          </w:p>
        </w:tc>
        <w:tc>
          <w:tcPr>
            <w:tcW w:type="dxa" w:w="435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
            </w:r>
          </w:p>
        </w:tc>
        <w:tc>
          <w:tcPr>
            <w:tcW w:type="dxa" w:w="174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USD 160</w:t>
            </w:r>
          </w:p>
        </w:tc>
      </w:tr>
    </w:tbl>
    <w:p>
      <w:pPr>
        <w:spacing w:after="60"/>
      </w:pPr>
    </w:p>
    <w:p>
      <w:pPr>
        <w:pBdr>
          <w:left w:val="single" w:color="00C8E8" w:sz="14" w:space="8"/>
        </w:pBdr>
        <w:shd w:fill="F4F7FA" w:color="auto" w:val="clear"/>
        <w:spacing w:after="100" w:before="100" w:line="290" w:lineRule="auto"/>
        <w:ind w:left="280" w:right="280"/>
      </w:pPr>
      <w:r>
        <w:rPr>
          <w:rFonts w:ascii="Calibri" w:cs="Calibri" w:eastAsia="Calibri" w:hAnsi="Calibri"/>
          <w:i/>
          <w:iCs/>
          <w:color w:val="6A8A9A"/>
          <w:sz w:val="19"/>
          <w:szCs w:val="19"/>
        </w:rPr>
        <w:t xml:space="preserve">El servicio mensual comienza a facturarse a partir del inicio del Hito 3 (semana 6), con un período mínimo de compromiso de 6 (seis) meses.</w:t>
      </w:r>
    </w:p>
    <w:p>
      <w:pPr>
        <w:spacing w:after="60"/>
      </w:pPr>
    </w:p>
    <w:p>
      <w:pPr>
        <w:spacing w:after="100" w:before="240"/>
      </w:pPr>
      <w:r>
        <w:rPr>
          <w:rFonts w:ascii="Calibri" w:cs="Calibri" w:eastAsia="Calibri" w:hAnsi="Calibri"/>
          <w:b/>
          <w:bCs/>
          <w:color w:val="061428"/>
          <w:sz w:val="24"/>
          <w:szCs w:val="24"/>
        </w:rPr>
        <w:t xml:space="preserve">5.3 Medios de pago y penalidades</w:t>
      </w:r>
    </w:p>
    <w:p>
      <w:pPr>
        <w:pStyle w:val="ListParagraph"/>
        <w:numPr>
          <w:ilvl w:val="0"/>
          <w:numId w:val="1"/>
        </w:numPr>
        <w:spacing w:after="60" w:line="300" w:lineRule="auto"/>
      </w:pPr>
      <w:r>
        <w:rPr>
          <w:rFonts w:ascii="Calibri" w:cs="Calibri" w:eastAsia="Calibri" w:hAnsi="Calibri"/>
          <w:color w:val="111827"/>
          <w:sz w:val="21"/>
          <w:szCs w:val="21"/>
        </w:rPr>
        <w:t xml:space="preserve">Los pagos se realizan por transferencia bancaria, Mercado Pago u otro medio acordado entre las partes.</w:t>
      </w:r>
    </w:p>
    <w:p>
      <w:pPr>
        <w:pStyle w:val="ListParagraph"/>
        <w:numPr>
          <w:ilvl w:val="0"/>
          <w:numId w:val="1"/>
        </w:numPr>
        <w:spacing w:after="60" w:line="300" w:lineRule="auto"/>
      </w:pPr>
      <w:r>
        <w:rPr>
          <w:rFonts w:ascii="Calibri" w:cs="Calibri" w:eastAsia="Calibri" w:hAnsi="Calibri"/>
          <w:color w:val="111827"/>
          <w:sz w:val="21"/>
          <w:szCs w:val="21"/>
        </w:rPr>
        <w:t xml:space="preserve">Demora en el pago superior a 5 días hábiles: el Prestador podrá pausar el desarrollo hasta regularizar, sin penalización para el Prestador ni extensión automática de plazos.</w:t>
      </w:r>
    </w:p>
    <w:p>
      <w:pPr>
        <w:pStyle w:val="ListParagraph"/>
        <w:numPr>
          <w:ilvl w:val="0"/>
          <w:numId w:val="1"/>
        </w:numPr>
        <w:spacing w:after="60" w:line="300" w:lineRule="auto"/>
      </w:pPr>
      <w:r>
        <w:rPr>
          <w:rFonts w:ascii="Calibri" w:cs="Calibri" w:eastAsia="Calibri" w:hAnsi="Calibri"/>
          <w:color w:val="111827"/>
          <w:sz w:val="21"/>
          <w:szCs w:val="21"/>
        </w:rPr>
        <w:t xml:space="preserve">Si el Prestador supera los plazos por causa injustificada más de 10 días hábiles: el Cliente podrá descontar el 5% del monto del hito correspondiente por cada semana adicional de demora.</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6 — CAPACITACIÓN INCLUIDA</w:t>
      </w: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tblGrid>
      <w:tr>
        <w:tc>
          <w:tcPr>
            <w:tcW w:type="dxa" w:w="2436"/>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Aspecto</w:t>
            </w:r>
          </w:p>
        </w:tc>
        <w:tc>
          <w:tcPr>
            <w:tcW w:type="dxa" w:w="6264"/>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Detalle</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Cantidad de sesiones</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3 (tres) sesiones incluidas en el precio total del desarrollo.</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Distribución</w:t>
            </w:r>
          </w:p>
        </w:tc>
        <w:tc>
          <w:tcPr>
            <w:tcW w:type="dxa" w:w="6264"/>
            <w:shd w:fill="F4F7FA"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Sesión 1: Administradores — Inbox global, Analytics, configuración.</w:t>
            </w:r>
          </w:p>
          <w:p>
            <w:pPr>
              <w:spacing w:after="60"/>
              <w:jc w:val="left"/>
            </w:pPr>
            <w:r>
              <w:rPr>
                <w:rFonts w:ascii="Calibri" w:cs="Calibri" w:eastAsia="Calibri" w:hAnsi="Calibri"/>
                <w:b w:val="false"/>
                <w:bCs w:val="false"/>
                <w:color w:val="111827"/>
                <w:sz w:val="20"/>
                <w:szCs w:val="20"/>
              </w:rPr>
              <w:t xml:space="preserve">Sesión 2: Asesoras — Clientes, conversaciones y oportunidades.</w:t>
            </w:r>
          </w:p>
          <w:p>
            <w:pPr>
              <w:spacing w:after="0"/>
              <w:jc w:val="left"/>
            </w:pPr>
            <w:r>
              <w:rPr>
                <w:rFonts w:ascii="Calibri" w:cs="Calibri" w:eastAsia="Calibri" w:hAnsi="Calibri"/>
                <w:b w:val="false"/>
                <w:bCs w:val="false"/>
                <w:color w:val="111827"/>
                <w:sz w:val="20"/>
                <w:szCs w:val="20"/>
              </w:rPr>
              <w:t xml:space="preserve">Sesión 3: Asesoras — Difusiones, plantillas y postventa.</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Modalidad</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Videollamada en vivo por Google Meet, con acceso para todos los participantes necesarios.</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Grabaciones</w:t>
            </w:r>
          </w:p>
        </w:tc>
        <w:tc>
          <w:tcPr>
            <w:tcW w:type="dxa" w:w="626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Cada sesión será grabada y el video entregado al Cliente dentro de los 2 días hábiles siguientes.</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Soporte post-capacitación</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30 días calendario de soporte por WhatsApp para dudas surgidas del uso diario, sin costo adicional.</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Salida a producción</w:t>
            </w:r>
          </w:p>
        </w:tc>
        <w:tc>
          <w:tcPr>
            <w:tcW w:type="dxa" w:w="626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El Prestador acompaña el primer día de uso en producción con disponibilidad de respuesta inmediata durante las primeras 8 horas operativas.</w:t>
            </w:r>
          </w:p>
        </w:tc>
      </w:tr>
    </w:tbl>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7 — MANTENIMIENTO MENSUAL</w:t>
      </w:r>
    </w:p>
    <w:p>
      <w:pPr>
        <w:spacing w:after="100" w:before="240"/>
      </w:pPr>
      <w:r>
        <w:rPr>
          <w:rFonts w:ascii="Calibri" w:cs="Calibri" w:eastAsia="Calibri" w:hAnsi="Calibri"/>
          <w:b/>
          <w:bCs/>
          <w:color w:val="061428"/>
          <w:sz w:val="24"/>
          <w:szCs w:val="24"/>
        </w:rPr>
        <w:t xml:space="preserve">7.1 Qué incluye el servicio mensual (USD 160/mes)</w:t>
      </w:r>
    </w:p>
    <w:p>
      <w:pPr>
        <w:pStyle w:val="ListParagraph"/>
        <w:numPr>
          <w:ilvl w:val="0"/>
          <w:numId w:val="1"/>
        </w:numPr>
        <w:spacing w:after="60" w:line="300" w:lineRule="auto"/>
      </w:pPr>
      <w:r>
        <w:rPr>
          <w:rFonts w:ascii="Calibri" w:cs="Calibri" w:eastAsia="Calibri" w:hAnsi="Calibri"/>
          <w:color w:val="111827"/>
          <w:sz w:val="21"/>
          <w:szCs w:val="21"/>
        </w:rPr>
        <w:t xml:space="preserve">Corrección de bugs y errores funcionales detectados en producción.</w:t>
      </w:r>
    </w:p>
    <w:p>
      <w:pPr>
        <w:pStyle w:val="ListParagraph"/>
        <w:numPr>
          <w:ilvl w:val="0"/>
          <w:numId w:val="1"/>
        </w:numPr>
        <w:spacing w:after="60" w:line="300" w:lineRule="auto"/>
      </w:pPr>
      <w:r>
        <w:rPr>
          <w:rFonts w:ascii="Calibri" w:cs="Calibri" w:eastAsia="Calibri" w:hAnsi="Calibri"/>
          <w:color w:val="111827"/>
          <w:sz w:val="21"/>
          <w:szCs w:val="21"/>
        </w:rPr>
        <w:t xml:space="preserve">Actualización de integraciones ante cambios en las APIs de Meta/WhatsApp y otras plataformas conectadas.</w:t>
      </w:r>
    </w:p>
    <w:p>
      <w:pPr>
        <w:pStyle w:val="ListParagraph"/>
        <w:numPr>
          <w:ilvl w:val="0"/>
          <w:numId w:val="1"/>
        </w:numPr>
        <w:spacing w:after="60" w:line="300" w:lineRule="auto"/>
      </w:pPr>
      <w:r>
        <w:rPr>
          <w:rFonts w:ascii="Calibri" w:cs="Calibri" w:eastAsia="Calibri" w:hAnsi="Calibri"/>
          <w:color w:val="111827"/>
          <w:sz w:val="21"/>
          <w:szCs w:val="21"/>
        </w:rPr>
        <w:t xml:space="preserve">Backups automáticos diarios de la base de datos con retención de 7 días.</w:t>
      </w:r>
    </w:p>
    <w:p>
      <w:pPr>
        <w:pStyle w:val="ListParagraph"/>
        <w:numPr>
          <w:ilvl w:val="0"/>
          <w:numId w:val="1"/>
        </w:numPr>
        <w:spacing w:after="60" w:line="300" w:lineRule="auto"/>
      </w:pPr>
      <w:r>
        <w:rPr>
          <w:rFonts w:ascii="Calibri" w:cs="Calibri" w:eastAsia="Calibri" w:hAnsi="Calibri"/>
          <w:color w:val="111827"/>
          <w:sz w:val="21"/>
          <w:szCs w:val="21"/>
        </w:rPr>
        <w:t xml:space="preserve">Monitoreo de disponibilidad del sistema y alertas proactivas ante caídas.</w:t>
      </w:r>
    </w:p>
    <w:p>
      <w:pPr>
        <w:pStyle w:val="ListParagraph"/>
        <w:numPr>
          <w:ilvl w:val="0"/>
          <w:numId w:val="1"/>
        </w:numPr>
        <w:spacing w:after="60" w:line="300" w:lineRule="auto"/>
      </w:pPr>
      <w:r>
        <w:rPr>
          <w:rFonts w:ascii="Calibri" w:cs="Calibri" w:eastAsia="Calibri" w:hAnsi="Calibri"/>
          <w:color w:val="111827"/>
          <w:sz w:val="21"/>
          <w:szCs w:val="21"/>
        </w:rPr>
        <w:t xml:space="preserve">Restauración del servicio ante caídas no planificadas (SLA: menos de 4 horas para incidentes críticos).</w:t>
      </w:r>
    </w:p>
    <w:p>
      <w:pPr>
        <w:pStyle w:val="ListParagraph"/>
        <w:numPr>
          <w:ilvl w:val="0"/>
          <w:numId w:val="1"/>
        </w:numPr>
        <w:spacing w:after="60" w:line="300" w:lineRule="auto"/>
      </w:pPr>
      <w:r>
        <w:rPr>
          <w:rFonts w:ascii="Calibri" w:cs="Calibri" w:eastAsia="Calibri" w:hAnsi="Calibri"/>
          <w:color w:val="111827"/>
          <w:sz w:val="21"/>
          <w:szCs w:val="21"/>
        </w:rPr>
        <w:t xml:space="preserve">Pequeñas correcciones de comportamiento o visualización que no impliquen desarrollo de nuevas funcionalidades.</w:t>
      </w:r>
    </w:p>
    <w:p>
      <w:pPr>
        <w:pStyle w:val="ListParagraph"/>
        <w:numPr>
          <w:ilvl w:val="0"/>
          <w:numId w:val="1"/>
        </w:numPr>
        <w:spacing w:after="60" w:line="300" w:lineRule="auto"/>
      </w:pPr>
      <w:r>
        <w:rPr>
          <w:rFonts w:ascii="Calibri" w:cs="Calibri" w:eastAsia="Calibri" w:hAnsi="Calibri"/>
          <w:color w:val="111827"/>
          <w:sz w:val="21"/>
          <w:szCs w:val="21"/>
        </w:rPr>
        <w:t xml:space="preserve">Hosting en la nube (Railway.app), dominio propio y certificados SSL/TLS incluidos en el precio.</w:t>
      </w:r>
    </w:p>
    <w:p>
      <w:pPr>
        <w:pStyle w:val="ListParagraph"/>
        <w:numPr>
          <w:ilvl w:val="0"/>
          <w:numId w:val="1"/>
        </w:numPr>
        <w:spacing w:after="60" w:line="300" w:lineRule="auto"/>
      </w:pPr>
      <w:r>
        <w:rPr>
          <w:rFonts w:ascii="Calibri" w:cs="Calibri" w:eastAsia="Calibri" w:hAnsi="Calibri"/>
          <w:color w:val="111827"/>
          <w:sz w:val="21"/>
          <w:szCs w:val="21"/>
        </w:rPr>
        <w:t xml:space="preserve">Actualizaciones de seguridad del stack tecnológico (dependencias, frameworks).</w:t>
      </w:r>
    </w:p>
    <w:p>
      <w:pPr>
        <w:spacing w:after="60"/>
      </w:pPr>
    </w:p>
    <w:p>
      <w:pPr>
        <w:spacing w:after="100" w:before="240"/>
      </w:pPr>
      <w:r>
        <w:rPr>
          <w:rFonts w:ascii="Calibri" w:cs="Calibri" w:eastAsia="Calibri" w:hAnsi="Calibri"/>
          <w:b/>
          <w:bCs/>
          <w:color w:val="061428"/>
          <w:sz w:val="24"/>
          <w:szCs w:val="24"/>
        </w:rPr>
        <w:t xml:space="preserve">7.2 Qué NO incluye el servicio mensual</w:t>
      </w:r>
    </w:p>
    <w:p>
      <w:pPr>
        <w:pStyle w:val="ListParagraph"/>
        <w:numPr>
          <w:ilvl w:val="0"/>
          <w:numId w:val="1"/>
        </w:numPr>
        <w:spacing w:after="60" w:line="300" w:lineRule="auto"/>
      </w:pPr>
      <w:r>
        <w:rPr>
          <w:rFonts w:ascii="Calibri" w:cs="Calibri" w:eastAsia="Calibri" w:hAnsi="Calibri"/>
          <w:color w:val="111827"/>
          <w:sz w:val="21"/>
          <w:szCs w:val="21"/>
        </w:rPr>
        <w:t xml:space="preserve">Desarrollo de funcionalidades nuevas no contempladas en la Cláusula 1 (se cotizan por separado, ver Cláusula 8).</w:t>
      </w:r>
    </w:p>
    <w:p>
      <w:pPr>
        <w:pStyle w:val="ListParagraph"/>
        <w:numPr>
          <w:ilvl w:val="0"/>
          <w:numId w:val="1"/>
        </w:numPr>
        <w:spacing w:after="60" w:line="300" w:lineRule="auto"/>
      </w:pPr>
      <w:r>
        <w:rPr>
          <w:rFonts w:ascii="Calibri" w:cs="Calibri" w:eastAsia="Calibri" w:hAnsi="Calibri"/>
          <w:color w:val="111827"/>
          <w:sz w:val="21"/>
          <w:szCs w:val="21"/>
        </w:rPr>
        <w:t xml:space="preserve">Costos de la API de Meta/WhatsApp Business (conversaciones, plantillas): facturados directamente por Meta al Cliente.</w:t>
      </w:r>
    </w:p>
    <w:p>
      <w:pPr>
        <w:pStyle w:val="ListParagraph"/>
        <w:numPr>
          <w:ilvl w:val="0"/>
          <w:numId w:val="1"/>
        </w:numPr>
        <w:spacing w:after="60" w:line="300" w:lineRule="auto"/>
      </w:pPr>
      <w:r>
        <w:rPr>
          <w:rFonts w:ascii="Calibri" w:cs="Calibri" w:eastAsia="Calibri" w:hAnsi="Calibri"/>
          <w:color w:val="111827"/>
          <w:sz w:val="21"/>
          <w:szCs w:val="21"/>
        </w:rPr>
        <w:t xml:space="preserve">Soporte técnico de equipos, celulares o computadoras del Cliente.</w:t>
      </w:r>
    </w:p>
    <w:p>
      <w:pPr>
        <w:pStyle w:val="ListParagraph"/>
        <w:numPr>
          <w:ilvl w:val="0"/>
          <w:numId w:val="1"/>
        </w:numPr>
        <w:spacing w:after="60" w:line="300" w:lineRule="auto"/>
      </w:pPr>
      <w:r>
        <w:rPr>
          <w:rFonts w:ascii="Calibri" w:cs="Calibri" w:eastAsia="Calibri" w:hAnsi="Calibri"/>
          <w:color w:val="111827"/>
          <w:sz w:val="21"/>
          <w:szCs w:val="21"/>
        </w:rPr>
        <w:t xml:space="preserve">Gestión de cuentas o números de WhatsApp ante Meta (ver Cláusula 11).</w:t>
      </w:r>
    </w:p>
    <w:p>
      <w:pPr>
        <w:pStyle w:val="ListParagraph"/>
        <w:numPr>
          <w:ilvl w:val="0"/>
          <w:numId w:val="1"/>
        </w:numPr>
        <w:spacing w:after="60" w:line="300" w:lineRule="auto"/>
      </w:pPr>
      <w:r>
        <w:rPr>
          <w:rFonts w:ascii="Calibri" w:cs="Calibri" w:eastAsia="Calibri" w:hAnsi="Calibri"/>
          <w:color w:val="111827"/>
          <w:sz w:val="21"/>
          <w:szCs w:val="21"/>
        </w:rPr>
        <w:t xml:space="preserve">Capacitaciones adicionales más allá de las 3 incluidas (pueden contratarse por separado).</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8 — COSTOS FUTUROS Y DESARROLLOS ADICIONALES</w:t>
      </w:r>
    </w:p>
    <w:p>
      <w:pPr>
        <w:spacing w:after="100" w:before="240"/>
      </w:pPr>
      <w:r>
        <w:rPr>
          <w:rFonts w:ascii="Calibri" w:cs="Calibri" w:eastAsia="Calibri" w:hAnsi="Calibri"/>
          <w:b/>
          <w:bCs/>
          <w:color w:val="061428"/>
          <w:sz w:val="24"/>
          <w:szCs w:val="24"/>
        </w:rPr>
        <w:t xml:space="preserve">8.1 Definición de "funcionalidad nueva"</w:t>
      </w:r>
    </w:p>
    <w:p>
      <w:pPr>
        <w:spacing w:after="100" w:line="310" w:lineRule="auto"/>
        <w:jc w:val="both"/>
      </w:pPr>
      <w:r>
        <w:rPr>
          <w:rFonts w:ascii="Calibri" w:cs="Calibri" w:eastAsia="Calibri" w:hAnsi="Calibri"/>
          <w:b w:val="false"/>
          <w:bCs w:val="false"/>
          <w:i w:val="false"/>
          <w:iCs w:val="false"/>
          <w:color w:val="111827"/>
          <w:sz w:val="21"/>
          <w:szCs w:val="21"/>
        </w:rPr>
        <w:t xml:space="preserve">Se considera funcionalidad nueva cualquier desarrollo no contemplado explícitamente en la Cláusula 1. Ejemplos: nuevos módulos, integraciones con plataformas externas no previstas, cambios estructurales de flujos, rediseño de interfaz o reportes adicionales.</w:t>
      </w:r>
    </w:p>
    <w:p>
      <w:pPr>
        <w:spacing w:after="60"/>
      </w:pPr>
    </w:p>
    <w:p>
      <w:pPr>
        <w:spacing w:after="100" w:before="240"/>
      </w:pPr>
      <w:r>
        <w:rPr>
          <w:rFonts w:ascii="Calibri" w:cs="Calibri" w:eastAsia="Calibri" w:hAnsi="Calibri"/>
          <w:b/>
          <w:bCs/>
          <w:color w:val="061428"/>
          <w:sz w:val="24"/>
          <w:szCs w:val="24"/>
        </w:rPr>
        <w:t xml:space="preserve">8.2 Cotización de desarrollos adicionales</w:t>
      </w:r>
    </w:p>
    <w:p>
      <w:pPr>
        <w:spacing w:after="100" w:line="310" w:lineRule="auto"/>
        <w:jc w:val="both"/>
      </w:pPr>
      <w:r>
        <w:rPr>
          <w:rFonts w:ascii="Calibri" w:cs="Calibri" w:eastAsia="Calibri" w:hAnsi="Calibri"/>
          <w:b w:val="false"/>
          <w:bCs w:val="false"/>
          <w:i w:val="false"/>
          <w:iCs w:val="false"/>
          <w:color w:val="111827"/>
          <w:sz w:val="21"/>
          <w:szCs w:val="21"/>
        </w:rPr>
        <w:t xml:space="preserve">Toda funcionalidad nueva será cotizada mediante presupuesto escrito aceptado por el Cliente antes de iniciar el desarrollo. Tarifa de referencia: USD 60/hora de desarrollo, pudiendo variar según complejidad técnica.</w:t>
      </w:r>
    </w:p>
    <w:p>
      <w:pPr>
        <w:spacing w:after="60"/>
      </w:pPr>
    </w:p>
    <w:p>
      <w:pPr>
        <w:spacing w:after="100" w:before="240"/>
      </w:pPr>
      <w:r>
        <w:rPr>
          <w:rFonts w:ascii="Calibri" w:cs="Calibri" w:eastAsia="Calibri" w:hAnsi="Calibri"/>
          <w:b/>
          <w:bCs/>
          <w:color w:val="061428"/>
          <w:sz w:val="24"/>
          <w:szCs w:val="24"/>
        </w:rPr>
        <w:t xml:space="preserve">8.3 Límites incluidos sin costo adicional</w:t>
      </w: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gridCol w:w="100"/>
      </w:tblGrid>
      <w:tr>
        <w:tc>
          <w:tcPr>
            <w:tcW w:type="dxa" w:w="348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Concepto</w:t>
            </w:r>
          </w:p>
        </w:tc>
        <w:tc>
          <w:tcPr>
            <w:tcW w:type="dxa" w:w="261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Límite incluido</w:t>
            </w:r>
          </w:p>
        </w:tc>
        <w:tc>
          <w:tcPr>
            <w:tcW w:type="dxa" w:w="261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Costo si se supera</w:t>
            </w:r>
          </w:p>
        </w:tc>
      </w:tr>
      <w:tr>
        <w:tc>
          <w:tcPr>
            <w:tcW w:type="dxa" w:w="348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Usuarios del sistema</w:t>
            </w:r>
          </w:p>
        </w:tc>
        <w:tc>
          <w:tcPr>
            <w:tcW w:type="dxa" w:w="261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Hasta 10 usuarios totales</w:t>
            </w:r>
          </w:p>
        </w:tc>
        <w:tc>
          <w:tcPr>
            <w:tcW w:type="dxa" w:w="261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 cotizar por encima de 10.</w:t>
            </w:r>
          </w:p>
        </w:tc>
      </w:tr>
      <w:tr>
        <w:tc>
          <w:tcPr>
            <w:tcW w:type="dxa" w:w="3480"/>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Líneas de WhatsApp</w:t>
            </w:r>
          </w:p>
        </w:tc>
        <w:tc>
          <w:tcPr>
            <w:tcW w:type="dxa" w:w="2610"/>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Hasta 6 líneas activas</w:t>
            </w:r>
          </w:p>
        </w:tc>
        <w:tc>
          <w:tcPr>
            <w:tcW w:type="dxa" w:w="2610"/>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 cotizar por encima de 6.</w:t>
            </w:r>
          </w:p>
        </w:tc>
      </w:tr>
      <w:tr>
        <w:tc>
          <w:tcPr>
            <w:tcW w:type="dxa" w:w="348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Volumen de chats o mensajes</w:t>
            </w:r>
          </w:p>
        </w:tc>
        <w:tc>
          <w:tcPr>
            <w:tcW w:type="dxa" w:w="261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Sin límite del sistema</w:t>
            </w:r>
          </w:p>
        </w:tc>
        <w:tc>
          <w:tcPr>
            <w:tcW w:type="dxa" w:w="2610"/>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Los límites son los de Meta según tier de la WABA del Cliente.</w:t>
            </w:r>
          </w:p>
        </w:tc>
      </w:tr>
    </w:tbl>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9 — CONFIDENCIALIDAD</w:t>
      </w:r>
    </w:p>
    <w:p>
      <w:pPr>
        <w:spacing w:after="100" w:line="310" w:lineRule="auto"/>
        <w:jc w:val="both"/>
      </w:pPr>
      <w:r>
        <w:rPr>
          <w:rFonts w:ascii="Calibri" w:cs="Calibri" w:eastAsia="Calibri" w:hAnsi="Calibri"/>
          <w:b w:val="false"/>
          <w:bCs w:val="false"/>
          <w:i w:val="false"/>
          <w:iCs w:val="false"/>
          <w:color w:val="111827"/>
          <w:sz w:val="21"/>
          <w:szCs w:val="21"/>
        </w:rPr>
        <w:t xml:space="preserve">Ambas partes se comprometen a mantener la más estricta confidencialidad sobre toda la información a la que accedan en virtud del presente contrato. Esta obligación se extiende, sin limitación, a:</w:t>
      </w:r>
    </w:p>
    <w:p>
      <w:pPr>
        <w:pStyle w:val="ListParagraph"/>
        <w:numPr>
          <w:ilvl w:val="0"/>
          <w:numId w:val="1"/>
        </w:numPr>
        <w:spacing w:after="60" w:line="300" w:lineRule="auto"/>
      </w:pPr>
      <w:r>
        <w:rPr>
          <w:rFonts w:ascii="Calibri" w:cs="Calibri" w:eastAsia="Calibri" w:hAnsi="Calibri"/>
          <w:color w:val="111827"/>
          <w:sz w:val="21"/>
          <w:szCs w:val="21"/>
        </w:rPr>
        <w:t xml:space="preserve">Base de clientes e información personal de los mismos.</w:t>
      </w:r>
    </w:p>
    <w:p>
      <w:pPr>
        <w:pStyle w:val="ListParagraph"/>
        <w:numPr>
          <w:ilvl w:val="0"/>
          <w:numId w:val="1"/>
        </w:numPr>
        <w:spacing w:after="60" w:line="300" w:lineRule="auto"/>
      </w:pPr>
      <w:r>
        <w:rPr>
          <w:rFonts w:ascii="Calibri" w:cs="Calibri" w:eastAsia="Calibri" w:hAnsi="Calibri"/>
          <w:color w:val="111827"/>
          <w:sz w:val="21"/>
          <w:szCs w:val="21"/>
        </w:rPr>
        <w:t xml:space="preserve">Volumen, valor y condiciones de ventas realizadas.</w:t>
      </w:r>
    </w:p>
    <w:p>
      <w:pPr>
        <w:pStyle w:val="ListParagraph"/>
        <w:numPr>
          <w:ilvl w:val="0"/>
          <w:numId w:val="1"/>
        </w:numPr>
        <w:spacing w:after="60" w:line="300" w:lineRule="auto"/>
      </w:pPr>
      <w:r>
        <w:rPr>
          <w:rFonts w:ascii="Calibri" w:cs="Calibri" w:eastAsia="Calibri" w:hAnsi="Calibri"/>
          <w:color w:val="111827"/>
          <w:sz w:val="21"/>
          <w:szCs w:val="21"/>
        </w:rPr>
        <w:t xml:space="preserve">Historial de conversaciones e interacciones comerciales.</w:t>
      </w:r>
    </w:p>
    <w:p>
      <w:pPr>
        <w:pStyle w:val="ListParagraph"/>
        <w:numPr>
          <w:ilvl w:val="0"/>
          <w:numId w:val="1"/>
        </w:numPr>
        <w:spacing w:after="60" w:line="300" w:lineRule="auto"/>
      </w:pPr>
      <w:r>
        <w:rPr>
          <w:rFonts w:ascii="Calibri" w:cs="Calibri" w:eastAsia="Calibri" w:hAnsi="Calibri"/>
          <w:color w:val="111827"/>
          <w:sz w:val="21"/>
          <w:szCs w:val="21"/>
        </w:rPr>
        <w:t xml:space="preserve">Contenido y estrategia de campañas de difusión.</w:t>
      </w:r>
    </w:p>
    <w:p>
      <w:pPr>
        <w:pStyle w:val="ListParagraph"/>
        <w:numPr>
          <w:ilvl w:val="0"/>
          <w:numId w:val="1"/>
        </w:numPr>
        <w:spacing w:after="60" w:line="300" w:lineRule="auto"/>
      </w:pPr>
      <w:r>
        <w:rPr>
          <w:rFonts w:ascii="Calibri" w:cs="Calibri" w:eastAsia="Calibri" w:hAnsi="Calibri"/>
          <w:color w:val="111827"/>
          <w:sz w:val="21"/>
          <w:szCs w:val="21"/>
        </w:rPr>
        <w:t xml:space="preserve">Estructura de precios y condiciones comerciales.</w:t>
      </w:r>
    </w:p>
    <w:p>
      <w:pPr>
        <w:pStyle w:val="ListParagraph"/>
        <w:numPr>
          <w:ilvl w:val="0"/>
          <w:numId w:val="1"/>
        </w:numPr>
        <w:spacing w:after="60" w:line="300" w:lineRule="auto"/>
      </w:pPr>
      <w:r>
        <w:rPr>
          <w:rFonts w:ascii="Calibri" w:cs="Calibri" w:eastAsia="Calibri" w:hAnsi="Calibri"/>
          <w:color w:val="111827"/>
          <w:sz w:val="21"/>
          <w:szCs w:val="21"/>
        </w:rPr>
        <w:t xml:space="preserve">Información operativa interna del negocio del Cliente.</w:t>
      </w:r>
    </w:p>
    <w:p>
      <w:pPr>
        <w:pStyle w:val="ListParagraph"/>
        <w:numPr>
          <w:ilvl w:val="0"/>
          <w:numId w:val="1"/>
        </w:numPr>
        <w:spacing w:after="60" w:line="300" w:lineRule="auto"/>
      </w:pPr>
      <w:r>
        <w:rPr>
          <w:rFonts w:ascii="Calibri" w:cs="Calibri" w:eastAsia="Calibri" w:hAnsi="Calibri"/>
          <w:color w:val="111827"/>
          <w:sz w:val="21"/>
          <w:szCs w:val="21"/>
        </w:rPr>
        <w:t xml:space="preserve">Código fuente, arquitectura y know-how técnico del Prestador.</w:t>
      </w:r>
    </w:p>
    <w:p>
      <w:pPr>
        <w:spacing w:after="60"/>
      </w:pPr>
    </w:p>
    <w:p>
      <w:pPr>
        <w:spacing w:after="100" w:line="310" w:lineRule="auto"/>
        <w:jc w:val="both"/>
      </w:pPr>
      <w:r>
        <w:rPr>
          <w:rFonts w:ascii="Calibri" w:cs="Calibri" w:eastAsia="Calibri" w:hAnsi="Calibri"/>
          <w:b w:val="false"/>
          <w:bCs w:val="false"/>
          <w:i w:val="false"/>
          <w:iCs w:val="false"/>
          <w:color w:val="111827"/>
          <w:sz w:val="21"/>
          <w:szCs w:val="21"/>
        </w:rPr>
        <w:t xml:space="preserve">El Prestador no divulgará, cederá ni utilizará ningún dato del Cliente para fines distintos al desarrollo y operación del sistema contratado. Esta obligación de confidencialidad se mantiene por 3 (tres) años contados desde la finalización del vínculo contractual.</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10 — SEGURIDAD Y BACKUPS</w:t>
      </w: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tblGrid>
      <w:tr>
        <w:tc>
          <w:tcPr>
            <w:tcW w:type="dxa" w:w="2436"/>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Aspecto</w:t>
            </w:r>
          </w:p>
        </w:tc>
        <w:tc>
          <w:tcPr>
            <w:tcW w:type="dxa" w:w="6264"/>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Detalle</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Alojamiento de datos</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Servidores de Railway.app (infraestructura sobre AWS, región us-east-1).</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Cifrado en tránsito</w:t>
            </w:r>
          </w:p>
        </w:tc>
        <w:tc>
          <w:tcPr>
            <w:tcW w:type="dxa" w:w="626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TLS 1.2/1.3 en todas las comunicaciones entre cliente y servidor.</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Cifrado en reposo</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Base de datos almacenada con cifrado AES-256.</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Backups</w:t>
            </w:r>
          </w:p>
        </w:tc>
        <w:tc>
          <w:tcPr>
            <w:tcW w:type="dxa" w:w="626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Backup automático diario. Retención de 7 días. Backup manual disponible a solicitud.</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Recuperación ante fallas</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Restauración desde el último backup en menos de 4 horas hábiles desde la detección del problema.</w:t>
            </w:r>
          </w:p>
        </w:tc>
      </w:tr>
      <w:tr>
        <w:tc>
          <w:tcPr>
            <w:tcW w:type="dxa" w:w="2436"/>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Protección de accesos</w:t>
            </w:r>
          </w:p>
        </w:tc>
        <w:tc>
          <w:tcPr>
            <w:tcW w:type="dxa" w:w="6264"/>
            <w:shd w:fill="F4F7FA"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Autenticación con contraseña + JWT de corta vida (15 minutos) con token de renovación de 30 días. Límite de intentos fallidos de login.</w:t>
            </w:r>
          </w:p>
        </w:tc>
      </w:tr>
      <w:tr>
        <w:tc>
          <w:tcPr>
            <w:tcW w:type="dxa" w:w="2436"/>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Permisos de usuarios</w:t>
            </w:r>
          </w:p>
        </w:tc>
        <w:tc>
          <w:tcPr>
            <w:tcW w:type="dxa" w:w="6264"/>
            <w:shd w:fill="FFFFFF" w:color="auto" w:val="clear"/>
            <w:tcMar>
              <w:top w:type="dxa" w:w="120"/>
              <w:left w:type="dxa" w:w="180"/>
              <w:bottom w:type="dxa" w:w="120"/>
              <w:right w:type="dxa" w:w="180"/>
            </w:tcMar>
            <w:vAlign w:val="top"/>
          </w:tcPr>
          <w:p>
            <w:pPr>
              <w:spacing w:after="0"/>
              <w:jc w:val="left"/>
            </w:pPr>
            <w:r>
              <w:rPr>
                <w:rFonts w:ascii="Calibri" w:cs="Calibri" w:eastAsia="Calibri" w:hAnsi="Calibri"/>
                <w:b w:val="false"/>
                <w:bCs w:val="false"/>
                <w:color w:val="111827"/>
                <w:sz w:val="20"/>
                <w:szCs w:val="20"/>
              </w:rPr>
              <w:t xml:space="preserve">Sistema de roles granular: cada usuario accede únicamente a los datos correspondientes a su rol y cartera asignada. El administrador tiene visibilidad total con registro de auditoría.</w:t>
            </w:r>
          </w:p>
        </w:tc>
      </w:tr>
    </w:tbl>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11 — RESPONSABILIDAD ANTE BLOQUEOS O RESTRICCIONES DE META</w:t>
      </w:r>
    </w:p>
    <w:p>
      <w:pPr>
        <w:spacing w:after="100" w:line="310" w:lineRule="auto"/>
        <w:jc w:val="both"/>
      </w:pPr>
      <w:r>
        <w:rPr>
          <w:rFonts w:ascii="Calibri" w:cs="Calibri" w:eastAsia="Calibri" w:hAnsi="Calibri"/>
          <w:b w:val="false"/>
          <w:bCs w:val="false"/>
          <w:i w:val="false"/>
          <w:iCs w:val="false"/>
          <w:color w:val="111827"/>
          <w:sz w:val="21"/>
          <w:szCs w:val="21"/>
        </w:rPr>
        <w:t xml:space="preserve">El Prestador declara que la integración con WhatsApp se realiza exclusivamente mediante la API oficial de WhatsApp Business (Meta Cloud API), sin uso de herramientas no oficiales, emuladores ni técnicas de scraping.</w:t>
      </w:r>
    </w:p>
    <w:p>
      <w:pPr>
        <w:spacing w:after="60"/>
      </w:pPr>
    </w:p>
    <w:p>
      <w:pPr>
        <w:spacing w:after="100" w:before="240"/>
      </w:pPr>
      <w:r>
        <w:rPr>
          <w:rFonts w:ascii="Calibri" w:cs="Calibri" w:eastAsia="Calibri" w:hAnsi="Calibri"/>
          <w:b/>
          <w:bCs/>
          <w:color w:val="061428"/>
          <w:sz w:val="24"/>
          <w:szCs w:val="24"/>
        </w:rPr>
        <w:t xml:space="preserve">11.1 Buenas prácticas implementadas por el Prestador</w:t>
      </w:r>
    </w:p>
    <w:p>
      <w:pPr>
        <w:pStyle w:val="ListParagraph"/>
        <w:numPr>
          <w:ilvl w:val="0"/>
          <w:numId w:val="1"/>
        </w:numPr>
        <w:spacing w:after="60" w:line="300" w:lineRule="auto"/>
      </w:pPr>
      <w:r>
        <w:rPr>
          <w:rFonts w:ascii="Calibri" w:cs="Calibri" w:eastAsia="Calibri" w:hAnsi="Calibri"/>
          <w:color w:val="111827"/>
          <w:sz w:val="21"/>
          <w:szCs w:val="21"/>
        </w:rPr>
        <w:t xml:space="preserve">Uso exclusivo de la WhatsApp Cloud API oficial (v25.0 o superior).</w:t>
      </w:r>
    </w:p>
    <w:p>
      <w:pPr>
        <w:pStyle w:val="ListParagraph"/>
        <w:numPr>
          <w:ilvl w:val="0"/>
          <w:numId w:val="1"/>
        </w:numPr>
        <w:spacing w:after="60" w:line="300" w:lineRule="auto"/>
      </w:pPr>
      <w:r>
        <w:rPr>
          <w:rFonts w:ascii="Calibri" w:cs="Calibri" w:eastAsia="Calibri" w:hAnsi="Calibri"/>
          <w:color w:val="111827"/>
          <w:sz w:val="21"/>
          <w:szCs w:val="21"/>
        </w:rPr>
        <w:t xml:space="preserve">Envío de mensajes respetando las ventanas de conversación definidas por Meta (24 horas).</w:t>
      </w:r>
    </w:p>
    <w:p>
      <w:pPr>
        <w:pStyle w:val="ListParagraph"/>
        <w:numPr>
          <w:ilvl w:val="0"/>
          <w:numId w:val="1"/>
        </w:numPr>
        <w:spacing w:after="60" w:line="300" w:lineRule="auto"/>
      </w:pPr>
      <w:r>
        <w:rPr>
          <w:rFonts w:ascii="Calibri" w:cs="Calibri" w:eastAsia="Calibri" w:hAnsi="Calibri"/>
          <w:color w:val="111827"/>
          <w:sz w:val="21"/>
          <w:szCs w:val="21"/>
        </w:rPr>
        <w:t xml:space="preserve">Uso de plantillas pre-aprobadas por Meta para comunicaciones masivas outbound.</w:t>
      </w:r>
    </w:p>
    <w:p>
      <w:pPr>
        <w:pStyle w:val="ListParagraph"/>
        <w:numPr>
          <w:ilvl w:val="0"/>
          <w:numId w:val="1"/>
        </w:numPr>
        <w:spacing w:after="60" w:line="300" w:lineRule="auto"/>
      </w:pPr>
      <w:r>
        <w:rPr>
          <w:rFonts w:ascii="Calibri" w:cs="Calibri" w:eastAsia="Calibri" w:hAnsi="Calibri"/>
          <w:color w:val="111827"/>
          <w:sz w:val="21"/>
          <w:szCs w:val="21"/>
        </w:rPr>
        <w:t xml:space="preserve">Implementación de mecanismo de opt-out: clientes que soliciten no recibir mensajes son marcados automáticamente.</w:t>
      </w:r>
    </w:p>
    <w:p>
      <w:pPr>
        <w:pStyle w:val="ListParagraph"/>
        <w:numPr>
          <w:ilvl w:val="0"/>
          <w:numId w:val="1"/>
        </w:numPr>
        <w:spacing w:after="60" w:line="300" w:lineRule="auto"/>
      </w:pPr>
      <w:r>
        <w:rPr>
          <w:rFonts w:ascii="Calibri" w:cs="Calibri" w:eastAsia="Calibri" w:hAnsi="Calibri"/>
          <w:color w:val="111827"/>
          <w:sz w:val="21"/>
          <w:szCs w:val="21"/>
        </w:rPr>
        <w:t xml:space="preserve">Respeto de los límites de velocidad de envío (rate limiting) establecidos por Meta.</w:t>
      </w:r>
    </w:p>
    <w:p>
      <w:pPr>
        <w:spacing w:after="60"/>
      </w:pPr>
    </w:p>
    <w:p>
      <w:pPr>
        <w:spacing w:after="100" w:before="240"/>
      </w:pPr>
      <w:r>
        <w:rPr>
          <w:rFonts w:ascii="Calibri" w:cs="Calibri" w:eastAsia="Calibri" w:hAnsi="Calibri"/>
          <w:b/>
          <w:bCs/>
          <w:color w:val="061428"/>
          <w:sz w:val="24"/>
          <w:szCs w:val="24"/>
        </w:rPr>
        <w:t xml:space="preserve">11.2 Limitación de responsabilidad</w:t>
      </w:r>
    </w:p>
    <w:p>
      <w:pPr>
        <w:spacing w:after="100" w:line="310" w:lineRule="auto"/>
        <w:jc w:val="both"/>
      </w:pPr>
      <w:r>
        <w:rPr>
          <w:rFonts w:ascii="Calibri" w:cs="Calibri" w:eastAsia="Calibri" w:hAnsi="Calibri"/>
          <w:b w:val="false"/>
          <w:bCs w:val="false"/>
          <w:i w:val="false"/>
          <w:iCs w:val="false"/>
          <w:color w:val="111827"/>
          <w:sz w:val="21"/>
          <w:szCs w:val="21"/>
        </w:rPr>
        <w:t xml:space="preserve">El Prestador no es responsable por restricciones, suspensiones o bloqueos de cuentas o números de WhatsApp que Meta aplique de forma autónoma, incluyendo: baja del quality rating de un número, suspensión de la WABA, o cambios en las políticas de uso de la plataforma.</w:t>
      </w:r>
    </w:p>
    <w:p>
      <w:pPr>
        <w:spacing w:after="100" w:line="310" w:lineRule="auto"/>
        <w:jc w:val="both"/>
      </w:pPr>
      <w:r>
        <w:rPr>
          <w:rFonts w:ascii="Calibri" w:cs="Calibri" w:eastAsia="Calibri" w:hAnsi="Calibri"/>
          <w:b w:val="false"/>
          <w:bCs w:val="false"/>
          <w:i w:val="false"/>
          <w:iCs w:val="false"/>
          <w:color w:val="111827"/>
          <w:sz w:val="21"/>
          <w:szCs w:val="21"/>
        </w:rPr>
        <w:t xml:space="preserve">Ante una restricción de Meta, el Prestador notificará al Cliente dentro de las 4 horas hábiles de tomar conocimiento, y asistirá técnicamente en el proceso de apelación y reactivación, sin garantizar el resultado del mismo, que depende exclusivamente de Meta.</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12 — FINALIZACIÓN DEL VÍNCULO</w:t>
      </w:r>
    </w:p>
    <w:p>
      <w:pPr>
        <w:spacing w:after="100" w:before="240"/>
      </w:pPr>
      <w:r>
        <w:rPr>
          <w:rFonts w:ascii="Calibri" w:cs="Calibri" w:eastAsia="Calibri" w:hAnsi="Calibri"/>
          <w:b/>
          <w:bCs/>
          <w:color w:val="061428"/>
          <w:sz w:val="24"/>
          <w:szCs w:val="24"/>
        </w:rPr>
        <w:t xml:space="preserve">12.1 Notificación y preaviso</w:t>
      </w:r>
    </w:p>
    <w:p>
      <w:pPr>
        <w:spacing w:after="100" w:line="310" w:lineRule="auto"/>
        <w:jc w:val="both"/>
      </w:pPr>
      <w:r>
        <w:rPr>
          <w:rFonts w:ascii="Calibri" w:cs="Calibri" w:eastAsia="Calibri" w:hAnsi="Calibri"/>
          <w:b w:val="false"/>
          <w:bCs w:val="false"/>
          <w:i w:val="false"/>
          <w:iCs w:val="false"/>
          <w:color w:val="111827"/>
          <w:sz w:val="21"/>
          <w:szCs w:val="21"/>
        </w:rPr>
        <w:t xml:space="preserve">Cualquiera de las partes puede dar por finalizado el presente contrato mediante comunicación escrita (WhatsApp o correo electrónico) con un preaviso mínimo de 30 (treinta) días calendario.</w:t>
      </w:r>
    </w:p>
    <w:p>
      <w:pPr>
        <w:spacing w:after="60"/>
      </w:pPr>
    </w:p>
    <w:p>
      <w:pPr>
        <w:spacing w:after="100" w:before="240"/>
      </w:pPr>
      <w:r>
        <w:rPr>
          <w:rFonts w:ascii="Calibri" w:cs="Calibri" w:eastAsia="Calibri" w:hAnsi="Calibri"/>
          <w:b/>
          <w:bCs/>
          <w:color w:val="061428"/>
          <w:sz w:val="24"/>
          <w:szCs w:val="24"/>
        </w:rPr>
        <w:t xml:space="preserve">12.2 Entrega y exportación de datos</w:t>
      </w:r>
    </w:p>
    <w:p>
      <w:pPr>
        <w:spacing w:after="100" w:line="310" w:lineRule="auto"/>
        <w:jc w:val="both"/>
      </w:pPr>
      <w:r>
        <w:rPr>
          <w:rFonts w:ascii="Calibri" w:cs="Calibri" w:eastAsia="Calibri" w:hAnsi="Calibri"/>
          <w:b w:val="false"/>
          <w:bCs w:val="false"/>
          <w:i w:val="false"/>
          <w:iCs w:val="false"/>
          <w:color w:val="111827"/>
          <w:sz w:val="21"/>
          <w:szCs w:val="21"/>
        </w:rPr>
        <w:t xml:space="preserve">Dentro de los 15 (quince) días hábiles siguientes a la fecha efectiva de finalización, el Prestador entregará al Cliente la exportación completa de todos sus datos en formato CSV o Excel: base de clientes, historial de conversaciones, plantillas, campañas y métricas históricas.</w:t>
      </w:r>
    </w:p>
    <w:p>
      <w:pPr>
        <w:spacing w:after="60"/>
      </w:pPr>
    </w:p>
    <w:p>
      <w:pPr>
        <w:spacing w:after="100" w:before="240"/>
      </w:pPr>
      <w:r>
        <w:rPr>
          <w:rFonts w:ascii="Calibri" w:cs="Calibri" w:eastAsia="Calibri" w:hAnsi="Calibri"/>
          <w:b/>
          <w:bCs/>
          <w:color w:val="061428"/>
          <w:sz w:val="24"/>
          <w:szCs w:val="24"/>
        </w:rPr>
        <w:t xml:space="preserve">12.3 Acceso durante el período de transición</w:t>
      </w:r>
    </w:p>
    <w:p>
      <w:pPr>
        <w:spacing w:after="100" w:line="310" w:lineRule="auto"/>
        <w:jc w:val="both"/>
      </w:pPr>
      <w:r>
        <w:rPr>
          <w:rFonts w:ascii="Calibri" w:cs="Calibri" w:eastAsia="Calibri" w:hAnsi="Calibri"/>
          <w:b w:val="false"/>
          <w:bCs w:val="false"/>
          <w:i w:val="false"/>
          <w:iCs w:val="false"/>
          <w:color w:val="111827"/>
          <w:sz w:val="21"/>
          <w:szCs w:val="21"/>
        </w:rPr>
        <w:t xml:space="preserve">El Cliente mantiene acceso pleno a la plataforma hasta el vencimiento del último período mensual abonado. No se realizan reintegros de períodos mensuales abonados y no consumidos.</w:t>
      </w:r>
    </w:p>
    <w:p>
      <w:pPr>
        <w:spacing w:after="60"/>
      </w:pPr>
    </w:p>
    <w:p>
      <w:pPr>
        <w:spacing w:after="100" w:before="240"/>
      </w:pPr>
      <w:r>
        <w:rPr>
          <w:rFonts w:ascii="Calibri" w:cs="Calibri" w:eastAsia="Calibri" w:hAnsi="Calibri"/>
          <w:b/>
          <w:bCs/>
          <w:color w:val="061428"/>
          <w:sz w:val="24"/>
          <w:szCs w:val="24"/>
        </w:rPr>
        <w:t xml:space="preserve">12.4 Baja del sistema</w:t>
      </w:r>
    </w:p>
    <w:p>
      <w:pPr>
        <w:spacing w:after="100" w:line="310" w:lineRule="auto"/>
        <w:jc w:val="both"/>
      </w:pPr>
      <w:r>
        <w:rPr>
          <w:rFonts w:ascii="Calibri" w:cs="Calibri" w:eastAsia="Calibri" w:hAnsi="Calibri"/>
          <w:b w:val="false"/>
          <w:bCs w:val="false"/>
          <w:i w:val="false"/>
          <w:iCs w:val="false"/>
          <w:color w:val="111827"/>
          <w:sz w:val="21"/>
          <w:szCs w:val="21"/>
        </w:rPr>
        <w:t xml:space="preserve">Una vez confirmada por escrito la recepción conforme de los datos exportados por parte del Cliente, el Prestador procederá a dar de baja la instancia del sistema en un plazo máximo de 10 días hábiles. Los datos son eliminados de los servidores conforme a estándares de eliminación segura.</w:t>
      </w:r>
    </w:p>
    <w:p>
      <w:pPr>
        <w:spacing w:after="60"/>
      </w:pPr>
    </w:p>
    <w:p>
      <w:pPr>
        <w:spacing w:after="100" w:before="240"/>
      </w:pPr>
      <w:r>
        <w:rPr>
          <w:rFonts w:ascii="Calibri" w:cs="Calibri" w:eastAsia="Calibri" w:hAnsi="Calibri"/>
          <w:b/>
          <w:bCs/>
          <w:color w:val="061428"/>
          <w:sz w:val="24"/>
          <w:szCs w:val="24"/>
        </w:rPr>
        <w:t xml:space="preserve">12.5 Código fuente</w:t>
      </w:r>
    </w:p>
    <w:p>
      <w:pPr>
        <w:spacing w:after="100" w:line="310" w:lineRule="auto"/>
        <w:jc w:val="both"/>
      </w:pPr>
      <w:r>
        <w:rPr>
          <w:rFonts w:ascii="Calibri" w:cs="Calibri" w:eastAsia="Calibri" w:hAnsi="Calibri"/>
          <w:b w:val="false"/>
          <w:bCs w:val="false"/>
          <w:i w:val="false"/>
          <w:iCs w:val="false"/>
          <w:color w:val="111827"/>
          <w:sz w:val="21"/>
          <w:szCs w:val="21"/>
        </w:rPr>
        <w:t xml:space="preserve">El código fuente del sistema es propiedad intelectual exclusiva del Prestador (DigitalAxios) y no se entrega al Cliente en ningún escenario. Al Cliente le corresponden únicamente sus datos, según lo establecido en la Cláusula 2.</w:t>
      </w: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CLÁUSULA 13 — DISPOSICIONES GENERALES</w:t>
      </w:r>
    </w:p>
    <w:p>
      <w:pPr>
        <w:pStyle w:val="ListParagraph"/>
        <w:numPr>
          <w:ilvl w:val="0"/>
          <w:numId w:val="1"/>
        </w:numPr>
        <w:spacing w:after="60" w:line="300" w:lineRule="auto"/>
      </w:pPr>
      <w:r>
        <w:rPr>
          <w:rFonts w:ascii="Calibri" w:cs="Calibri" w:eastAsia="Calibri" w:hAnsi="Calibri"/>
          <w:color w:val="111827"/>
          <w:sz w:val="21"/>
          <w:szCs w:val="21"/>
        </w:rPr>
        <w:t xml:space="preserve">El presente contrato se rige por las leyes de la República Argentina.</w:t>
      </w:r>
    </w:p>
    <w:p>
      <w:pPr>
        <w:pStyle w:val="ListParagraph"/>
        <w:numPr>
          <w:ilvl w:val="0"/>
          <w:numId w:val="1"/>
        </w:numPr>
        <w:spacing w:after="60" w:line="300" w:lineRule="auto"/>
      </w:pPr>
      <w:r>
        <w:rPr>
          <w:rFonts w:ascii="Calibri" w:cs="Calibri" w:eastAsia="Calibri" w:hAnsi="Calibri"/>
          <w:color w:val="111827"/>
          <w:sz w:val="21"/>
          <w:szCs w:val="21"/>
        </w:rPr>
        <w:t xml:space="preserve">Cualquier modificación al alcance, precio o condiciones debe quedar registrada por escrito y aceptada por ambas partes antes de su implementación.</w:t>
      </w:r>
    </w:p>
    <w:p>
      <w:pPr>
        <w:pStyle w:val="ListParagraph"/>
        <w:numPr>
          <w:ilvl w:val="0"/>
          <w:numId w:val="1"/>
        </w:numPr>
        <w:spacing w:after="60" w:line="300" w:lineRule="auto"/>
      </w:pPr>
      <w:r>
        <w:rPr>
          <w:rFonts w:ascii="Calibri" w:cs="Calibri" w:eastAsia="Calibri" w:hAnsi="Calibri"/>
          <w:color w:val="111827"/>
          <w:sz w:val="21"/>
          <w:szCs w:val="21"/>
        </w:rPr>
        <w:t xml:space="preserve">Las comunicaciones formales se realizarán por correo electrónico o WhatsApp, considerándose válidas a todos los efectos.</w:t>
      </w:r>
    </w:p>
    <w:p>
      <w:pPr>
        <w:pStyle w:val="ListParagraph"/>
        <w:numPr>
          <w:ilvl w:val="0"/>
          <w:numId w:val="1"/>
        </w:numPr>
        <w:spacing w:after="60" w:line="300" w:lineRule="auto"/>
      </w:pPr>
      <w:r>
        <w:rPr>
          <w:rFonts w:ascii="Calibri" w:cs="Calibri" w:eastAsia="Calibri" w:hAnsi="Calibri"/>
          <w:color w:val="111827"/>
          <w:sz w:val="21"/>
          <w:szCs w:val="21"/>
        </w:rPr>
        <w:t xml:space="preserve">Ante controversia, las partes se comprometen a intentar resolverla de buena fe. De no lograrlo, se someterán a la jurisdicción de los Tribunales Ordinarios de la ciudad de Córdoba, Argentina.</w:t>
      </w:r>
    </w:p>
    <w:p>
      <w:pPr>
        <w:spacing w:after="60"/>
      </w:pPr>
    </w:p>
    <w:p>
      <w:pPr>
        <w:spacing w:after="60"/>
      </w:pPr>
    </w:p>
    <w:p>
      <w:pPr>
        <w:pBdr>
          <w:bottom w:val="single" w:color="00C8E8" w:sz="10" w:space="4"/>
        </w:pBdr>
        <w:spacing w:after="160" w:before="360"/>
      </w:pPr>
      <w:r>
        <w:rPr>
          <w:rFonts w:ascii="Calibri" w:cs="Calibri" w:eastAsia="Calibri" w:hAnsi="Calibri"/>
          <w:b/>
          <w:bCs/>
          <w:color w:val="061428"/>
          <w:sz w:val="30"/>
          <w:szCs w:val="30"/>
        </w:rPr>
        <w:t xml:space="preserve">FIRMAS Y CONFORMIDAD</w:t>
      </w:r>
    </w:p>
    <w:p>
      <w:pPr>
        <w:spacing w:after="100" w:line="310" w:lineRule="auto"/>
        <w:jc w:val="both"/>
      </w:pPr>
      <w:r>
        <w:rPr>
          <w:rFonts w:ascii="Calibri" w:cs="Calibri" w:eastAsia="Calibri" w:hAnsi="Calibri"/>
          <w:b w:val="false"/>
          <w:bCs w:val="false"/>
          <w:i w:val="false"/>
          <w:iCs w:val="false"/>
          <w:color w:val="111827"/>
          <w:sz w:val="21"/>
          <w:szCs w:val="21"/>
        </w:rPr>
        <w:t xml:space="preserve">Las partes declaran haber leído, comprendido y aceptado la totalidad de las cláusulas del presente contrato, firmando en señal de conformidad.</w:t>
      </w:r>
    </w:p>
    <w:p>
      <w:pPr>
        <w:spacing w:after="60"/>
      </w:pPr>
    </w:p>
    <w:p>
      <w:pPr>
        <w:spacing w:after="60"/>
      </w:pPr>
    </w:p>
    <w:tbl>
      <w:tblPr>
        <w:tblW w:type="dxa" w:w="8700"/>
        <w:tblBorders>
          <w:top w:val="single" w:color="00C8E8" w:sz="6"/>
          <w:left w:val="single" w:color="00C8E8" w:sz="4"/>
          <w:bottom w:val="single" w:color="00C8E8" w:sz="6"/>
          <w:right w:val="single" w:color="00C8E8" w:sz="4"/>
          <w:insideH w:val="single" w:color="auto" w:sz="4"/>
          <w:insideV w:val="single" w:color="auto" w:sz="4"/>
        </w:tblBorders>
        <w:tblLayout w:type="fixed"/>
      </w:tblPr>
      <w:tblGrid>
        <w:gridCol w:w="100"/>
        <w:gridCol w:w="100"/>
      </w:tblGrid>
      <w:tr>
        <w:tc>
          <w:tcPr>
            <w:tcW w:type="dxa" w:w="435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DigitalAxios (Prestador)</w:t>
            </w:r>
          </w:p>
        </w:tc>
        <w:tc>
          <w:tcPr>
            <w:tcW w:type="dxa" w:w="4350"/>
            <w:shd w:fill="061428" w:color="auto" w:val="clear"/>
            <w:tcMar>
              <w:top w:type="dxa" w:w="120"/>
              <w:left w:type="dxa" w:w="180"/>
              <w:bottom w:type="dxa" w:w="120"/>
              <w:right w:type="dxa" w:w="180"/>
            </w:tcMar>
            <w:vAlign w:val="top"/>
          </w:tcPr>
          <w:p>
            <w:pPr>
              <w:spacing w:after="0"/>
              <w:jc w:val="left"/>
            </w:pPr>
            <w:r>
              <w:rPr>
                <w:rFonts w:ascii="Calibri" w:cs="Calibri" w:eastAsia="Calibri" w:hAnsi="Calibri"/>
                <w:b/>
                <w:bCs/>
                <w:color w:val="FFFFFF"/>
                <w:sz w:val="20"/>
                <w:szCs w:val="20"/>
              </w:rPr>
              <w:t xml:space="preserve">La Internacional Distribuidora (Cliente)</w:t>
            </w:r>
          </w:p>
        </w:tc>
      </w:tr>
      <w:tr>
        <w:tc>
          <w:tcPr>
            <w:tcW w:type="dxa" w:w="4350"/>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_______________________________</w:t>
            </w:r>
          </w:p>
          <w:p>
            <w:pPr>
              <w:spacing w:after="60"/>
              <w:jc w:val="left"/>
            </w:pPr>
            <w:r>
              <w:rPr>
                <w:rFonts w:ascii="Calibri" w:cs="Calibri" w:eastAsia="Calibri" w:hAnsi="Calibri"/>
                <w:b w:val="false"/>
                <w:bCs w:val="false"/>
                <w:color w:val="111827"/>
                <w:sz w:val="20"/>
                <w:szCs w:val="20"/>
              </w:rPr>
              <w:t xml:space="preserve">Firma</w:t>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_______________________________</w:t>
            </w:r>
          </w:p>
          <w:p>
            <w:pPr>
              <w:spacing w:after="60"/>
              <w:jc w:val="left"/>
            </w:pPr>
            <w:r>
              <w:rPr>
                <w:rFonts w:ascii="Calibri" w:cs="Calibri" w:eastAsia="Calibri" w:hAnsi="Calibri"/>
                <w:b w:val="false"/>
                <w:bCs w:val="false"/>
                <w:color w:val="111827"/>
                <w:sz w:val="20"/>
                <w:szCs w:val="20"/>
              </w:rPr>
              <w:t xml:space="preserve">Aclaración y cargo</w:t>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_______________________________</w:t>
            </w:r>
          </w:p>
          <w:p>
            <w:pPr>
              <w:spacing w:after="0"/>
              <w:jc w:val="left"/>
            </w:pPr>
            <w:r>
              <w:rPr>
                <w:rFonts w:ascii="Calibri" w:cs="Calibri" w:eastAsia="Calibri" w:hAnsi="Calibri"/>
                <w:b w:val="false"/>
                <w:bCs w:val="false"/>
                <w:color w:val="111827"/>
                <w:sz w:val="20"/>
                <w:szCs w:val="20"/>
              </w:rPr>
              <w:t xml:space="preserve">Fecha</w:t>
            </w:r>
          </w:p>
        </w:tc>
        <w:tc>
          <w:tcPr>
            <w:tcW w:type="dxa" w:w="4350"/>
            <w:shd w:fill="FFFFFF" w:color="auto" w:val="clear"/>
            <w:tcMar>
              <w:top w:type="dxa" w:w="120"/>
              <w:left w:type="dxa" w:w="180"/>
              <w:bottom w:type="dxa" w:w="120"/>
              <w:right w:type="dxa" w:w="180"/>
            </w:tcMar>
            <w:vAlign w:val="top"/>
          </w:tcPr>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_______________________________</w:t>
            </w:r>
          </w:p>
          <w:p>
            <w:pPr>
              <w:spacing w:after="60"/>
              <w:jc w:val="left"/>
            </w:pPr>
            <w:r>
              <w:rPr>
                <w:rFonts w:ascii="Calibri" w:cs="Calibri" w:eastAsia="Calibri" w:hAnsi="Calibri"/>
                <w:b w:val="false"/>
                <w:bCs w:val="false"/>
                <w:color w:val="111827"/>
                <w:sz w:val="20"/>
                <w:szCs w:val="20"/>
              </w:rPr>
              <w:t xml:space="preserve">Firma</w:t>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_______________________________</w:t>
            </w:r>
          </w:p>
          <w:p>
            <w:pPr>
              <w:spacing w:after="60"/>
              <w:jc w:val="left"/>
            </w:pPr>
            <w:r>
              <w:rPr>
                <w:rFonts w:ascii="Calibri" w:cs="Calibri" w:eastAsia="Calibri" w:hAnsi="Calibri"/>
                <w:b w:val="false"/>
                <w:bCs w:val="false"/>
                <w:color w:val="111827"/>
                <w:sz w:val="20"/>
                <w:szCs w:val="20"/>
              </w:rPr>
              <w:t xml:space="preserve">Aclaración y cargo</w:t>
            </w:r>
          </w:p>
          <w:p>
            <w:pPr>
              <w:spacing w:after="60"/>
              <w:jc w:val="left"/>
            </w:pPr>
            <w:r>
              <w:rPr>
                <w:rFonts w:ascii="Calibri" w:cs="Calibri" w:eastAsia="Calibri" w:hAnsi="Calibri"/>
                <w:b w:val="false"/>
                <w:bCs w:val="false"/>
                <w:color w:val="111827"/>
                <w:sz w:val="20"/>
                <w:szCs w:val="20"/>
              </w:rPr>
              <w:t xml:space="preserve"/>
            </w:r>
          </w:p>
          <w:p>
            <w:pPr>
              <w:spacing w:after="60"/>
              <w:jc w:val="left"/>
            </w:pPr>
            <w:r>
              <w:rPr>
                <w:rFonts w:ascii="Calibri" w:cs="Calibri" w:eastAsia="Calibri" w:hAnsi="Calibri"/>
                <w:b w:val="false"/>
                <w:bCs w:val="false"/>
                <w:color w:val="111827"/>
                <w:sz w:val="20"/>
                <w:szCs w:val="20"/>
              </w:rPr>
              <w:t xml:space="preserve">_______________________________</w:t>
            </w:r>
          </w:p>
          <w:p>
            <w:pPr>
              <w:spacing w:after="0"/>
              <w:jc w:val="left"/>
            </w:pPr>
            <w:r>
              <w:rPr>
                <w:rFonts w:ascii="Calibri" w:cs="Calibri" w:eastAsia="Calibri" w:hAnsi="Calibri"/>
                <w:b w:val="false"/>
                <w:bCs w:val="false"/>
                <w:color w:val="111827"/>
                <w:sz w:val="20"/>
                <w:szCs w:val="20"/>
              </w:rPr>
              <w:t xml:space="preserve">Fecha</w:t>
            </w:r>
          </w:p>
        </w:tc>
      </w:tr>
    </w:tbl>
    <w:p>
      <w:pPr>
        <w:spacing w:after="60"/>
      </w:pPr>
    </w:p>
    <w:p>
      <w:pPr>
        <w:spacing w:after="60"/>
      </w:pPr>
    </w:p>
    <w:p>
      <w:pPr>
        <w:pBdr>
          <w:bottom w:val="single" w:color="E8EEF2" w:sz="4" w:space="1"/>
        </w:pBdr>
        <w:spacing w:after="180" w:before="180"/>
      </w:pPr>
    </w:p>
    <w:p>
      <w:pPr>
        <w:spacing w:after="100" w:line="310" w:lineRule="auto"/>
        <w:jc w:val="center"/>
      </w:pPr>
      <w:r>
        <w:rPr>
          <w:rFonts w:ascii="Calibri" w:cs="Calibri" w:eastAsia="Calibri" w:hAnsi="Calibri"/>
          <w:b w:val="false"/>
          <w:bCs w:val="false"/>
          <w:i/>
          <w:iCs/>
          <w:color w:val="6A8A9A"/>
          <w:sz w:val="21"/>
          <w:szCs w:val="21"/>
        </w:rPr>
        <w:t xml:space="preserve">Contrato celebrado en la ciudad de Córdoba, República Argentina, Mayo de 2026.</w:t>
      </w:r>
    </w:p>
    <w:sectPr>
      <w:pgSz w:w="11906" w:h="16838" w:orient="portrait"/>
      <w:pgMar w:top="1584" w:right="1584" w:bottom="1584"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2026-05-18T18:17:36.641Z</dcterms:created>
  <dcterms:modified xsi:type="dcterms:W3CDTF">2026-05-18T18:17:36.667Z</dcterms:modified>
</cp:coreProperties>
</file>

<file path=docProps/custom.xml><?xml version="1.0" encoding="utf-8"?>
<Properties xmlns="http://schemas.openxmlformats.org/officeDocument/2006/custom-properties" xmlns:vt="http://schemas.openxmlformats.org/officeDocument/2006/docPropsVTypes"/>
</file>