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3088C" w14:textId="7639DC4D" w:rsidR="00DC76BE" w:rsidRDefault="00DC76BE" w:rsidP="00A805F0">
      <w:pPr>
        <w:spacing w:after="0" w:line="240" w:lineRule="auto"/>
        <w:jc w:val="center"/>
        <w:outlineLvl w:val="0"/>
        <w:rPr>
          <w:rFonts w:ascii="Arial" w:eastAsia="Times New Roman" w:hAnsi="Arial" w:cs="Arial"/>
          <w:b/>
          <w:bCs/>
          <w:kern w:val="36"/>
          <w:sz w:val="20"/>
          <w:szCs w:val="20"/>
          <w:lang w:val="en-US" w:eastAsia="es-CO"/>
        </w:rPr>
      </w:pPr>
      <w:r w:rsidRPr="00DC76BE">
        <w:rPr>
          <w:rFonts w:ascii="Arial" w:eastAsia="Times New Roman" w:hAnsi="Arial" w:cs="Arial"/>
          <w:b/>
          <w:bCs/>
          <w:kern w:val="36"/>
          <w:sz w:val="20"/>
          <w:szCs w:val="20"/>
          <w:lang w:val="en-US" w:eastAsia="es-CO"/>
        </w:rPr>
        <w:t>Analysis of patterns and anomalies in judgments against the State handled by the National</w:t>
      </w:r>
      <w:r w:rsidR="00A805F0">
        <w:rPr>
          <w:rFonts w:ascii="Arial" w:eastAsia="Times New Roman" w:hAnsi="Arial" w:cs="Arial"/>
          <w:b/>
          <w:bCs/>
          <w:kern w:val="36"/>
          <w:sz w:val="20"/>
          <w:szCs w:val="20"/>
          <w:lang w:val="en-US" w:eastAsia="es-CO"/>
        </w:rPr>
        <w:t xml:space="preserve"> </w:t>
      </w:r>
      <w:r w:rsidRPr="00DC76BE">
        <w:rPr>
          <w:rFonts w:ascii="Arial" w:eastAsia="Times New Roman" w:hAnsi="Arial" w:cs="Arial"/>
          <w:b/>
          <w:bCs/>
          <w:kern w:val="36"/>
          <w:sz w:val="20"/>
          <w:szCs w:val="20"/>
          <w:lang w:val="en-US" w:eastAsia="es-CO"/>
        </w:rPr>
        <w:t>Agency for Legal Defense</w:t>
      </w:r>
    </w:p>
    <w:p w14:paraId="24C5646B" w14:textId="77777777" w:rsidR="00A805F0" w:rsidRPr="00DC76BE" w:rsidRDefault="00A805F0" w:rsidP="00A805F0">
      <w:pPr>
        <w:spacing w:after="0" w:line="240" w:lineRule="auto"/>
        <w:outlineLvl w:val="0"/>
        <w:rPr>
          <w:rFonts w:ascii="Arial" w:eastAsia="Times New Roman" w:hAnsi="Arial" w:cs="Arial"/>
          <w:b/>
          <w:bCs/>
          <w:kern w:val="36"/>
          <w:sz w:val="20"/>
          <w:szCs w:val="20"/>
          <w:lang w:val="en-US" w:eastAsia="es-CO"/>
        </w:rPr>
      </w:pPr>
    </w:p>
    <w:p w14:paraId="42DBC4B7" w14:textId="77777777" w:rsidR="00DC76BE" w:rsidRPr="00DC76BE" w:rsidRDefault="00DC76BE" w:rsidP="00A805F0">
      <w:pPr>
        <w:spacing w:after="0" w:line="240" w:lineRule="auto"/>
        <w:outlineLvl w:val="1"/>
        <w:rPr>
          <w:rFonts w:ascii="Arial" w:eastAsia="Times New Roman" w:hAnsi="Arial" w:cs="Arial"/>
          <w:sz w:val="20"/>
          <w:szCs w:val="20"/>
          <w:lang w:eastAsia="es-CO"/>
        </w:rPr>
      </w:pPr>
      <w:r w:rsidRPr="00DC76BE">
        <w:rPr>
          <w:rFonts w:ascii="Arial" w:eastAsia="Times New Roman" w:hAnsi="Arial" w:cs="Arial"/>
          <w:sz w:val="20"/>
          <w:szCs w:val="20"/>
          <w:lang w:eastAsia="es-CO"/>
        </w:rPr>
        <w:t>Basic EDA</w:t>
      </w:r>
    </w:p>
    <w:p w14:paraId="041682DE" w14:textId="77777777" w:rsidR="00DC76BE" w:rsidRPr="00DC76BE" w:rsidRDefault="00DC76BE" w:rsidP="00A805F0">
      <w:pPr>
        <w:spacing w:after="0" w:line="240" w:lineRule="auto"/>
        <w:outlineLvl w:val="2"/>
        <w:rPr>
          <w:rFonts w:ascii="Arial" w:eastAsia="Times New Roman" w:hAnsi="Arial" w:cs="Arial"/>
          <w:sz w:val="20"/>
          <w:szCs w:val="20"/>
          <w:lang w:eastAsia="es-CO"/>
        </w:rPr>
      </w:pPr>
      <w:r w:rsidRPr="00DC76BE">
        <w:rPr>
          <w:rFonts w:ascii="Arial" w:eastAsia="Times New Roman" w:hAnsi="Arial" w:cs="Arial"/>
          <w:sz w:val="20"/>
          <w:szCs w:val="20"/>
          <w:lang w:eastAsia="es-CO"/>
        </w:rPr>
        <w:t>TEAM 12</w:t>
      </w:r>
    </w:p>
    <w:p w14:paraId="6EA71EB7" w14:textId="77777777" w:rsidR="00DC76BE" w:rsidRPr="00DC76BE" w:rsidRDefault="00DC76BE" w:rsidP="00A805F0">
      <w:pPr>
        <w:spacing w:after="0" w:line="240" w:lineRule="auto"/>
        <w:outlineLvl w:val="3"/>
        <w:rPr>
          <w:rFonts w:ascii="Arial" w:eastAsia="Times New Roman" w:hAnsi="Arial" w:cs="Arial"/>
          <w:sz w:val="20"/>
          <w:szCs w:val="20"/>
          <w:lang w:eastAsia="es-CO"/>
        </w:rPr>
      </w:pPr>
      <w:r w:rsidRPr="00DC76BE">
        <w:rPr>
          <w:rFonts w:ascii="Arial" w:eastAsia="Times New Roman" w:hAnsi="Arial" w:cs="Arial"/>
          <w:sz w:val="20"/>
          <w:szCs w:val="20"/>
          <w:lang w:eastAsia="es-CO"/>
        </w:rPr>
        <w:t>Brayan Andru Montenegro Embus</w:t>
      </w:r>
    </w:p>
    <w:p w14:paraId="1C5248CB" w14:textId="77777777" w:rsidR="00DC76BE" w:rsidRPr="00DC76BE" w:rsidRDefault="00DC76BE" w:rsidP="00A805F0">
      <w:pPr>
        <w:spacing w:after="0" w:line="240" w:lineRule="auto"/>
        <w:outlineLvl w:val="3"/>
        <w:rPr>
          <w:rFonts w:ascii="Arial" w:eastAsia="Times New Roman" w:hAnsi="Arial" w:cs="Arial"/>
          <w:sz w:val="20"/>
          <w:szCs w:val="20"/>
          <w:lang w:eastAsia="es-CO"/>
        </w:rPr>
      </w:pPr>
      <w:r w:rsidRPr="00DC76BE">
        <w:rPr>
          <w:rFonts w:ascii="Arial" w:eastAsia="Times New Roman" w:hAnsi="Arial" w:cs="Arial"/>
          <w:sz w:val="20"/>
          <w:szCs w:val="20"/>
          <w:lang w:eastAsia="es-CO"/>
        </w:rPr>
        <w:t>Juan Esteban López de mesa</w:t>
      </w:r>
    </w:p>
    <w:p w14:paraId="1BBF6665" w14:textId="77777777" w:rsidR="00DC76BE" w:rsidRPr="00DC76BE" w:rsidRDefault="00DC76BE" w:rsidP="00A805F0">
      <w:pPr>
        <w:spacing w:after="0" w:line="240" w:lineRule="auto"/>
        <w:outlineLvl w:val="3"/>
        <w:rPr>
          <w:rFonts w:ascii="Arial" w:eastAsia="Times New Roman" w:hAnsi="Arial" w:cs="Arial"/>
          <w:sz w:val="20"/>
          <w:szCs w:val="20"/>
          <w:lang w:eastAsia="es-CO"/>
        </w:rPr>
      </w:pPr>
      <w:r w:rsidRPr="00DC76BE">
        <w:rPr>
          <w:rFonts w:ascii="Arial" w:eastAsia="Times New Roman" w:hAnsi="Arial" w:cs="Arial"/>
          <w:sz w:val="20"/>
          <w:szCs w:val="20"/>
          <w:lang w:eastAsia="es-CO"/>
        </w:rPr>
        <w:t xml:space="preserve">Cristian Camilo </w:t>
      </w:r>
      <w:proofErr w:type="spellStart"/>
      <w:r w:rsidRPr="00DC76BE">
        <w:rPr>
          <w:rFonts w:ascii="Arial" w:eastAsia="Times New Roman" w:hAnsi="Arial" w:cs="Arial"/>
          <w:sz w:val="20"/>
          <w:szCs w:val="20"/>
          <w:lang w:eastAsia="es-CO"/>
        </w:rPr>
        <w:t>Lopez</w:t>
      </w:r>
      <w:proofErr w:type="spellEnd"/>
      <w:r w:rsidRPr="00DC76BE">
        <w:rPr>
          <w:rFonts w:ascii="Arial" w:eastAsia="Times New Roman" w:hAnsi="Arial" w:cs="Arial"/>
          <w:sz w:val="20"/>
          <w:szCs w:val="20"/>
          <w:lang w:eastAsia="es-CO"/>
        </w:rPr>
        <w:t xml:space="preserve"> </w:t>
      </w:r>
      <w:proofErr w:type="spellStart"/>
      <w:r w:rsidRPr="00DC76BE">
        <w:rPr>
          <w:rFonts w:ascii="Arial" w:eastAsia="Times New Roman" w:hAnsi="Arial" w:cs="Arial"/>
          <w:sz w:val="20"/>
          <w:szCs w:val="20"/>
          <w:lang w:eastAsia="es-CO"/>
        </w:rPr>
        <w:t>Martinez</w:t>
      </w:r>
      <w:proofErr w:type="spellEnd"/>
    </w:p>
    <w:p w14:paraId="18C7F195" w14:textId="77777777" w:rsidR="00DC76BE" w:rsidRPr="00DC76BE" w:rsidRDefault="00DC76BE" w:rsidP="00A805F0">
      <w:pPr>
        <w:spacing w:after="0" w:line="240" w:lineRule="auto"/>
        <w:outlineLvl w:val="3"/>
        <w:rPr>
          <w:rFonts w:ascii="Arial" w:eastAsia="Times New Roman" w:hAnsi="Arial" w:cs="Arial"/>
          <w:sz w:val="20"/>
          <w:szCs w:val="20"/>
          <w:lang w:eastAsia="es-CO"/>
        </w:rPr>
      </w:pPr>
      <w:r w:rsidRPr="00DC76BE">
        <w:rPr>
          <w:rFonts w:ascii="Arial" w:eastAsia="Times New Roman" w:hAnsi="Arial" w:cs="Arial"/>
          <w:sz w:val="20"/>
          <w:szCs w:val="20"/>
          <w:lang w:eastAsia="es-CO"/>
        </w:rPr>
        <w:t>Valeria García Múnera</w:t>
      </w:r>
      <w:hyperlink r:id="rId4" w:anchor="Valeria-García-Múnera" w:history="1">
        <w:r w:rsidRPr="00DC76BE">
          <w:rPr>
            <w:rFonts w:ascii="Arial" w:eastAsia="Times New Roman" w:hAnsi="Arial" w:cs="Arial"/>
            <w:color w:val="0000FF"/>
            <w:sz w:val="20"/>
            <w:szCs w:val="20"/>
            <w:u w:val="single"/>
            <w:lang w:eastAsia="es-CO"/>
          </w:rPr>
          <w:t>¶</w:t>
        </w:r>
      </w:hyperlink>
    </w:p>
    <w:p w14:paraId="498BA025" w14:textId="4C74CF6C" w:rsidR="00DC76BE" w:rsidRPr="00A805F0" w:rsidRDefault="00DC76BE" w:rsidP="00A805F0">
      <w:pPr>
        <w:spacing w:after="0" w:line="240" w:lineRule="auto"/>
        <w:outlineLvl w:val="3"/>
        <w:rPr>
          <w:rFonts w:ascii="Arial" w:eastAsia="Times New Roman" w:hAnsi="Arial" w:cs="Arial"/>
          <w:sz w:val="20"/>
          <w:szCs w:val="20"/>
          <w:lang w:val="en-US" w:eastAsia="es-CO"/>
        </w:rPr>
      </w:pPr>
      <w:r w:rsidRPr="00DC76BE">
        <w:rPr>
          <w:rFonts w:ascii="Arial" w:eastAsia="Times New Roman" w:hAnsi="Arial" w:cs="Arial"/>
          <w:sz w:val="20"/>
          <w:szCs w:val="20"/>
          <w:lang w:val="en-US" w:eastAsia="es-CO"/>
        </w:rPr>
        <w:t xml:space="preserve">Camilo Andrés Serrano </w:t>
      </w:r>
      <w:proofErr w:type="spellStart"/>
      <w:r w:rsidRPr="00DC76BE">
        <w:rPr>
          <w:rFonts w:ascii="Arial" w:eastAsia="Times New Roman" w:hAnsi="Arial" w:cs="Arial"/>
          <w:sz w:val="20"/>
          <w:szCs w:val="20"/>
          <w:lang w:val="en-US" w:eastAsia="es-CO"/>
        </w:rPr>
        <w:t>Velandia</w:t>
      </w:r>
      <w:proofErr w:type="spellEnd"/>
      <w:r w:rsidRPr="00DC76BE">
        <w:rPr>
          <w:rFonts w:ascii="Arial" w:eastAsia="Times New Roman" w:hAnsi="Arial" w:cs="Arial"/>
          <w:sz w:val="20"/>
          <w:szCs w:val="20"/>
          <w:lang w:val="en-US" w:eastAsia="es-CO"/>
        </w:rPr>
        <w:t>.</w:t>
      </w:r>
    </w:p>
    <w:p w14:paraId="384634CE" w14:textId="77777777" w:rsidR="00A805F0" w:rsidRPr="00DC76BE" w:rsidRDefault="00A805F0" w:rsidP="00A805F0">
      <w:pPr>
        <w:spacing w:after="0" w:line="240" w:lineRule="auto"/>
        <w:outlineLvl w:val="3"/>
        <w:rPr>
          <w:rFonts w:ascii="Arial" w:eastAsia="Times New Roman" w:hAnsi="Arial" w:cs="Arial"/>
          <w:b/>
          <w:bCs/>
          <w:sz w:val="20"/>
          <w:szCs w:val="20"/>
          <w:lang w:val="en-US" w:eastAsia="es-CO"/>
        </w:rPr>
      </w:pPr>
    </w:p>
    <w:p w14:paraId="2FD01CBC" w14:textId="77777777" w:rsidR="00DC76BE" w:rsidRPr="00A805F0" w:rsidRDefault="00DC76BE" w:rsidP="00DC76BE">
      <w:pPr>
        <w:pStyle w:val="NormalWeb"/>
        <w:rPr>
          <w:rFonts w:ascii="Arial" w:hAnsi="Arial" w:cs="Arial"/>
          <w:sz w:val="20"/>
          <w:szCs w:val="20"/>
          <w:lang w:val="en-US"/>
        </w:rPr>
      </w:pPr>
      <w:r w:rsidRPr="00A805F0">
        <w:rPr>
          <w:rFonts w:ascii="Arial" w:hAnsi="Arial" w:cs="Arial"/>
          <w:sz w:val="20"/>
          <w:szCs w:val="20"/>
          <w:lang w:val="en-US"/>
        </w:rPr>
        <w:t>review of the number of favorable and unfavorable awards. this being the variable of interest, it is found that the number of favorable and unfavorable awards is similar.</w:t>
      </w:r>
    </w:p>
    <w:p w14:paraId="1AA553E5" w14:textId="5DEB23D3" w:rsidR="00DC76BE" w:rsidRPr="00A805F0" w:rsidRDefault="00DC76BE">
      <w:pPr>
        <w:rPr>
          <w:rFonts w:ascii="Arial" w:hAnsi="Arial" w:cs="Arial"/>
          <w:sz w:val="20"/>
          <w:szCs w:val="20"/>
        </w:rPr>
      </w:pPr>
      <w:r w:rsidRPr="00A805F0">
        <w:rPr>
          <w:rFonts w:ascii="Arial" w:hAnsi="Arial" w:cs="Arial"/>
          <w:noProof/>
          <w:sz w:val="20"/>
          <w:szCs w:val="20"/>
        </w:rPr>
        <w:drawing>
          <wp:inline distT="0" distB="0" distL="0" distR="0" wp14:anchorId="072EE7BD" wp14:editId="2D7CE500">
            <wp:extent cx="5937250" cy="2749550"/>
            <wp:effectExtent l="0" t="0" r="0" b="0"/>
            <wp:docPr id="27" name="Imagen 2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barras&#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0C3B002A" w14:textId="668222D1" w:rsidR="00DC76BE" w:rsidRPr="00A805F0" w:rsidRDefault="00DC76BE">
      <w:pPr>
        <w:rPr>
          <w:rFonts w:ascii="Arial" w:hAnsi="Arial" w:cs="Arial"/>
          <w:sz w:val="20"/>
          <w:szCs w:val="20"/>
          <w:lang w:val="en-US"/>
        </w:rPr>
      </w:pPr>
      <w:r w:rsidRPr="00A805F0">
        <w:rPr>
          <w:rFonts w:ascii="Arial" w:hAnsi="Arial" w:cs="Arial"/>
          <w:sz w:val="20"/>
          <w:szCs w:val="20"/>
          <w:lang w:val="en-US"/>
        </w:rPr>
        <w:t>When reviewing the words that are most repeated within the fact variable, we find that the word CONTRACT, CONTRACTOR, PARTY and PAYMENT are highlighted. These are the ones that are most frequently found and therefore can be one of the main factors of demands to the state, this point will be reviewed in more depth.</w:t>
      </w:r>
    </w:p>
    <w:p w14:paraId="297EA948" w14:textId="1F396ADD" w:rsidR="00DC76BE" w:rsidRPr="00A805F0" w:rsidRDefault="00DC76BE">
      <w:pPr>
        <w:rPr>
          <w:rFonts w:ascii="Arial" w:hAnsi="Arial" w:cs="Arial"/>
          <w:sz w:val="20"/>
          <w:szCs w:val="20"/>
          <w:lang w:val="en-US"/>
        </w:rPr>
      </w:pPr>
      <w:r w:rsidRPr="00A805F0">
        <w:rPr>
          <w:rFonts w:ascii="Arial" w:hAnsi="Arial" w:cs="Arial"/>
          <w:noProof/>
          <w:sz w:val="20"/>
          <w:szCs w:val="20"/>
          <w:lang w:val="en-US"/>
        </w:rPr>
        <w:lastRenderedPageBreak/>
        <w:drawing>
          <wp:inline distT="0" distB="0" distL="0" distR="0" wp14:anchorId="28C3047D" wp14:editId="6303AE0F">
            <wp:extent cx="5943600" cy="3346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190FB1F" w14:textId="0544EF8D" w:rsidR="00DC76BE" w:rsidRPr="00A805F0" w:rsidRDefault="00DC76BE">
      <w:pPr>
        <w:rPr>
          <w:rFonts w:ascii="Arial" w:hAnsi="Arial" w:cs="Arial"/>
          <w:sz w:val="20"/>
          <w:szCs w:val="20"/>
          <w:lang w:val="en-US"/>
        </w:rPr>
      </w:pPr>
      <w:r w:rsidRPr="00A805F0">
        <w:rPr>
          <w:rFonts w:ascii="Arial" w:hAnsi="Arial" w:cs="Arial"/>
          <w:sz w:val="20"/>
          <w:szCs w:val="20"/>
          <w:lang w:val="en-US"/>
        </w:rPr>
        <w:t xml:space="preserve">Next, the exploration of other variables will be carried out, each of the variables will be reviewed with respect to the number of failures, </w:t>
      </w:r>
      <w:proofErr w:type="gramStart"/>
      <w:r w:rsidRPr="00A805F0">
        <w:rPr>
          <w:rFonts w:ascii="Arial" w:hAnsi="Arial" w:cs="Arial"/>
          <w:sz w:val="20"/>
          <w:szCs w:val="20"/>
          <w:lang w:val="en-US"/>
        </w:rPr>
        <w:t>in order to</w:t>
      </w:r>
      <w:proofErr w:type="gramEnd"/>
      <w:r w:rsidRPr="00A805F0">
        <w:rPr>
          <w:rFonts w:ascii="Arial" w:hAnsi="Arial" w:cs="Arial"/>
          <w:sz w:val="20"/>
          <w:szCs w:val="20"/>
          <w:lang w:val="en-US"/>
        </w:rPr>
        <w:t xml:space="preserve"> determine if any of them has a type of bias in the failure</w:t>
      </w:r>
    </w:p>
    <w:p w14:paraId="2BB270BA" w14:textId="40A6AA79"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78884BA5" wp14:editId="722D9AA1">
            <wp:extent cx="5937250" cy="2749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54E6AAEA" w14:textId="3773BC45" w:rsidR="00DC76BE" w:rsidRPr="00A805F0" w:rsidRDefault="00DC76BE">
      <w:pPr>
        <w:rPr>
          <w:rFonts w:ascii="Arial" w:hAnsi="Arial" w:cs="Arial"/>
          <w:sz w:val="20"/>
          <w:szCs w:val="20"/>
          <w:lang w:val="en-US"/>
        </w:rPr>
      </w:pPr>
      <w:r w:rsidRPr="00A805F0">
        <w:rPr>
          <w:rFonts w:ascii="Arial" w:hAnsi="Arial" w:cs="Arial"/>
          <w:sz w:val="20"/>
          <w:szCs w:val="20"/>
          <w:lang w:val="en-US"/>
        </w:rPr>
        <w:t>When looking for some type of payment by the state, it is observed that the number of unfavorable rulings is high.</w:t>
      </w:r>
    </w:p>
    <w:p w14:paraId="00A05E0E" w14:textId="7263636E"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22311C23" wp14:editId="5245DB97">
            <wp:extent cx="5937250" cy="2749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2719982C" w14:textId="77777777" w:rsidR="00DC76BE" w:rsidRPr="00A805F0" w:rsidRDefault="00DC76BE" w:rsidP="00DC76BE">
      <w:pPr>
        <w:pStyle w:val="NormalWeb"/>
        <w:rPr>
          <w:rFonts w:ascii="Arial" w:hAnsi="Arial" w:cs="Arial"/>
          <w:sz w:val="20"/>
          <w:szCs w:val="20"/>
          <w:lang w:val="en-US"/>
        </w:rPr>
      </w:pPr>
      <w:r w:rsidRPr="00A805F0">
        <w:rPr>
          <w:rFonts w:ascii="Arial" w:hAnsi="Arial" w:cs="Arial"/>
          <w:sz w:val="20"/>
          <w:szCs w:val="20"/>
          <w:lang w:val="en-US"/>
        </w:rPr>
        <w:t>When the amounts of the demands are high, it is observed that most of the rulings are unfavorable, therefore the state is forced to pay billions of pesos.</w:t>
      </w:r>
    </w:p>
    <w:p w14:paraId="69EA679F" w14:textId="4C1BE537"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09A8A00E" wp14:editId="1191761B">
            <wp:extent cx="5937250" cy="2749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65355F85" w14:textId="34E3371F"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7B55A054" wp14:editId="4D2AA8F2">
            <wp:extent cx="5937250" cy="274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0BC6607B" w14:textId="4713C7A0"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00F533D7" wp14:editId="1751E952">
            <wp:extent cx="5937250" cy="2749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5CDE2BC6" w14:textId="2A8EE1D6"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0E3C464E" wp14:editId="01D30C8C">
            <wp:extent cx="5937250" cy="2749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467AAB94" w14:textId="1BEF9884"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6499D8EB" wp14:editId="32909E93">
            <wp:extent cx="5937250" cy="2749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51BAD333" w14:textId="3AAB883F" w:rsidR="00DC76BE" w:rsidRPr="00A805F0" w:rsidRDefault="00DC76BE">
      <w:pPr>
        <w:rPr>
          <w:rFonts w:ascii="Arial" w:hAnsi="Arial" w:cs="Arial"/>
          <w:sz w:val="20"/>
          <w:szCs w:val="20"/>
        </w:rPr>
      </w:pPr>
      <w:r w:rsidRPr="00A805F0">
        <w:rPr>
          <w:rFonts w:ascii="Arial" w:hAnsi="Arial" w:cs="Arial"/>
          <w:sz w:val="20"/>
          <w:szCs w:val="20"/>
          <w:lang w:val="en-US"/>
        </w:rPr>
        <w:t xml:space="preserve">The univariate analysis of each column is done to check that there are no inconsistencies. </w:t>
      </w:r>
      <w:proofErr w:type="spellStart"/>
      <w:r w:rsidRPr="00A805F0">
        <w:rPr>
          <w:rFonts w:ascii="Arial" w:hAnsi="Arial" w:cs="Arial"/>
          <w:sz w:val="20"/>
          <w:szCs w:val="20"/>
        </w:rPr>
        <w:t>The</w:t>
      </w:r>
      <w:proofErr w:type="spellEnd"/>
      <w:r w:rsidRPr="00A805F0">
        <w:rPr>
          <w:rFonts w:ascii="Arial" w:hAnsi="Arial" w:cs="Arial"/>
          <w:sz w:val="20"/>
          <w:szCs w:val="20"/>
        </w:rPr>
        <w:t xml:space="preserve"> </w:t>
      </w:r>
      <w:proofErr w:type="spellStart"/>
      <w:r w:rsidRPr="00A805F0">
        <w:rPr>
          <w:rFonts w:ascii="Arial" w:hAnsi="Arial" w:cs="Arial"/>
          <w:sz w:val="20"/>
          <w:szCs w:val="20"/>
        </w:rPr>
        <w:t>first</w:t>
      </w:r>
      <w:proofErr w:type="spellEnd"/>
      <w:r w:rsidRPr="00A805F0">
        <w:rPr>
          <w:rFonts w:ascii="Arial" w:hAnsi="Arial" w:cs="Arial"/>
          <w:sz w:val="20"/>
          <w:szCs w:val="20"/>
        </w:rPr>
        <w:t xml:space="preserve"> variable </w:t>
      </w:r>
      <w:proofErr w:type="spellStart"/>
      <w:r w:rsidRPr="00A805F0">
        <w:rPr>
          <w:rFonts w:ascii="Arial" w:hAnsi="Arial" w:cs="Arial"/>
          <w:sz w:val="20"/>
          <w:szCs w:val="20"/>
        </w:rPr>
        <w:t>to</w:t>
      </w:r>
      <w:proofErr w:type="spellEnd"/>
      <w:r w:rsidRPr="00A805F0">
        <w:rPr>
          <w:rFonts w:ascii="Arial" w:hAnsi="Arial" w:cs="Arial"/>
          <w:sz w:val="20"/>
          <w:szCs w:val="20"/>
        </w:rPr>
        <w:t xml:space="preserve"> </w:t>
      </w:r>
      <w:proofErr w:type="spellStart"/>
      <w:r w:rsidRPr="00A805F0">
        <w:rPr>
          <w:rFonts w:ascii="Arial" w:hAnsi="Arial" w:cs="Arial"/>
          <w:sz w:val="20"/>
          <w:szCs w:val="20"/>
        </w:rPr>
        <w:t>analyze</w:t>
      </w:r>
      <w:proofErr w:type="spellEnd"/>
      <w:r w:rsidRPr="00A805F0">
        <w:rPr>
          <w:rFonts w:ascii="Arial" w:hAnsi="Arial" w:cs="Arial"/>
          <w:sz w:val="20"/>
          <w:szCs w:val="20"/>
        </w:rPr>
        <w:t xml:space="preserve"> </w:t>
      </w:r>
      <w:proofErr w:type="spellStart"/>
      <w:r w:rsidRPr="00A805F0">
        <w:rPr>
          <w:rFonts w:ascii="Arial" w:hAnsi="Arial" w:cs="Arial"/>
          <w:sz w:val="20"/>
          <w:szCs w:val="20"/>
        </w:rPr>
        <w:t>is</w:t>
      </w:r>
      <w:proofErr w:type="spellEnd"/>
      <w:r w:rsidRPr="00A805F0">
        <w:rPr>
          <w:rFonts w:ascii="Arial" w:hAnsi="Arial" w:cs="Arial"/>
          <w:sz w:val="20"/>
          <w:szCs w:val="20"/>
        </w:rPr>
        <w:t xml:space="preserve"> </w:t>
      </w:r>
      <w:proofErr w:type="spellStart"/>
      <w:r w:rsidRPr="00A805F0">
        <w:rPr>
          <w:rFonts w:ascii="Arial" w:hAnsi="Arial" w:cs="Arial"/>
          <w:sz w:val="20"/>
          <w:szCs w:val="20"/>
        </w:rPr>
        <w:t>entity_id</w:t>
      </w:r>
      <w:proofErr w:type="spellEnd"/>
      <w:r w:rsidRPr="00A805F0">
        <w:rPr>
          <w:rFonts w:ascii="Arial" w:hAnsi="Arial" w:cs="Arial"/>
          <w:sz w:val="20"/>
          <w:szCs w:val="20"/>
        </w:rPr>
        <w:t>.</w:t>
      </w:r>
    </w:p>
    <w:p w14:paraId="6196B5A5" w14:textId="1880F152" w:rsidR="00DC76BE" w:rsidRPr="00A805F0" w:rsidRDefault="00DC76BE">
      <w:pPr>
        <w:rPr>
          <w:rFonts w:ascii="Arial" w:hAnsi="Arial" w:cs="Arial"/>
          <w:sz w:val="20"/>
          <w:szCs w:val="20"/>
          <w:lang w:val="en-US"/>
        </w:rPr>
      </w:pPr>
      <w:r w:rsidRPr="00A805F0">
        <w:rPr>
          <w:rFonts w:ascii="Arial" w:hAnsi="Arial" w:cs="Arial"/>
          <w:sz w:val="20"/>
          <w:szCs w:val="20"/>
          <w:lang w:val="en-US"/>
        </w:rPr>
        <w:t xml:space="preserve">It was found that there are </w:t>
      </w:r>
      <w:proofErr w:type="gramStart"/>
      <w:r w:rsidRPr="00A805F0">
        <w:rPr>
          <w:rFonts w:ascii="Arial" w:hAnsi="Arial" w:cs="Arial"/>
          <w:sz w:val="20"/>
          <w:szCs w:val="20"/>
          <w:lang w:val="en-US"/>
        </w:rPr>
        <w:t>a number of</w:t>
      </w:r>
      <w:proofErr w:type="gramEnd"/>
      <w:r w:rsidRPr="00A805F0">
        <w:rPr>
          <w:rFonts w:ascii="Arial" w:hAnsi="Arial" w:cs="Arial"/>
          <w:sz w:val="20"/>
          <w:szCs w:val="20"/>
          <w:lang w:val="en-US"/>
        </w:rPr>
        <w:t xml:space="preserve"> institutions that tend to lose a greater number of rulings, in addition there are other entities that are sued more frequently, being the national television authority the one that presents the greatest number of lawsuits.</w:t>
      </w:r>
    </w:p>
    <w:p w14:paraId="25B6A158" w14:textId="2F76264A" w:rsidR="00DC76BE" w:rsidRPr="00A805F0" w:rsidRDefault="00DC76BE">
      <w:pPr>
        <w:rPr>
          <w:rFonts w:ascii="Arial" w:hAnsi="Arial" w:cs="Arial"/>
          <w:sz w:val="20"/>
          <w:szCs w:val="20"/>
          <w:lang w:val="en-US"/>
        </w:rPr>
      </w:pPr>
      <w:r w:rsidRPr="00A805F0">
        <w:rPr>
          <w:rFonts w:ascii="Arial" w:hAnsi="Arial" w:cs="Arial"/>
          <w:sz w:val="20"/>
          <w:szCs w:val="20"/>
          <w:lang w:val="en-US"/>
        </w:rPr>
        <w:t>There are no null values in the IDs. However, there seem to be IDs with an atypical number of digits (other than three), which may be due to a typing error:</w:t>
      </w:r>
    </w:p>
    <w:p w14:paraId="0E3E6828" w14:textId="77777777" w:rsidR="00DC76BE" w:rsidRPr="00A805F0" w:rsidRDefault="00DC76BE" w:rsidP="00DC76BE">
      <w:pPr>
        <w:pStyle w:val="NormalWeb"/>
        <w:rPr>
          <w:rFonts w:ascii="Arial" w:hAnsi="Arial" w:cs="Arial"/>
          <w:sz w:val="20"/>
          <w:szCs w:val="20"/>
          <w:lang w:val="en-US"/>
        </w:rPr>
      </w:pPr>
      <w:r w:rsidRPr="00A805F0">
        <w:rPr>
          <w:rFonts w:ascii="Arial" w:hAnsi="Arial" w:cs="Arial"/>
          <w:sz w:val="20"/>
          <w:szCs w:val="20"/>
          <w:lang w:val="en-US"/>
        </w:rPr>
        <w:t>Most lawsuits have amounts in "pesos", followed by "dollars" and finally "minimum monthly wages"</w:t>
      </w:r>
    </w:p>
    <w:p w14:paraId="62A7BC2C" w14:textId="77777777" w:rsidR="00DC76BE" w:rsidRPr="00A805F0" w:rsidRDefault="00DC76BE">
      <w:pPr>
        <w:rPr>
          <w:rFonts w:ascii="Arial" w:hAnsi="Arial" w:cs="Arial"/>
          <w:sz w:val="20"/>
          <w:szCs w:val="20"/>
          <w:lang w:val="en-US"/>
        </w:rPr>
      </w:pPr>
    </w:p>
    <w:p w14:paraId="3B1C8D41" w14:textId="0B2E7464"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3287FFC0" wp14:editId="3720B341">
            <wp:extent cx="5937250" cy="3606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1033DA1A" w14:textId="71D20435" w:rsidR="00DC76BE" w:rsidRPr="00A805F0" w:rsidRDefault="00DC76BE">
      <w:pPr>
        <w:rPr>
          <w:rFonts w:ascii="Arial" w:hAnsi="Arial" w:cs="Arial"/>
          <w:sz w:val="20"/>
          <w:szCs w:val="20"/>
          <w:lang w:val="en-US"/>
        </w:rPr>
      </w:pPr>
      <w:r w:rsidRPr="00A805F0">
        <w:rPr>
          <w:rFonts w:ascii="Arial" w:hAnsi="Arial" w:cs="Arial"/>
          <w:sz w:val="20"/>
          <w:szCs w:val="20"/>
          <w:lang w:val="en-US"/>
        </w:rPr>
        <w:t>On the other hand, it is noted that the values are quite high and there are atypical data since the distribution has a positive bias.</w:t>
      </w:r>
    </w:p>
    <w:p w14:paraId="16EB5BC8" w14:textId="20F846E3"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477E44A7" wp14:editId="1F933A81">
            <wp:extent cx="5937250" cy="3606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4FC8D8B0" w14:textId="77777777" w:rsidR="00DC76BE" w:rsidRPr="00A805F0" w:rsidRDefault="00DC76BE" w:rsidP="00DC76BE">
      <w:pPr>
        <w:pStyle w:val="NormalWeb"/>
        <w:rPr>
          <w:rFonts w:ascii="Arial" w:hAnsi="Arial" w:cs="Arial"/>
          <w:sz w:val="20"/>
          <w:szCs w:val="20"/>
          <w:lang w:val="en-US"/>
        </w:rPr>
      </w:pPr>
      <w:r w:rsidRPr="00A805F0">
        <w:rPr>
          <w:rFonts w:ascii="Arial" w:hAnsi="Arial" w:cs="Arial"/>
          <w:sz w:val="20"/>
          <w:szCs w:val="20"/>
          <w:lang w:val="en-US"/>
        </w:rPr>
        <w:t xml:space="preserve">The variable </w:t>
      </w:r>
      <w:proofErr w:type="spellStart"/>
      <w:r w:rsidRPr="00A805F0">
        <w:rPr>
          <w:rFonts w:ascii="Arial" w:hAnsi="Arial" w:cs="Arial"/>
          <w:sz w:val="20"/>
          <w:szCs w:val="20"/>
          <w:lang w:val="en-US"/>
        </w:rPr>
        <w:t>value_ini_ind</w:t>
      </w:r>
      <w:proofErr w:type="spellEnd"/>
      <w:r w:rsidRPr="00A805F0">
        <w:rPr>
          <w:rFonts w:ascii="Arial" w:hAnsi="Arial" w:cs="Arial"/>
          <w:sz w:val="20"/>
          <w:szCs w:val="20"/>
          <w:lang w:val="en-US"/>
        </w:rPr>
        <w:t xml:space="preserve"> has a similar behavior with some differences:</w:t>
      </w:r>
    </w:p>
    <w:p w14:paraId="6FC44003" w14:textId="77777777" w:rsidR="00DC76BE" w:rsidRPr="00A805F0" w:rsidRDefault="00DC76BE">
      <w:pPr>
        <w:rPr>
          <w:rFonts w:ascii="Arial" w:hAnsi="Arial" w:cs="Arial"/>
          <w:sz w:val="20"/>
          <w:szCs w:val="20"/>
          <w:lang w:val="en-US"/>
        </w:rPr>
      </w:pPr>
    </w:p>
    <w:p w14:paraId="189BFABC" w14:textId="672DCA0D"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56D93FA3" wp14:editId="6A379CAC">
            <wp:extent cx="5937250" cy="3606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1A694E57" w14:textId="77777777" w:rsidR="00DC76BE" w:rsidRPr="00A805F0" w:rsidRDefault="00DC76BE" w:rsidP="00DC76BE">
      <w:pPr>
        <w:pStyle w:val="NormalWeb"/>
        <w:rPr>
          <w:rFonts w:ascii="Arial" w:hAnsi="Arial" w:cs="Arial"/>
          <w:sz w:val="20"/>
          <w:szCs w:val="20"/>
          <w:lang w:val="en-US"/>
        </w:rPr>
      </w:pPr>
      <w:r w:rsidRPr="00A805F0">
        <w:rPr>
          <w:rFonts w:ascii="Arial" w:hAnsi="Arial" w:cs="Arial"/>
          <w:sz w:val="20"/>
          <w:szCs w:val="20"/>
          <w:lang w:val="en-US"/>
        </w:rPr>
        <w:t>This is the top 5 of counterparts, summoned and summoners:</w:t>
      </w:r>
    </w:p>
    <w:p w14:paraId="62AD4710" w14:textId="77777777" w:rsidR="00DC76BE" w:rsidRPr="00A805F0" w:rsidRDefault="00DC76BE">
      <w:pPr>
        <w:rPr>
          <w:rFonts w:ascii="Arial" w:hAnsi="Arial" w:cs="Arial"/>
          <w:sz w:val="20"/>
          <w:szCs w:val="20"/>
          <w:lang w:val="en-US"/>
        </w:rPr>
      </w:pPr>
    </w:p>
    <w:p w14:paraId="72C2447E" w14:textId="54EF1148"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105568B1" wp14:editId="2FD04133">
            <wp:extent cx="5937250" cy="5492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5492750"/>
                    </a:xfrm>
                    <a:prstGeom prst="rect">
                      <a:avLst/>
                    </a:prstGeom>
                    <a:noFill/>
                    <a:ln>
                      <a:noFill/>
                    </a:ln>
                  </pic:spPr>
                </pic:pic>
              </a:graphicData>
            </a:graphic>
          </wp:inline>
        </w:drawing>
      </w:r>
    </w:p>
    <w:p w14:paraId="7276E167" w14:textId="7D1BBA36" w:rsidR="00DC76BE" w:rsidRPr="00A805F0" w:rsidRDefault="00DC76BE">
      <w:pPr>
        <w:rPr>
          <w:rFonts w:ascii="Arial" w:hAnsi="Arial" w:cs="Arial"/>
          <w:sz w:val="20"/>
          <w:szCs w:val="20"/>
          <w:lang w:val="en-US"/>
        </w:rPr>
      </w:pPr>
      <w:r w:rsidRPr="00A805F0">
        <w:rPr>
          <w:rFonts w:ascii="Arial" w:hAnsi="Arial" w:cs="Arial"/>
          <w:sz w:val="20"/>
          <w:szCs w:val="20"/>
          <w:lang w:val="en-US"/>
        </w:rPr>
        <w:t>Most of the awards are resolved in the first instance, a very low proportion of the cases in the database present a resolution in the second instance due to the filing of appeals. The instances framed under the extraordinary resource may be related to high amounts. In the case of the ruling, it may mean that they can be reviewed by a judge</w:t>
      </w:r>
    </w:p>
    <w:p w14:paraId="5A7B536A" w14:textId="77777777" w:rsidR="00673877" w:rsidRPr="00A805F0" w:rsidRDefault="00673877">
      <w:pPr>
        <w:rPr>
          <w:rFonts w:ascii="Arial" w:hAnsi="Arial" w:cs="Arial"/>
          <w:sz w:val="20"/>
          <w:szCs w:val="20"/>
          <w:lang w:val="en-US"/>
        </w:rPr>
      </w:pPr>
    </w:p>
    <w:p w14:paraId="7179F0D2" w14:textId="483BF089"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3E624E5C" wp14:editId="7824E0C5">
            <wp:extent cx="5937250" cy="5492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5492750"/>
                    </a:xfrm>
                    <a:prstGeom prst="rect">
                      <a:avLst/>
                    </a:prstGeom>
                    <a:noFill/>
                    <a:ln>
                      <a:noFill/>
                    </a:ln>
                  </pic:spPr>
                </pic:pic>
              </a:graphicData>
            </a:graphic>
          </wp:inline>
        </w:drawing>
      </w:r>
    </w:p>
    <w:p w14:paraId="3E87883E" w14:textId="45D2932C"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7456D3D0" wp14:editId="4FB30820">
            <wp:extent cx="5937250" cy="54927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5492750"/>
                    </a:xfrm>
                    <a:prstGeom prst="rect">
                      <a:avLst/>
                    </a:prstGeom>
                    <a:noFill/>
                    <a:ln>
                      <a:noFill/>
                    </a:ln>
                  </pic:spPr>
                </pic:pic>
              </a:graphicData>
            </a:graphic>
          </wp:inline>
        </w:drawing>
      </w:r>
    </w:p>
    <w:p w14:paraId="3A64D899" w14:textId="2BC3B549"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16700CF3" wp14:editId="29C45A35">
            <wp:extent cx="5937250" cy="27495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3881BC9C" w14:textId="77777777" w:rsidR="00DC76BE" w:rsidRPr="00A805F0" w:rsidRDefault="00DC76BE" w:rsidP="00DC76BE">
      <w:pPr>
        <w:pStyle w:val="NormalWeb"/>
        <w:rPr>
          <w:rFonts w:ascii="Arial" w:hAnsi="Arial" w:cs="Arial"/>
          <w:sz w:val="20"/>
          <w:szCs w:val="20"/>
          <w:lang w:val="en-US"/>
        </w:rPr>
      </w:pPr>
      <w:r w:rsidRPr="00A805F0">
        <w:rPr>
          <w:rFonts w:ascii="Arial" w:hAnsi="Arial" w:cs="Arial"/>
          <w:sz w:val="20"/>
          <w:szCs w:val="20"/>
          <w:lang w:val="en-US"/>
        </w:rPr>
        <w:t xml:space="preserve">Most of the awards are in the judgment stage, a low proportion is in the evidence stage and a few cases are in the abnormal termination stage that perhaps refers to a kind of conciliation </w:t>
      </w:r>
      <w:proofErr w:type="spellStart"/>
      <w:r w:rsidRPr="00A805F0">
        <w:rPr>
          <w:rFonts w:ascii="Arial" w:hAnsi="Arial" w:cs="Arial"/>
          <w:sz w:val="20"/>
          <w:szCs w:val="20"/>
          <w:lang w:val="en-US"/>
        </w:rPr>
        <w:t>conciliation</w:t>
      </w:r>
      <w:proofErr w:type="spellEnd"/>
    </w:p>
    <w:p w14:paraId="1E2BF257" w14:textId="642D6F95"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360D49DF" wp14:editId="1F819A37">
            <wp:extent cx="5937250" cy="27495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66EBADD7" w14:textId="77777777" w:rsidR="00DC76BE" w:rsidRPr="00A805F0" w:rsidRDefault="00DC76BE" w:rsidP="00DC76BE">
      <w:pPr>
        <w:pStyle w:val="NormalWeb"/>
        <w:rPr>
          <w:rFonts w:ascii="Arial" w:hAnsi="Arial" w:cs="Arial"/>
          <w:sz w:val="20"/>
          <w:szCs w:val="20"/>
          <w:lang w:val="en-US"/>
        </w:rPr>
      </w:pPr>
      <w:r w:rsidRPr="00A805F0">
        <w:rPr>
          <w:rFonts w:ascii="Arial" w:hAnsi="Arial" w:cs="Arial"/>
          <w:sz w:val="20"/>
          <w:szCs w:val="20"/>
          <w:lang w:val="en-US"/>
        </w:rPr>
        <w:t xml:space="preserve">Most cases of arbitration selection occur by mutual agreement between the parties, but a large proportion is chosen by lottery generally used by the arbitration center. The process must be </w:t>
      </w:r>
      <w:proofErr w:type="gramStart"/>
      <w:r w:rsidRPr="00A805F0">
        <w:rPr>
          <w:rFonts w:ascii="Arial" w:hAnsi="Arial" w:cs="Arial"/>
          <w:sz w:val="20"/>
          <w:szCs w:val="20"/>
          <w:lang w:val="en-US"/>
        </w:rPr>
        <w:t>studied in depth</w:t>
      </w:r>
      <w:proofErr w:type="gramEnd"/>
      <w:r w:rsidRPr="00A805F0">
        <w:rPr>
          <w:rFonts w:ascii="Arial" w:hAnsi="Arial" w:cs="Arial"/>
          <w:sz w:val="20"/>
          <w:szCs w:val="20"/>
          <w:lang w:val="en-US"/>
        </w:rPr>
        <w:t xml:space="preserve"> to establish why in some cases the decision rests with a civil judge</w:t>
      </w:r>
    </w:p>
    <w:p w14:paraId="3E1E88D6" w14:textId="77777777" w:rsidR="00DC76BE" w:rsidRPr="00A805F0" w:rsidRDefault="00DC76BE">
      <w:pPr>
        <w:rPr>
          <w:rFonts w:ascii="Arial" w:hAnsi="Arial" w:cs="Arial"/>
          <w:sz w:val="20"/>
          <w:szCs w:val="20"/>
          <w:lang w:val="en-US"/>
        </w:rPr>
      </w:pPr>
    </w:p>
    <w:p w14:paraId="46A08265" w14:textId="67F09524"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4AE87A24" wp14:editId="7F440A1A">
            <wp:extent cx="5937250" cy="27495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11AA6A1E" w14:textId="77777777" w:rsidR="00A805F0" w:rsidRPr="00A805F0" w:rsidRDefault="00A805F0" w:rsidP="00A805F0">
      <w:pPr>
        <w:pStyle w:val="NormalWeb"/>
        <w:rPr>
          <w:rFonts w:ascii="Arial" w:hAnsi="Arial" w:cs="Arial"/>
          <w:sz w:val="20"/>
          <w:szCs w:val="20"/>
          <w:lang w:val="en-US"/>
        </w:rPr>
      </w:pPr>
      <w:r w:rsidRPr="00A805F0">
        <w:rPr>
          <w:rFonts w:ascii="Arial" w:hAnsi="Arial" w:cs="Arial"/>
          <w:sz w:val="20"/>
          <w:szCs w:val="20"/>
          <w:lang w:val="en-US"/>
        </w:rPr>
        <w:t>The issue of the secretaries deserves special attention, since the distribution should tend to be more uniform, but there are about 8 arbitrators who concentrate almost half of the cases</w:t>
      </w:r>
    </w:p>
    <w:p w14:paraId="534080C9" w14:textId="114D2501"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32199C44" wp14:editId="527D5970">
            <wp:extent cx="5937250" cy="2749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57914093" w14:textId="5B0DF719"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0E12FF74" wp14:editId="2CCD2D80">
            <wp:extent cx="5937250" cy="2749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41CD714B" w14:textId="44F880A2"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4013F9B1" wp14:editId="6F872009">
            <wp:extent cx="5937250" cy="2749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0C6B90BC" w14:textId="3F36077B"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52D01A4E" wp14:editId="0C01F6C9">
            <wp:extent cx="5937250" cy="274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16C9D5A0" w14:textId="4B782524"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5DC51501" wp14:editId="086E5B85">
            <wp:extent cx="5937250" cy="27495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5B35B443" w14:textId="51B5AC48"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00AE4E3A" wp14:editId="6287A776">
            <wp:extent cx="5937250" cy="36068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39C82824" w14:textId="77777777" w:rsidR="00A805F0" w:rsidRPr="00A805F0" w:rsidRDefault="00A805F0" w:rsidP="00A805F0">
      <w:pPr>
        <w:pStyle w:val="NormalWeb"/>
        <w:rPr>
          <w:rFonts w:ascii="Arial" w:hAnsi="Arial" w:cs="Arial"/>
          <w:sz w:val="20"/>
          <w:szCs w:val="20"/>
          <w:lang w:val="en-US"/>
        </w:rPr>
      </w:pPr>
      <w:r w:rsidRPr="00A805F0">
        <w:rPr>
          <w:rFonts w:ascii="Arial" w:hAnsi="Arial" w:cs="Arial"/>
          <w:sz w:val="20"/>
          <w:szCs w:val="20"/>
          <w:lang w:val="en-US"/>
        </w:rPr>
        <w:t>The impact of the awards is divided between legal and macroeconomic, with the legal impact being the one with the largest number of arbitral awards with approximately 60%, while the macroeconomic impact has 20% of arbitral awards and the remaining 20% of arbitral awards has no definite impact.</w:t>
      </w:r>
    </w:p>
    <w:p w14:paraId="419F2684" w14:textId="77777777" w:rsidR="00A805F0" w:rsidRPr="00A805F0" w:rsidRDefault="00A805F0">
      <w:pPr>
        <w:rPr>
          <w:rFonts w:ascii="Arial" w:hAnsi="Arial" w:cs="Arial"/>
          <w:sz w:val="20"/>
          <w:szCs w:val="20"/>
          <w:lang w:val="en-US"/>
        </w:rPr>
      </w:pPr>
    </w:p>
    <w:p w14:paraId="70C74CC2" w14:textId="4EB8B7DB"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491F12E9" wp14:editId="267A8A3A">
            <wp:extent cx="5937250" cy="36068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2DE3A82C" w14:textId="77777777" w:rsidR="00A805F0" w:rsidRPr="00A805F0" w:rsidRDefault="00A805F0" w:rsidP="00A805F0">
      <w:pPr>
        <w:pStyle w:val="NormalWeb"/>
        <w:rPr>
          <w:rFonts w:ascii="Arial" w:hAnsi="Arial" w:cs="Arial"/>
          <w:sz w:val="20"/>
          <w:szCs w:val="20"/>
          <w:lang w:val="en-US"/>
        </w:rPr>
      </w:pPr>
      <w:r w:rsidRPr="00A805F0">
        <w:rPr>
          <w:rFonts w:ascii="Arial" w:hAnsi="Arial" w:cs="Arial"/>
          <w:sz w:val="20"/>
          <w:szCs w:val="20"/>
          <w:lang w:val="en-US"/>
        </w:rPr>
        <w:t>There are 146 attorneys-in-fact of the calling party, where it is observed that the majority have handled 1 or 2 cases and a maximum of 11 cases per attorney-in-fact. There are 20 arbitral awards that do not have information on the attorney of the calling party.</w:t>
      </w:r>
    </w:p>
    <w:p w14:paraId="1F72310A" w14:textId="77777777" w:rsidR="00A805F0" w:rsidRPr="00A805F0" w:rsidRDefault="00A805F0">
      <w:pPr>
        <w:rPr>
          <w:rFonts w:ascii="Arial" w:hAnsi="Arial" w:cs="Arial"/>
          <w:sz w:val="20"/>
          <w:szCs w:val="20"/>
          <w:lang w:val="en-US"/>
        </w:rPr>
      </w:pPr>
    </w:p>
    <w:p w14:paraId="1047F577" w14:textId="11B767EB" w:rsidR="00673877" w:rsidRPr="00A805F0" w:rsidRDefault="00673877">
      <w:pPr>
        <w:rPr>
          <w:rFonts w:ascii="Arial" w:hAnsi="Arial" w:cs="Arial"/>
          <w:sz w:val="20"/>
          <w:szCs w:val="20"/>
        </w:rPr>
      </w:pPr>
      <w:r w:rsidRPr="00A805F0">
        <w:rPr>
          <w:rFonts w:ascii="Arial" w:hAnsi="Arial" w:cs="Arial"/>
          <w:noProof/>
          <w:sz w:val="20"/>
          <w:szCs w:val="20"/>
        </w:rPr>
        <w:lastRenderedPageBreak/>
        <w:drawing>
          <wp:inline distT="0" distB="0" distL="0" distR="0" wp14:anchorId="102DD5E4" wp14:editId="6C7B6F31">
            <wp:extent cx="5937250" cy="3606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441A643C" w14:textId="79FA9AFF" w:rsidR="00A805F0" w:rsidRPr="00A805F0" w:rsidRDefault="00A805F0" w:rsidP="00A805F0">
      <w:pPr>
        <w:pStyle w:val="NormalWeb"/>
        <w:rPr>
          <w:rFonts w:ascii="Arial" w:hAnsi="Arial" w:cs="Arial"/>
          <w:sz w:val="20"/>
          <w:szCs w:val="20"/>
          <w:lang w:val="en-US"/>
        </w:rPr>
      </w:pPr>
      <w:r w:rsidRPr="00A805F0">
        <w:rPr>
          <w:rFonts w:ascii="Arial" w:hAnsi="Arial" w:cs="Arial"/>
          <w:sz w:val="20"/>
          <w:szCs w:val="20"/>
          <w:lang w:val="en-US"/>
        </w:rPr>
        <w:t>There is complete information on the attorneys of the summoned party for all arbitral awards, in total there are 115 attorneys of the summoned party with a maximum of 11 cases handled by the same attorney, but most have only been appointed for a single process.</w:t>
      </w:r>
    </w:p>
    <w:p w14:paraId="1570AA24" w14:textId="1E1919EE" w:rsidR="00673877" w:rsidRPr="00A805F0" w:rsidRDefault="00673877">
      <w:pPr>
        <w:rPr>
          <w:rFonts w:ascii="Arial" w:hAnsi="Arial" w:cs="Arial"/>
          <w:sz w:val="20"/>
          <w:szCs w:val="20"/>
        </w:rPr>
      </w:pPr>
      <w:r w:rsidRPr="00A805F0">
        <w:rPr>
          <w:rFonts w:ascii="Arial" w:hAnsi="Arial" w:cs="Arial"/>
          <w:noProof/>
          <w:sz w:val="20"/>
          <w:szCs w:val="20"/>
        </w:rPr>
        <w:drawing>
          <wp:inline distT="0" distB="0" distL="0" distR="0" wp14:anchorId="03777FF1" wp14:editId="1B127E78">
            <wp:extent cx="5937250" cy="2749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18362767" w14:textId="0FE72278" w:rsidR="00673877" w:rsidRPr="00A805F0" w:rsidRDefault="00A805F0" w:rsidP="00A805F0">
      <w:pPr>
        <w:pStyle w:val="NormalWeb"/>
        <w:rPr>
          <w:rFonts w:ascii="Arial" w:hAnsi="Arial" w:cs="Arial"/>
          <w:sz w:val="20"/>
          <w:szCs w:val="20"/>
          <w:lang w:val="en-US"/>
        </w:rPr>
      </w:pPr>
      <w:r w:rsidRPr="00A805F0">
        <w:rPr>
          <w:rFonts w:ascii="Arial" w:hAnsi="Arial" w:cs="Arial"/>
          <w:sz w:val="20"/>
          <w:szCs w:val="20"/>
          <w:lang w:val="en-US"/>
        </w:rPr>
        <w:t xml:space="preserve">More than 80% of the public entities participate as convened, within which a prevailing sense of the unfavorable award is observed. On the other hand, the public entities that act as conveners are less than 30% and for these there is a predominant sense of favorable award. There are cases in which public entities act both as conveners and conveners, this may be </w:t>
      </w:r>
      <w:proofErr w:type="gramStart"/>
      <w:r w:rsidRPr="00A805F0">
        <w:rPr>
          <w:rFonts w:ascii="Arial" w:hAnsi="Arial" w:cs="Arial"/>
          <w:sz w:val="20"/>
          <w:szCs w:val="20"/>
          <w:lang w:val="en-US"/>
        </w:rPr>
        <w:t>due to the fact that</w:t>
      </w:r>
      <w:proofErr w:type="gramEnd"/>
      <w:r w:rsidRPr="00A805F0">
        <w:rPr>
          <w:rFonts w:ascii="Arial" w:hAnsi="Arial" w:cs="Arial"/>
          <w:sz w:val="20"/>
          <w:szCs w:val="20"/>
          <w:lang w:val="en-US"/>
        </w:rPr>
        <w:t xml:space="preserve"> there are entities that are mixed that have part of their public administration and a private part.</w:t>
      </w:r>
    </w:p>
    <w:sectPr w:rsidR="00673877" w:rsidRPr="00A805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877"/>
    <w:rsid w:val="000F1B75"/>
    <w:rsid w:val="00140ED4"/>
    <w:rsid w:val="001F2A10"/>
    <w:rsid w:val="00362681"/>
    <w:rsid w:val="003830C2"/>
    <w:rsid w:val="005C6479"/>
    <w:rsid w:val="005F2EE9"/>
    <w:rsid w:val="00673877"/>
    <w:rsid w:val="00704A77"/>
    <w:rsid w:val="00860F00"/>
    <w:rsid w:val="00A805F0"/>
    <w:rsid w:val="00B6371B"/>
    <w:rsid w:val="00D26E6B"/>
    <w:rsid w:val="00DC76BE"/>
    <w:rsid w:val="00E825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A58B"/>
  <w15:chartTrackingRefBased/>
  <w15:docId w15:val="{87A1DE2E-3C5A-4A6F-BDD7-5427A97D3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C76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DC76BE"/>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unhideWhenUsed/>
    <w:qFormat/>
    <w:rsid w:val="0070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DC76B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arc3">
    <w:name w:val="tit_arc3"/>
    <w:basedOn w:val="Ttulo3"/>
    <w:link w:val="titarc3Car"/>
    <w:qFormat/>
    <w:rsid w:val="00704A77"/>
    <w:pPr>
      <w:spacing w:before="240" w:after="240"/>
    </w:pPr>
    <w:rPr>
      <w:sz w:val="18"/>
      <w:szCs w:val="18"/>
      <w:lang w:val="es-MX"/>
    </w:rPr>
  </w:style>
  <w:style w:type="character" w:customStyle="1" w:styleId="titarc3Car">
    <w:name w:val="tit_arc3 Car"/>
    <w:basedOn w:val="Ttulo3Car"/>
    <w:link w:val="titarc3"/>
    <w:rsid w:val="00704A77"/>
    <w:rPr>
      <w:rFonts w:asciiTheme="majorHAnsi" w:eastAsiaTheme="majorEastAsia" w:hAnsiTheme="majorHAnsi" w:cstheme="majorBidi"/>
      <w:color w:val="1F3763" w:themeColor="accent1" w:themeShade="7F"/>
      <w:sz w:val="18"/>
      <w:szCs w:val="18"/>
      <w:lang w:val="es-MX"/>
    </w:rPr>
  </w:style>
  <w:style w:type="character" w:customStyle="1" w:styleId="Ttulo3Car">
    <w:name w:val="Título 3 Car"/>
    <w:basedOn w:val="Fuentedeprrafopredeter"/>
    <w:link w:val="Ttulo3"/>
    <w:uiPriority w:val="9"/>
    <w:rsid w:val="00704A7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DC76BE"/>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DC76BE"/>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rsid w:val="00DC76BE"/>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semiHidden/>
    <w:unhideWhenUsed/>
    <w:rsid w:val="00DC76BE"/>
    <w:rPr>
      <w:color w:val="0000FF"/>
      <w:u w:val="single"/>
    </w:rPr>
  </w:style>
  <w:style w:type="paragraph" w:styleId="NormalWeb">
    <w:name w:val="Normal (Web)"/>
    <w:basedOn w:val="Normal"/>
    <w:uiPriority w:val="99"/>
    <w:unhideWhenUsed/>
    <w:rsid w:val="00DC76BE"/>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4650">
      <w:bodyDiv w:val="1"/>
      <w:marLeft w:val="0"/>
      <w:marRight w:val="0"/>
      <w:marTop w:val="0"/>
      <w:marBottom w:val="0"/>
      <w:divBdr>
        <w:top w:val="none" w:sz="0" w:space="0" w:color="auto"/>
        <w:left w:val="none" w:sz="0" w:space="0" w:color="auto"/>
        <w:bottom w:val="none" w:sz="0" w:space="0" w:color="auto"/>
        <w:right w:val="none" w:sz="0" w:space="0" w:color="auto"/>
      </w:divBdr>
      <w:divsChild>
        <w:div w:id="1752922798">
          <w:marLeft w:val="0"/>
          <w:marRight w:val="0"/>
          <w:marTop w:val="0"/>
          <w:marBottom w:val="0"/>
          <w:divBdr>
            <w:top w:val="none" w:sz="0" w:space="0" w:color="auto"/>
            <w:left w:val="none" w:sz="0" w:space="0" w:color="auto"/>
            <w:bottom w:val="none" w:sz="0" w:space="0" w:color="auto"/>
            <w:right w:val="none" w:sz="0" w:space="0" w:color="auto"/>
          </w:divBdr>
          <w:divsChild>
            <w:div w:id="1515067960">
              <w:marLeft w:val="0"/>
              <w:marRight w:val="0"/>
              <w:marTop w:val="0"/>
              <w:marBottom w:val="0"/>
              <w:divBdr>
                <w:top w:val="none" w:sz="0" w:space="0" w:color="auto"/>
                <w:left w:val="none" w:sz="0" w:space="0" w:color="auto"/>
                <w:bottom w:val="none" w:sz="0" w:space="0" w:color="auto"/>
                <w:right w:val="none" w:sz="0" w:space="0" w:color="auto"/>
              </w:divBdr>
              <w:divsChild>
                <w:div w:id="15040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5969">
      <w:bodyDiv w:val="1"/>
      <w:marLeft w:val="0"/>
      <w:marRight w:val="0"/>
      <w:marTop w:val="0"/>
      <w:marBottom w:val="0"/>
      <w:divBdr>
        <w:top w:val="none" w:sz="0" w:space="0" w:color="auto"/>
        <w:left w:val="none" w:sz="0" w:space="0" w:color="auto"/>
        <w:bottom w:val="none" w:sz="0" w:space="0" w:color="auto"/>
        <w:right w:val="none" w:sz="0" w:space="0" w:color="auto"/>
      </w:divBdr>
      <w:divsChild>
        <w:div w:id="800079446">
          <w:marLeft w:val="0"/>
          <w:marRight w:val="0"/>
          <w:marTop w:val="0"/>
          <w:marBottom w:val="0"/>
          <w:divBdr>
            <w:top w:val="none" w:sz="0" w:space="0" w:color="auto"/>
            <w:left w:val="none" w:sz="0" w:space="0" w:color="auto"/>
            <w:bottom w:val="none" w:sz="0" w:space="0" w:color="auto"/>
            <w:right w:val="none" w:sz="0" w:space="0" w:color="auto"/>
          </w:divBdr>
          <w:divsChild>
            <w:div w:id="306054629">
              <w:marLeft w:val="0"/>
              <w:marRight w:val="0"/>
              <w:marTop w:val="0"/>
              <w:marBottom w:val="0"/>
              <w:divBdr>
                <w:top w:val="none" w:sz="0" w:space="0" w:color="auto"/>
                <w:left w:val="none" w:sz="0" w:space="0" w:color="auto"/>
                <w:bottom w:val="none" w:sz="0" w:space="0" w:color="auto"/>
                <w:right w:val="none" w:sz="0" w:space="0" w:color="auto"/>
              </w:divBdr>
              <w:divsChild>
                <w:div w:id="16339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5338">
      <w:bodyDiv w:val="1"/>
      <w:marLeft w:val="0"/>
      <w:marRight w:val="0"/>
      <w:marTop w:val="0"/>
      <w:marBottom w:val="0"/>
      <w:divBdr>
        <w:top w:val="none" w:sz="0" w:space="0" w:color="auto"/>
        <w:left w:val="none" w:sz="0" w:space="0" w:color="auto"/>
        <w:bottom w:val="none" w:sz="0" w:space="0" w:color="auto"/>
        <w:right w:val="none" w:sz="0" w:space="0" w:color="auto"/>
      </w:divBdr>
      <w:divsChild>
        <w:div w:id="2146897267">
          <w:marLeft w:val="0"/>
          <w:marRight w:val="0"/>
          <w:marTop w:val="0"/>
          <w:marBottom w:val="0"/>
          <w:divBdr>
            <w:top w:val="none" w:sz="0" w:space="0" w:color="auto"/>
            <w:left w:val="none" w:sz="0" w:space="0" w:color="auto"/>
            <w:bottom w:val="none" w:sz="0" w:space="0" w:color="auto"/>
            <w:right w:val="none" w:sz="0" w:space="0" w:color="auto"/>
          </w:divBdr>
          <w:divsChild>
            <w:div w:id="6182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57273">
      <w:bodyDiv w:val="1"/>
      <w:marLeft w:val="0"/>
      <w:marRight w:val="0"/>
      <w:marTop w:val="0"/>
      <w:marBottom w:val="0"/>
      <w:divBdr>
        <w:top w:val="none" w:sz="0" w:space="0" w:color="auto"/>
        <w:left w:val="none" w:sz="0" w:space="0" w:color="auto"/>
        <w:bottom w:val="none" w:sz="0" w:space="0" w:color="auto"/>
        <w:right w:val="none" w:sz="0" w:space="0" w:color="auto"/>
      </w:divBdr>
      <w:divsChild>
        <w:div w:id="1254512770">
          <w:marLeft w:val="0"/>
          <w:marRight w:val="0"/>
          <w:marTop w:val="0"/>
          <w:marBottom w:val="0"/>
          <w:divBdr>
            <w:top w:val="none" w:sz="0" w:space="0" w:color="auto"/>
            <w:left w:val="none" w:sz="0" w:space="0" w:color="auto"/>
            <w:bottom w:val="none" w:sz="0" w:space="0" w:color="auto"/>
            <w:right w:val="none" w:sz="0" w:space="0" w:color="auto"/>
          </w:divBdr>
          <w:divsChild>
            <w:div w:id="1740591625">
              <w:marLeft w:val="0"/>
              <w:marRight w:val="0"/>
              <w:marTop w:val="0"/>
              <w:marBottom w:val="0"/>
              <w:divBdr>
                <w:top w:val="none" w:sz="0" w:space="0" w:color="auto"/>
                <w:left w:val="none" w:sz="0" w:space="0" w:color="auto"/>
                <w:bottom w:val="none" w:sz="0" w:space="0" w:color="auto"/>
                <w:right w:val="none" w:sz="0" w:space="0" w:color="auto"/>
              </w:divBdr>
              <w:divsChild>
                <w:div w:id="6066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748022">
      <w:bodyDiv w:val="1"/>
      <w:marLeft w:val="0"/>
      <w:marRight w:val="0"/>
      <w:marTop w:val="0"/>
      <w:marBottom w:val="0"/>
      <w:divBdr>
        <w:top w:val="none" w:sz="0" w:space="0" w:color="auto"/>
        <w:left w:val="none" w:sz="0" w:space="0" w:color="auto"/>
        <w:bottom w:val="none" w:sz="0" w:space="0" w:color="auto"/>
        <w:right w:val="none" w:sz="0" w:space="0" w:color="auto"/>
      </w:divBdr>
      <w:divsChild>
        <w:div w:id="1559633662">
          <w:marLeft w:val="0"/>
          <w:marRight w:val="0"/>
          <w:marTop w:val="0"/>
          <w:marBottom w:val="0"/>
          <w:divBdr>
            <w:top w:val="none" w:sz="0" w:space="0" w:color="auto"/>
            <w:left w:val="none" w:sz="0" w:space="0" w:color="auto"/>
            <w:bottom w:val="none" w:sz="0" w:space="0" w:color="auto"/>
            <w:right w:val="none" w:sz="0" w:space="0" w:color="auto"/>
          </w:divBdr>
          <w:divsChild>
            <w:div w:id="416485433">
              <w:marLeft w:val="0"/>
              <w:marRight w:val="0"/>
              <w:marTop w:val="0"/>
              <w:marBottom w:val="0"/>
              <w:divBdr>
                <w:top w:val="none" w:sz="0" w:space="0" w:color="auto"/>
                <w:left w:val="none" w:sz="0" w:space="0" w:color="auto"/>
                <w:bottom w:val="none" w:sz="0" w:space="0" w:color="auto"/>
                <w:right w:val="none" w:sz="0" w:space="0" w:color="auto"/>
              </w:divBdr>
              <w:divsChild>
                <w:div w:id="6750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471744">
      <w:bodyDiv w:val="1"/>
      <w:marLeft w:val="0"/>
      <w:marRight w:val="0"/>
      <w:marTop w:val="0"/>
      <w:marBottom w:val="0"/>
      <w:divBdr>
        <w:top w:val="none" w:sz="0" w:space="0" w:color="auto"/>
        <w:left w:val="none" w:sz="0" w:space="0" w:color="auto"/>
        <w:bottom w:val="none" w:sz="0" w:space="0" w:color="auto"/>
        <w:right w:val="none" w:sz="0" w:space="0" w:color="auto"/>
      </w:divBdr>
      <w:divsChild>
        <w:div w:id="989363056">
          <w:marLeft w:val="0"/>
          <w:marRight w:val="0"/>
          <w:marTop w:val="0"/>
          <w:marBottom w:val="0"/>
          <w:divBdr>
            <w:top w:val="none" w:sz="0" w:space="0" w:color="auto"/>
            <w:left w:val="none" w:sz="0" w:space="0" w:color="auto"/>
            <w:bottom w:val="none" w:sz="0" w:space="0" w:color="auto"/>
            <w:right w:val="none" w:sz="0" w:space="0" w:color="auto"/>
          </w:divBdr>
          <w:divsChild>
            <w:div w:id="1608467078">
              <w:marLeft w:val="0"/>
              <w:marRight w:val="0"/>
              <w:marTop w:val="0"/>
              <w:marBottom w:val="0"/>
              <w:divBdr>
                <w:top w:val="none" w:sz="0" w:space="0" w:color="auto"/>
                <w:left w:val="none" w:sz="0" w:space="0" w:color="auto"/>
                <w:bottom w:val="none" w:sz="0" w:space="0" w:color="auto"/>
                <w:right w:val="none" w:sz="0" w:space="0" w:color="auto"/>
              </w:divBdr>
              <w:divsChild>
                <w:div w:id="10535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0624">
      <w:bodyDiv w:val="1"/>
      <w:marLeft w:val="0"/>
      <w:marRight w:val="0"/>
      <w:marTop w:val="0"/>
      <w:marBottom w:val="0"/>
      <w:divBdr>
        <w:top w:val="none" w:sz="0" w:space="0" w:color="auto"/>
        <w:left w:val="none" w:sz="0" w:space="0" w:color="auto"/>
        <w:bottom w:val="none" w:sz="0" w:space="0" w:color="auto"/>
        <w:right w:val="none" w:sz="0" w:space="0" w:color="auto"/>
      </w:divBdr>
    </w:div>
    <w:div w:id="948391299">
      <w:bodyDiv w:val="1"/>
      <w:marLeft w:val="0"/>
      <w:marRight w:val="0"/>
      <w:marTop w:val="0"/>
      <w:marBottom w:val="0"/>
      <w:divBdr>
        <w:top w:val="none" w:sz="0" w:space="0" w:color="auto"/>
        <w:left w:val="none" w:sz="0" w:space="0" w:color="auto"/>
        <w:bottom w:val="none" w:sz="0" w:space="0" w:color="auto"/>
        <w:right w:val="none" w:sz="0" w:space="0" w:color="auto"/>
      </w:divBdr>
      <w:divsChild>
        <w:div w:id="2138328845">
          <w:marLeft w:val="0"/>
          <w:marRight w:val="0"/>
          <w:marTop w:val="0"/>
          <w:marBottom w:val="0"/>
          <w:divBdr>
            <w:top w:val="none" w:sz="0" w:space="0" w:color="auto"/>
            <w:left w:val="none" w:sz="0" w:space="0" w:color="auto"/>
            <w:bottom w:val="none" w:sz="0" w:space="0" w:color="auto"/>
            <w:right w:val="none" w:sz="0" w:space="0" w:color="auto"/>
          </w:divBdr>
          <w:divsChild>
            <w:div w:id="1767185944">
              <w:marLeft w:val="0"/>
              <w:marRight w:val="0"/>
              <w:marTop w:val="0"/>
              <w:marBottom w:val="0"/>
              <w:divBdr>
                <w:top w:val="none" w:sz="0" w:space="0" w:color="auto"/>
                <w:left w:val="none" w:sz="0" w:space="0" w:color="auto"/>
                <w:bottom w:val="none" w:sz="0" w:space="0" w:color="auto"/>
                <w:right w:val="none" w:sz="0" w:space="0" w:color="auto"/>
              </w:divBdr>
              <w:divsChild>
                <w:div w:id="5557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89443">
      <w:bodyDiv w:val="1"/>
      <w:marLeft w:val="0"/>
      <w:marRight w:val="0"/>
      <w:marTop w:val="0"/>
      <w:marBottom w:val="0"/>
      <w:divBdr>
        <w:top w:val="none" w:sz="0" w:space="0" w:color="auto"/>
        <w:left w:val="none" w:sz="0" w:space="0" w:color="auto"/>
        <w:bottom w:val="none" w:sz="0" w:space="0" w:color="auto"/>
        <w:right w:val="none" w:sz="0" w:space="0" w:color="auto"/>
      </w:divBdr>
      <w:divsChild>
        <w:div w:id="1161507455">
          <w:marLeft w:val="0"/>
          <w:marRight w:val="0"/>
          <w:marTop w:val="0"/>
          <w:marBottom w:val="0"/>
          <w:divBdr>
            <w:top w:val="none" w:sz="0" w:space="0" w:color="auto"/>
            <w:left w:val="none" w:sz="0" w:space="0" w:color="auto"/>
            <w:bottom w:val="none" w:sz="0" w:space="0" w:color="auto"/>
            <w:right w:val="none" w:sz="0" w:space="0" w:color="auto"/>
          </w:divBdr>
          <w:divsChild>
            <w:div w:id="1114135407">
              <w:marLeft w:val="0"/>
              <w:marRight w:val="0"/>
              <w:marTop w:val="0"/>
              <w:marBottom w:val="0"/>
              <w:divBdr>
                <w:top w:val="none" w:sz="0" w:space="0" w:color="auto"/>
                <w:left w:val="none" w:sz="0" w:space="0" w:color="auto"/>
                <w:bottom w:val="none" w:sz="0" w:space="0" w:color="auto"/>
                <w:right w:val="none" w:sz="0" w:space="0" w:color="auto"/>
              </w:divBdr>
              <w:divsChild>
                <w:div w:id="17986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7146">
      <w:bodyDiv w:val="1"/>
      <w:marLeft w:val="0"/>
      <w:marRight w:val="0"/>
      <w:marTop w:val="0"/>
      <w:marBottom w:val="0"/>
      <w:divBdr>
        <w:top w:val="none" w:sz="0" w:space="0" w:color="auto"/>
        <w:left w:val="none" w:sz="0" w:space="0" w:color="auto"/>
        <w:bottom w:val="none" w:sz="0" w:space="0" w:color="auto"/>
        <w:right w:val="none" w:sz="0" w:space="0" w:color="auto"/>
      </w:divBdr>
      <w:divsChild>
        <w:div w:id="945237157">
          <w:marLeft w:val="0"/>
          <w:marRight w:val="0"/>
          <w:marTop w:val="0"/>
          <w:marBottom w:val="0"/>
          <w:divBdr>
            <w:top w:val="none" w:sz="0" w:space="0" w:color="auto"/>
            <w:left w:val="none" w:sz="0" w:space="0" w:color="auto"/>
            <w:bottom w:val="none" w:sz="0" w:space="0" w:color="auto"/>
            <w:right w:val="none" w:sz="0" w:space="0" w:color="auto"/>
          </w:divBdr>
          <w:divsChild>
            <w:div w:id="1312363643">
              <w:marLeft w:val="0"/>
              <w:marRight w:val="0"/>
              <w:marTop w:val="0"/>
              <w:marBottom w:val="0"/>
              <w:divBdr>
                <w:top w:val="none" w:sz="0" w:space="0" w:color="auto"/>
                <w:left w:val="none" w:sz="0" w:space="0" w:color="auto"/>
                <w:bottom w:val="none" w:sz="0" w:space="0" w:color="auto"/>
                <w:right w:val="none" w:sz="0" w:space="0" w:color="auto"/>
              </w:divBdr>
              <w:divsChild>
                <w:div w:id="13429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4555">
      <w:bodyDiv w:val="1"/>
      <w:marLeft w:val="0"/>
      <w:marRight w:val="0"/>
      <w:marTop w:val="0"/>
      <w:marBottom w:val="0"/>
      <w:divBdr>
        <w:top w:val="none" w:sz="0" w:space="0" w:color="auto"/>
        <w:left w:val="none" w:sz="0" w:space="0" w:color="auto"/>
        <w:bottom w:val="none" w:sz="0" w:space="0" w:color="auto"/>
        <w:right w:val="none" w:sz="0" w:space="0" w:color="auto"/>
      </w:divBdr>
      <w:divsChild>
        <w:div w:id="1518039781">
          <w:marLeft w:val="0"/>
          <w:marRight w:val="0"/>
          <w:marTop w:val="0"/>
          <w:marBottom w:val="0"/>
          <w:divBdr>
            <w:top w:val="none" w:sz="0" w:space="0" w:color="auto"/>
            <w:left w:val="none" w:sz="0" w:space="0" w:color="auto"/>
            <w:bottom w:val="none" w:sz="0" w:space="0" w:color="auto"/>
            <w:right w:val="none" w:sz="0" w:space="0" w:color="auto"/>
          </w:divBdr>
          <w:divsChild>
            <w:div w:id="1687093497">
              <w:marLeft w:val="0"/>
              <w:marRight w:val="0"/>
              <w:marTop w:val="0"/>
              <w:marBottom w:val="0"/>
              <w:divBdr>
                <w:top w:val="none" w:sz="0" w:space="0" w:color="auto"/>
                <w:left w:val="none" w:sz="0" w:space="0" w:color="auto"/>
                <w:bottom w:val="none" w:sz="0" w:space="0" w:color="auto"/>
                <w:right w:val="none" w:sz="0" w:space="0" w:color="auto"/>
              </w:divBdr>
              <w:divsChild>
                <w:div w:id="16744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35678">
      <w:bodyDiv w:val="1"/>
      <w:marLeft w:val="0"/>
      <w:marRight w:val="0"/>
      <w:marTop w:val="0"/>
      <w:marBottom w:val="0"/>
      <w:divBdr>
        <w:top w:val="none" w:sz="0" w:space="0" w:color="auto"/>
        <w:left w:val="none" w:sz="0" w:space="0" w:color="auto"/>
        <w:bottom w:val="none" w:sz="0" w:space="0" w:color="auto"/>
        <w:right w:val="none" w:sz="0" w:space="0" w:color="auto"/>
      </w:divBdr>
      <w:divsChild>
        <w:div w:id="1026296572">
          <w:marLeft w:val="0"/>
          <w:marRight w:val="0"/>
          <w:marTop w:val="0"/>
          <w:marBottom w:val="0"/>
          <w:divBdr>
            <w:top w:val="none" w:sz="0" w:space="0" w:color="auto"/>
            <w:left w:val="none" w:sz="0" w:space="0" w:color="auto"/>
            <w:bottom w:val="none" w:sz="0" w:space="0" w:color="auto"/>
            <w:right w:val="none" w:sz="0" w:space="0" w:color="auto"/>
          </w:divBdr>
          <w:divsChild>
            <w:div w:id="1586693686">
              <w:marLeft w:val="0"/>
              <w:marRight w:val="0"/>
              <w:marTop w:val="0"/>
              <w:marBottom w:val="0"/>
              <w:divBdr>
                <w:top w:val="none" w:sz="0" w:space="0" w:color="auto"/>
                <w:left w:val="none" w:sz="0" w:space="0" w:color="auto"/>
                <w:bottom w:val="none" w:sz="0" w:space="0" w:color="auto"/>
                <w:right w:val="none" w:sz="0" w:space="0" w:color="auto"/>
              </w:divBdr>
              <w:divsChild>
                <w:div w:id="2291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6719">
      <w:bodyDiv w:val="1"/>
      <w:marLeft w:val="0"/>
      <w:marRight w:val="0"/>
      <w:marTop w:val="0"/>
      <w:marBottom w:val="0"/>
      <w:divBdr>
        <w:top w:val="none" w:sz="0" w:space="0" w:color="auto"/>
        <w:left w:val="none" w:sz="0" w:space="0" w:color="auto"/>
        <w:bottom w:val="none" w:sz="0" w:space="0" w:color="auto"/>
        <w:right w:val="none" w:sz="0" w:space="0" w:color="auto"/>
      </w:divBdr>
      <w:divsChild>
        <w:div w:id="317199200">
          <w:marLeft w:val="0"/>
          <w:marRight w:val="0"/>
          <w:marTop w:val="0"/>
          <w:marBottom w:val="0"/>
          <w:divBdr>
            <w:top w:val="none" w:sz="0" w:space="0" w:color="auto"/>
            <w:left w:val="none" w:sz="0" w:space="0" w:color="auto"/>
            <w:bottom w:val="none" w:sz="0" w:space="0" w:color="auto"/>
            <w:right w:val="none" w:sz="0" w:space="0" w:color="auto"/>
          </w:divBdr>
          <w:divsChild>
            <w:div w:id="224999875">
              <w:marLeft w:val="0"/>
              <w:marRight w:val="0"/>
              <w:marTop w:val="0"/>
              <w:marBottom w:val="0"/>
              <w:divBdr>
                <w:top w:val="none" w:sz="0" w:space="0" w:color="auto"/>
                <w:left w:val="none" w:sz="0" w:space="0" w:color="auto"/>
                <w:bottom w:val="none" w:sz="0" w:space="0" w:color="auto"/>
                <w:right w:val="none" w:sz="0" w:space="0" w:color="auto"/>
              </w:divBdr>
              <w:divsChild>
                <w:div w:id="15731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81237">
      <w:bodyDiv w:val="1"/>
      <w:marLeft w:val="0"/>
      <w:marRight w:val="0"/>
      <w:marTop w:val="0"/>
      <w:marBottom w:val="0"/>
      <w:divBdr>
        <w:top w:val="none" w:sz="0" w:space="0" w:color="auto"/>
        <w:left w:val="none" w:sz="0" w:space="0" w:color="auto"/>
        <w:bottom w:val="none" w:sz="0" w:space="0" w:color="auto"/>
        <w:right w:val="none" w:sz="0" w:space="0" w:color="auto"/>
      </w:divBdr>
      <w:divsChild>
        <w:div w:id="478890302">
          <w:marLeft w:val="0"/>
          <w:marRight w:val="0"/>
          <w:marTop w:val="0"/>
          <w:marBottom w:val="0"/>
          <w:divBdr>
            <w:top w:val="none" w:sz="0" w:space="0" w:color="auto"/>
            <w:left w:val="none" w:sz="0" w:space="0" w:color="auto"/>
            <w:bottom w:val="none" w:sz="0" w:space="0" w:color="auto"/>
            <w:right w:val="none" w:sz="0" w:space="0" w:color="auto"/>
          </w:divBdr>
          <w:divsChild>
            <w:div w:id="375467235">
              <w:marLeft w:val="0"/>
              <w:marRight w:val="0"/>
              <w:marTop w:val="0"/>
              <w:marBottom w:val="0"/>
              <w:divBdr>
                <w:top w:val="none" w:sz="0" w:space="0" w:color="auto"/>
                <w:left w:val="none" w:sz="0" w:space="0" w:color="auto"/>
                <w:bottom w:val="none" w:sz="0" w:space="0" w:color="auto"/>
                <w:right w:val="none" w:sz="0" w:space="0" w:color="auto"/>
              </w:divBdr>
              <w:divsChild>
                <w:div w:id="17297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hyperlink" Target="http://localhost:8888/notebooks/Documents/curso%20de%20ciencia%20de%20datos/Agencia%20Nacional%20de%20Defensa%20Jur%C3%ADdica%20del%20Estado/proyecto/ds4a_proyecto/anali.ipynb"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17</Pages>
  <Words>731</Words>
  <Characters>4024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Montenegro</dc:creator>
  <cp:keywords/>
  <dc:description/>
  <cp:lastModifiedBy>Brayan Montenegro</cp:lastModifiedBy>
  <cp:revision>1</cp:revision>
  <dcterms:created xsi:type="dcterms:W3CDTF">2022-05-27T03:46:00Z</dcterms:created>
  <dcterms:modified xsi:type="dcterms:W3CDTF">2022-05-27T04:00:00Z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2022-05-27T03:46:44Z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19d8a4cb-3c31-4fa3-9706-7c02f9bf2643</vt:lpwstr>
  </property>
  <property fmtid="{D5CDD505-2E9C-101B-9397-08002B2CF9AE}" pid="7" name="MSIP_Label_defa4170-0d19-0005-0004-bc88714345d2_ActionId">
    <vt:lpwstr>4995d824-3b7f-4c0e-bbca-61722cc97587</vt:lpwstr>
  </property>
  <property fmtid="{D5CDD505-2E9C-101B-9397-08002B2CF9AE}" pid="8" name="MSIP_Label_defa4170-0d19-0005-0004-bc88714345d2_ContentBits">
    <vt:lpwstr>0</vt:lpwstr>
  </property>
</Properties>
</file>