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Cuaderno</w:t>
      </w:r>
      <w:r>
        <w:t xml:space="preserve"> </w:t>
      </w:r>
      <w:r>
        <w:t xml:space="preserve">de</w:t>
      </w:r>
      <w:r>
        <w:t xml:space="preserve"> </w:t>
      </w:r>
      <w:r>
        <w:t xml:space="preserve">modelado</w:t>
      </w:r>
      <w:r>
        <w:t xml:space="preserve"> </w:t>
      </w:r>
      <w:r>
        <w:t xml:space="preserve">matemático</w:t>
      </w:r>
    </w:p>
    <w:p>
      <w:pPr>
        <w:pStyle w:val="Subtitle"/>
      </w:pPr>
      <w:r>
        <w:t xml:space="preserve">Control</w:t>
      </w:r>
      <w:r>
        <w:t xml:space="preserve"> </w:t>
      </w:r>
      <w:r>
        <w:t xml:space="preserve">de</w:t>
      </w:r>
      <w:r>
        <w:t xml:space="preserve"> </w:t>
      </w:r>
      <w:r>
        <w:t xml:space="preserve">temperatura</w:t>
      </w:r>
      <w:r>
        <w:t xml:space="preserve"> </w:t>
      </w:r>
      <w:r>
        <w:t xml:space="preserve">de</w:t>
      </w:r>
      <w:r>
        <w:t xml:space="preserve"> </w:t>
      </w:r>
      <w:r>
        <w:t xml:space="preserve">una</w:t>
      </w:r>
      <w:r>
        <w:t xml:space="preserve"> </w:t>
      </w:r>
      <w:r>
        <w:t xml:space="preserve">zona</w:t>
      </w:r>
      <w:r>
        <w:t xml:space="preserve"> </w:t>
      </w:r>
      <w:r>
        <w:t xml:space="preserve">equivalente</w:t>
      </w:r>
      <w:r>
        <w:t xml:space="preserve"> </w:t>
      </w:r>
      <w:r>
        <w:t xml:space="preserve">de</w:t>
      </w:r>
      <w:r>
        <w:t xml:space="preserve"> </w:t>
      </w:r>
      <w:r>
        <w:t xml:space="preserve">un</w:t>
      </w:r>
      <w:r>
        <w:t xml:space="preserve"> </w:t>
      </w:r>
      <w:r>
        <w:t xml:space="preserve">horno</w:t>
      </w:r>
      <w:r>
        <w:t xml:space="preserve"> </w:t>
      </w:r>
      <w:r>
        <w:t xml:space="preserve">de</w:t>
      </w:r>
      <w:r>
        <w:t xml:space="preserve"> </w:t>
      </w:r>
      <w:r>
        <w:t xml:space="preserve">cataforesis</w:t>
      </w:r>
    </w:p>
    <w:p>
      <w:pPr>
        <w:pStyle w:val="Author"/>
      </w:pPr>
      <w:r>
        <w:t xml:space="preserve">Valentín</w:t>
      </w:r>
      <w:r>
        <w:t xml:space="preserve"> </w:t>
      </w:r>
      <w:r>
        <w:t xml:space="preserve">Felizia</w:t>
      </w:r>
    </w:p>
    <w:p>
      <w:pPr>
        <w:pStyle w:val="Date"/>
      </w:pPr>
      <w:r>
        <w:t xml:space="preserve">Borrador</w:t>
      </w:r>
      <w:r>
        <w:t xml:space="preserve"> </w:t>
      </w:r>
      <w:r>
        <w:t xml:space="preserve">técnico</w:t>
      </w:r>
      <w:r>
        <w:t xml:space="preserve"> </w:t>
      </w:r>
      <w:r>
        <w:t xml:space="preserve">0.1</w:t>
      </w:r>
      <w:r>
        <w:t xml:space="preserve"> </w:t>
      </w:r>
      <w:r>
        <w:t xml:space="preserve">|</w:t>
      </w:r>
      <w:r>
        <w:t xml:space="preserve"> </w:t>
      </w:r>
      <w:r>
        <w:t xml:space="preserve">Cursado</w:t>
      </w:r>
      <w:r>
        <w:t xml:space="preserve"> </w:t>
      </w:r>
      <w:r>
        <w:t xml:space="preserve">2025</w:t>
      </w:r>
      <w:r>
        <w:t xml:space="preserve"> </w:t>
      </w:r>
      <w:r>
        <w:t xml:space="preserve">|</w:t>
      </w:r>
      <w:r>
        <w:t xml:space="preserve"> </w:t>
      </w:r>
      <w:r>
        <w:t xml:space="preserve">28</w:t>
      </w:r>
      <w:r>
        <w:t xml:space="preserve"> </w:t>
      </w:r>
      <w:r>
        <w:t xml:space="preserve">de</w:t>
      </w:r>
      <w:r>
        <w:t xml:space="preserve"> </w:t>
      </w:r>
      <w:r>
        <w:t xml:space="preserve">julio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pStyle w:val="BlockText"/>
      </w:pPr>
      <w:r>
        <w:t xml:space="preserve">Este documento concentra la matemática del proyecto antes de llevarla al</w:t>
      </w:r>
      <w:r>
        <w:t xml:space="preserve"> </w:t>
      </w:r>
      <w:r>
        <w:t xml:space="preserve">informe final. Los valores numéricos son supuestos académicos y no datos de</w:t>
      </w:r>
      <w:r>
        <w:t xml:space="preserve"> </w:t>
      </w:r>
      <w:r>
        <w:t xml:space="preserve">Renault.</w:t>
      </w:r>
    </w:p>
    <w:bookmarkStart w:id="21" w:name="definición-del-sistema"/>
    <w:p>
      <w:pPr>
        <w:pStyle w:val="Heading2"/>
      </w:pPr>
      <w:r>
        <w:t xml:space="preserve">1. Definición del sistema</w:t>
      </w:r>
    </w:p>
    <w:p>
      <w:pPr>
        <w:pStyle w:val="FirstParagraph"/>
      </w:pPr>
      <w:r>
        <w:t xml:space="preserve">El horno real se representa mediante una única zona térmica equivalente. El</w:t>
      </w:r>
      <w:r>
        <w:t xml:space="preserve"> </w:t>
      </w:r>
      <w:r>
        <w:t xml:space="preserve">objetivo del lazo es mantener la temperatura del aire de esa zona ante cambios</w:t>
      </w:r>
      <w:r>
        <w:t xml:space="preserve"> </w:t>
      </w:r>
      <w:r>
        <w:t xml:space="preserve">de referencia y perturbaciones térmicas.</w:t>
      </w:r>
    </w:p>
    <w:p>
      <w:pPr>
        <w:pStyle w:val="BodyText"/>
      </w:pPr>
      <w:r>
        <w:t xml:space="preserve">La calidad del curado depende de la temperatura de la pieza y del tiempo de</w:t>
      </w:r>
      <w:r>
        <w:t xml:space="preserve"> </w:t>
      </w:r>
      <w:r>
        <w:t xml:space="preserve">permanencia. Sin embargo, modelar una carrocería móvil dentro de varias zonas</w:t>
      </w:r>
      <w:r>
        <w:t xml:space="preserve"> </w:t>
      </w:r>
      <w:r>
        <w:t xml:space="preserve">exigiría un sistema distribuido. En este TFI, la energía absorbida por</w:t>
      </w:r>
      <w:r>
        <w:t xml:space="preserve"> </w:t>
      </w:r>
      <w:r>
        <w:t xml:space="preserve">carrocerías, carriers y renovación de aire se agrupa en una perturbación de</w:t>
      </w:r>
      <w:r>
        <w:t xml:space="preserve"> </w:t>
      </w:r>
      <w:r>
        <w:t xml:space="preserve">carga.</w:t>
      </w:r>
    </w:p>
    <w:bookmarkStart w:id="20" w:name="variables"/>
    <w:p>
      <w:pPr>
        <w:pStyle w:val="Heading3"/>
        <w:keepNext w:val="0"/>
      </w:pPr>
      <w:r>
        <w:t xml:space="preserve">1.1 Variables</w:t>
      </w:r>
    </w:p>
    <w:tbl>
      <w:tblPr>
        <w:tblStyle w:val="TableGrid"/>
        <w:tblW w:type="dxa" w:w="9360"/>
        <w:tblLayout w:type="fixed"/>
        <w:tblLook w:firstRow="1" w:lastRow="0" w:firstColumn="0" w:lastColumn="0" w:noHBand="0" w:noVBand="0" w:val="0020"/>
        <w:jc w:val="start"/>
        <w:tblInd w:w="120" w:type="dxa"/>
      </w:tblPr>
      <w:tblGrid>
        <w:gridCol w:w="1800"/>
        <w:gridCol w:w="5500"/>
        <w:gridCol w:w="2060"/>
      </w:tblGrid>
      <w:tr>
        <w:trPr>
          <w:tblHeader w:val="true"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Símbolo</w:t>
            </w:r>
          </w:p>
        </w:tc>
        <w:tc>
          <w:tcPr>
            <w:tcW w:w="5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Descripción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sz w:val="19"/>
              </w:rPr>
              <w:t xml:space="preserve">Unidad</w:t>
            </w:r>
          </w:p>
        </w:tc>
      </w:tr>
      <w:tr>
        <w:trPr/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z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>
            <w:tcW w:w="5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Temperatura del aire de la zona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°C</w:t>
            </w:r>
          </w:p>
        </w:tc>
      </w:tr>
      <w:tr>
        <w:trPr/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>
            <w:tcW w:w="5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Temperatura ambiente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°C</w:t>
            </w:r>
          </w:p>
        </w:tc>
      </w:tr>
      <w:tr>
        <w:trPr/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>
            <w:tcW w:w="5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Referencia de temperatura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°C</w:t>
            </w:r>
          </w:p>
        </w:tc>
      </w:tr>
      <w:tr>
        <w:trPr/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>
            <w:tcW w:w="5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Orden normalizada al quemador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p.u.</w:t>
            </w:r>
          </w:p>
        </w:tc>
      </w:tr>
      <w:tr>
        <w:trPr/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>
            <w:tcW w:w="5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Potencia térmica efectiva entregada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W</w:t>
            </w:r>
          </w:p>
        </w:tc>
      </w:tr>
      <w:tr>
        <w:trPr/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>
            <w:tcW w:w="5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Carga térmica agrupada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W</w:t>
            </w:r>
          </w:p>
        </w:tc>
      </w:tr>
      <w:tr>
        <w:trPr/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</w:p>
        </w:tc>
        <w:tc>
          <w:tcPr>
            <w:tcW w:w="5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Capacitancia térmica equivalente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J/K</w:t>
            </w:r>
          </w:p>
        </w:tc>
      </w:tr>
      <w:tr>
        <w:trPr/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</w:p>
        </w:tc>
        <w:tc>
          <w:tcPr>
            <w:tcW w:w="5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Resistencia térmica equivalente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K/W</w:t>
            </w:r>
          </w:p>
        </w:tc>
      </w:tr>
      <w:tr>
        <w:trPr/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r>
                <m:t>U</m:t>
              </m:r>
              <m:r>
                <m:t>A</m:t>
              </m:r>
            </m:oMath>
          </w:p>
        </w:tc>
        <w:tc>
          <w:tcPr>
            <w:tcW w:w="5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Conductancia térmica equivalente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W/K</w:t>
            </w:r>
          </w:p>
        </w:tc>
      </w:tr>
      <w:tr>
        <w:trPr/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>
            <w:tcW w:w="5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Ganancia estática del actuador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W/p.u.</w:t>
            </w:r>
          </w:p>
        </w:tc>
      </w:tr>
      <w:tr>
        <w:trPr/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>
            <w:tcW w:w="5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Constante de tiempo del actuador</w:t>
            </w:r>
          </w:p>
        </w:tc>
        <w:tc>
          <w:tcPr>
            <w:tcW w:w="2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s</w:t>
            </w:r>
          </w:p>
        </w:tc>
      </w:tr>
    </w:tbl>
    <w:p>
      <w:pPr>
        <w:pStyle w:val="BodyText"/>
      </w:pPr>
      <w:r>
        <w:t xml:space="preserve">Por definición: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r>
            <m:t>U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den>
          </m:f>
        </m:oMath>
      </m:oMathPara>
    </w:p>
    <w:bookmarkEnd w:id="20"/>
    <w:bookmarkEnd w:id="21"/>
    <w:bookmarkStart w:id="22" w:name="arquitectura-funcional"/>
    <w:p>
      <w:pPr>
        <w:pStyle w:val="Heading2"/>
      </w:pPr>
      <w:r>
        <w:t xml:space="preserve">2. Arquitectura funcional</w:t>
      </w:r>
    </w:p>
    <w:p>
      <w:pPr>
        <w:pStyle w:val="FirstParagraph"/>
      </w:pPr>
      <w:r>
        <w:t xml:space="preserve">La referencia se compara con la temperatura medida. El controlador ordena una</w:t>
      </w:r>
      <w:r>
        <w:t xml:space="preserve"> </w:t>
      </w:r>
      <w:r>
        <w:t xml:space="preserve">posición normalizada al sistema de modulación del quemador. El quemador entrega</w:t>
      </w:r>
      <w:r>
        <w:t xml:space="preserve"> </w:t>
      </w:r>
      <w:r>
        <w:t xml:space="preserve">potencia térmica a la zona. Una PT100 con transmisor 4-20 mA mide la temperatura</w:t>
      </w:r>
      <w:r>
        <w:t xml:space="preserve"> </w:t>
      </w:r>
      <w:r>
        <w:t xml:space="preserve">y el sistema de adquisición la reconvierte a grados Celsius.</w:t>
      </w:r>
    </w:p>
    <w:p>
      <w:pPr>
        <w:pStyle w:val="BodyText"/>
      </w:pPr>
      <w:r>
        <w:t xml:space="preserve">En el modelo en unidades de ingeniería, la cadena sensor-acondicionador se</w:t>
      </w:r>
      <w:r>
        <w:t xml:space="preserve"> </w:t>
      </w:r>
      <w:r>
        <w:t xml:space="preserve">aproxima por: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La aproximación se justifica porque su dinámica es mucho más rápida que la</w:t>
      </w:r>
      <w:r>
        <w:t xml:space="preserve"> </w:t>
      </w:r>
      <w:r>
        <w:t xml:space="preserve">constante térmica de la zona. El offset de 4 mA desaparece al trabajar con</w:t>
      </w:r>
      <w:r>
        <w:t xml:space="preserve"> </w:t>
      </w:r>
      <w:r>
        <w:t xml:space="preserve">variables incrementales.</w:t>
      </w:r>
    </w:p>
    <w:bookmarkEnd w:id="22"/>
    <w:bookmarkStart w:id="23" w:name="modelo-del-actuador"/>
    <w:p>
      <w:pPr>
        <w:pStyle w:val="Heading2"/>
      </w:pPr>
      <w:r>
        <w:t xml:space="preserve">3. Modelo del actuador</w:t>
      </w:r>
    </w:p>
    <w:p>
      <w:pPr>
        <w:pStyle w:val="FirstParagraph"/>
      </w:pPr>
      <w:r>
        <w:t xml:space="preserve">La dinámica equivalente de la válvula modulante y el quemador se representa</w:t>
      </w:r>
      <w:r>
        <w:t xml:space="preserve"> </w:t>
      </w:r>
      <w:r>
        <w:t xml:space="preserve">mediante un primer orden: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Con condiciones iniciales nulas en variables incrementales: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num>
            <m:den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a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La orden debe satisfacer: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≤</m:t>
          </m:r>
          <m:r>
            <m:t>1</m:t>
          </m:r>
        </m:oMath>
      </m:oMathPara>
    </w:p>
    <w:p>
      <w:pPr>
        <w:pStyle w:val="FirstParagraph"/>
      </w:pPr>
      <w:r>
        <w:t xml:space="preserve">La saturación es una no linealidad del sistema completo y no forma parte de la</w:t>
      </w:r>
      <w:r>
        <w:t xml:space="preserve"> </w:t>
      </w:r>
      <w:r>
        <w:t xml:space="preserve">función de transferencia lineal.</w:t>
      </w:r>
    </w:p>
    <w:bookmarkEnd w:id="23"/>
    <w:bookmarkStart w:id="24" w:name="balance-energético-de-la-zona"/>
    <w:p>
      <w:pPr>
        <w:pStyle w:val="Heading2"/>
      </w:pPr>
      <w:r>
        <w:t xml:space="preserve">4. Balance energético de la zona</w:t>
      </w:r>
    </w:p>
    <w:p>
      <w:pPr>
        <w:pStyle w:val="FirstParagraph"/>
      </w:pPr>
      <w:r>
        <w:t xml:space="preserve">Se aplica conservación de energía al volumen equivalente: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  <m:r>
                <m:t>h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T</m:t>
                  </m:r>
                </m:e>
                <m:sub>
                  <m:r>
                    <m:t>z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U</m:t>
          </m:r>
          <m:r>
            <m:t>A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z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Los términos representan:</w:t>
      </w:r>
    </w:p>
    <w:p>
      <w:pPr>
        <w:keepNext w:val="0"/>
        <w:keepLines w:val="0"/>
        <w:widowControl w:val="0"/>
        <w:numPr>
          <w:ilvl w:val="0"/>
          <w:numId w:val="1001"/>
        </w:numPr>
      </w:pPr>
      <w:r>
        <w:t xml:space="preserve">energía acumulada en la zona;</w:t>
      </w:r>
    </w:p>
    <w:p>
      <w:pPr>
        <w:keepNext w:val="0"/>
        <w:keepLines w:val="0"/>
        <w:widowControl w:val="0"/>
        <w:numPr>
          <w:ilvl w:val="0"/>
          <w:numId w:val="1001"/>
        </w:numPr>
      </w:pPr>
      <w:r>
        <w:t xml:space="preserve">potencia aportada por el quemador;</w:t>
      </w:r>
    </w:p>
    <w:p>
      <w:pPr>
        <w:keepNext w:val="0"/>
        <w:keepLines w:val="0"/>
        <w:widowControl w:val="0"/>
        <w:numPr>
          <w:ilvl w:val="0"/>
          <w:numId w:val="1001"/>
        </w:numPr>
      </w:pPr>
      <w:r>
        <w:t xml:space="preserve">pérdidas equivalentes hacia el ambiente;</w:t>
      </w:r>
    </w:p>
    <w:p>
      <w:pPr>
        <w:keepNext w:val="0"/>
        <w:keepLines w:val="0"/>
        <w:widowControl w:val="0"/>
        <w:numPr>
          <w:ilvl w:val="0"/>
          <w:numId w:val="1001"/>
        </w:numPr>
      </w:pPr>
      <w:r>
        <w:t xml:space="preserve">potencia absorbida por carga y renovación de aire.</w:t>
      </w:r>
    </w:p>
    <w:p>
      <w:pPr>
        <w:pStyle w:val="FirstParagraph"/>
      </w:pPr>
      <w:r>
        <w:t xml:space="preserve">Esta ecuación conserva la temperatura ambiente. No se adopta la simplificación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porque el punto nominal se establece en temperatura absoluta de</w:t>
      </w:r>
      <w:r>
        <w:t xml:space="preserve"> </w:t>
      </w:r>
      <w:r>
        <w:t xml:space="preserve">operación expresada en °C.</w:t>
      </w:r>
    </w:p>
    <w:bookmarkEnd w:id="24"/>
    <w:bookmarkStart w:id="26" w:name="punto-de-operación"/>
    <w:p>
      <w:pPr>
        <w:pStyle w:val="Heading2"/>
      </w:pPr>
      <w:r>
        <w:t xml:space="preserve">5. Punto de operación</w:t>
      </w:r>
    </w:p>
    <w:p>
      <w:pPr>
        <w:pStyle w:val="FirstParagraph"/>
      </w:pPr>
      <w:r>
        <w:t xml:space="preserve">Para valores constantes, la derivada se anula: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h</m:t>
              </m:r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U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z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b</m:t>
                  </m:r>
                  <m:r>
                    <m:t>0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L</m:t>
              </m:r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Por lo tanto: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h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U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z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b</m:t>
                  </m:r>
                  <m:r>
                    <m:t>0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L</m:t>
              </m:r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Y, usando el modelo estático del actuador: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h</m:t>
                  </m:r>
                  <m:r>
                    <m:t>0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bookmarkStart w:id="25" w:name="valores-provisionales"/>
    <w:p>
      <w:pPr>
        <w:pStyle w:val="Heading3"/>
        <w:keepNext w:val="0"/>
      </w:pPr>
      <w:r>
        <w:t xml:space="preserve">5.1 Valores provisionales</w:t>
      </w:r>
    </w:p>
    <w:tbl>
      <w:tblPr>
        <w:tblStyle w:val="TableGrid"/>
        <w:tblW w:type="dxa" w:w="9360"/>
        <w:tblLayout w:type="fixed"/>
        <w:tblLook w:firstRow="1" w:lastRow="0" w:firstColumn="0" w:lastColumn="0" w:noHBand="0" w:noVBand="0" w:val="0020"/>
        <w:jc w:val="start"/>
        <w:tblInd w:w="120" w:type="dxa"/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Parámetro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sz w:val="19"/>
              </w:rPr>
              <w:t xml:space="preserve">Valor</w:t>
            </w:r>
          </w:p>
        </w:tc>
        <w:tc>
          <w:tcPr>
            <w:tcW w:w="5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Procedencia</w:t>
            </w:r>
          </w:p>
        </w:tc>
      </w:tr>
      <w:tr>
        <w:trPr/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z</m:t>
                  </m:r>
                  <m:r>
                    <m:t>0</m:t>
                  </m:r>
                </m:sub>
              </m:sSub>
            </m:oMath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sz w:val="19"/>
              </w:rPr>
              <w:t xml:space="preserve">180 °C</w:t>
            </w:r>
          </w:p>
        </w:tc>
        <w:tc>
          <w:tcPr>
            <w:tcW w:w="5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supuesto de diseño</w:t>
            </w:r>
          </w:p>
        </w:tc>
      </w:tr>
      <w:tr>
        <w:trPr/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b</m:t>
                  </m:r>
                  <m:r>
                    <m:t>0</m:t>
                  </m:r>
                </m:sub>
              </m:sSub>
            </m:oMath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sz w:val="19"/>
              </w:rPr>
              <w:t xml:space="preserve">25 °C</w:t>
            </w:r>
          </w:p>
        </w:tc>
        <w:tc>
          <w:tcPr>
            <w:tcW w:w="5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supuesto de diseño</w:t>
            </w:r>
          </w:p>
        </w:tc>
      </w:tr>
      <w:tr>
        <w:trPr/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0</m:t>
                  </m:r>
                </m:sub>
              </m:sSub>
            </m:oMath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sz w:val="19"/>
              </w:rPr>
              <w:t xml:space="preserve">40 kW</w:t>
            </w:r>
          </w:p>
        </w:tc>
        <w:tc>
          <w:tcPr>
            <w:tcW w:w="5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supuesto de diseño</w:t>
            </w:r>
          </w:p>
        </w:tc>
      </w:tr>
      <w:tr>
        <w:trPr/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r>
                <m:t>U</m:t>
              </m:r>
              <m:r>
                <m:t>A</m:t>
              </m:r>
            </m:oMath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sz w:val="19"/>
              </w:rPr>
              <w:t xml:space="preserve">2000 W/K</w:t>
            </w:r>
          </w:p>
        </w:tc>
        <w:tc>
          <w:tcPr>
            <w:tcW w:w="5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supuesto de diseño</w:t>
            </w:r>
          </w:p>
        </w:tc>
      </w:tr>
      <w:tr>
        <w:trPr/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sz w:val="19"/>
              </w:rPr>
              <w:t xml:space="preserve">1,2 MJ/K</w:t>
            </w:r>
          </w:p>
        </w:tc>
        <w:tc>
          <w:tcPr>
            <w:tcW w:w="5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supuesto de diseño</w:t>
            </w:r>
          </w:p>
        </w:tc>
      </w:tr>
      <w:tr>
        <w:trPr/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sz w:val="19"/>
              </w:rPr>
              <w:t xml:space="preserve">500 kW/p.u.</w:t>
            </w:r>
          </w:p>
        </w:tc>
        <w:tc>
          <w:tcPr>
            <w:tcW w:w="5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supuesto de diseño</w:t>
            </w:r>
          </w:p>
        </w:tc>
      </w:tr>
      <w:tr>
        <w:trPr/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sz w:val="19"/>
              </w:rPr>
              <w:t xml:space="preserve">10 s</w:t>
            </w:r>
          </w:p>
        </w:tc>
        <w:tc>
          <w:tcPr>
            <w:tcW w:w="5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9"/>
              </w:rPr>
              <w:t xml:space="preserve">supuesto de diseño</w:t>
            </w:r>
          </w:p>
        </w:tc>
      </w:tr>
    </w:tbl>
    <w:p>
      <w:pPr>
        <w:pStyle w:val="BodyText"/>
      </w:pPr>
      <w:r>
        <w:t xml:space="preserve">De estos valores se obtiene: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U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 </m:t>
          </m:r>
          <m:r>
            <m:t>K</m:t>
          </m:r>
          <m:r>
            <m:rPr>
              <m:sty m:val="p"/>
            </m:rPr>
            <m:t>/</m:t>
          </m:r>
          <m:r>
            <m:t>W</m:t>
          </m:r>
        </m:oMath>
      </m:oMathPara>
    </w:p>
    <w:p>
      <w:pPr>
        <w:pStyle w:val="FirstParagraph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</m:sSub>
          <m:sSub>
            <m:e>
              <m:r>
                <m:t>C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600</m:t>
          </m:r>
          <m:r>
            <m:t> </m:t>
          </m:r>
          <m:r>
            <m:t>s</m:t>
          </m:r>
        </m:oMath>
      </m:oMathPara>
    </w:p>
    <w:p>
      <w:pPr>
        <w:pStyle w:val="FirstParagraph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h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2000</m:t>
          </m:r>
          <m:d>
            <m:dPr>
              <m:begChr m:val="("/>
              <m:endChr m:val=")"/>
              <m:sepChr m:val=""/>
              <m:grow/>
            </m:dPr>
            <m:e>
              <m:r>
                <m:t>180</m:t>
              </m:r>
              <m:r>
                <m:rPr>
                  <m:sty m:val="p"/>
                </m:rPr>
                <m:t>−</m:t>
              </m:r>
              <m:r>
                <m:t>25</m:t>
              </m:r>
            </m:e>
          </m:d>
          <m:r>
            <m:rPr>
              <m:sty m:val="p"/>
            </m:rPr>
            <m:t>+</m:t>
          </m:r>
          <m:r>
            <m:t>40000</m:t>
          </m:r>
          <m:r>
            <m:rPr>
              <m:sty m:val="p"/>
            </m:rPr>
            <m:t>=</m:t>
          </m:r>
          <m:r>
            <m:t>350000</m:t>
          </m:r>
          <m:r>
            <m:t> </m:t>
          </m:r>
          <m:r>
            <m:t>W</m:t>
          </m:r>
        </m:oMath>
      </m:oMathPara>
    </w:p>
    <w:p>
      <w:pPr>
        <w:pStyle w:val="FirstParagraph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350000</m:t>
              </m:r>
            </m:num>
            <m:den>
              <m:r>
                <m:t>500000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70</m:t>
          </m:r>
        </m:oMath>
      </m:oMathPara>
    </w:p>
    <w:p>
      <w:pPr>
        <w:pStyle w:val="FirstParagraph"/>
      </w:pPr>
      <w:r>
        <w:t xml:space="preserve">El equilibrio deja 30 % de reserva ascendente de potencia, equivalente a</w:t>
      </w:r>
      <w:r>
        <w:t xml:space="preserve"> </w:t>
      </w:r>
      <w:r>
        <w:t xml:space="preserve">150 kW. Esto permite ensayar un aumento de carga de 50 kW sin saturación</w:t>
      </w:r>
      <w:r>
        <w:t xml:space="preserve"> </w:t>
      </w:r>
      <w:r>
        <w:t xml:space="preserve">estacionaria, aunque la acción transitoria todavía debe verificarse.</w:t>
      </w:r>
    </w:p>
    <w:bookmarkEnd w:id="25"/>
    <w:bookmarkEnd w:id="26"/>
    <w:bookmarkStart w:id="27" w:name="modelo-incremental"/>
    <w:p>
      <w:pPr>
        <w:pStyle w:val="Heading2"/>
      </w:pPr>
      <w:r>
        <w:t xml:space="preserve">6. Modelo incremental</w:t>
      </w:r>
    </w:p>
    <w:p>
      <w:pPr>
        <w:pStyle w:val="FirstParagraph"/>
      </w:pPr>
      <w:r>
        <w:t xml:space="preserve">Se definen desviaciones respecto del punto nominal: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z</m:t>
              </m:r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a</m:t>
              </m:r>
              <m:r>
                <m:t>m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m</m:t>
              </m:r>
              <m:r>
                <m:t>b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m</m:t>
              </m:r>
              <m:r>
                <m:t>b</m:t>
              </m:r>
              <m:r>
                <m:t>0</m:t>
              </m:r>
            </m:sub>
          </m:sSub>
        </m:oMath>
      </m:oMathPara>
    </w:p>
    <w:p>
      <w:pPr>
        <w:pStyle w:val="FirstParagraph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h</m:t>
              </m:r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L</m:t>
              </m:r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Al reemplazar en el balance y restar la ecuación de equilibrio: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  <m:r>
                <m:t>h</m:t>
              </m:r>
            </m:sub>
          </m:sSub>
          <m:f>
            <m:fPr>
              <m:type m:val="bar"/>
            </m:fPr>
            <m:num>
              <m:r>
                <m:t>d</m:t>
              </m:r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U</m:t>
          </m:r>
          <m:r>
            <m:t>A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U</m:t>
          </m:r>
          <m:r>
            <m:t>A</m:t>
          </m:r>
          <m:sSub>
            <m:e>
              <m:r>
                <m:t>θ</m:t>
              </m:r>
            </m:e>
            <m:sub>
              <m:r>
                <m:t>a</m:t>
              </m:r>
              <m:r>
                <m:t>m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El actuador incremental queda: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El modelo es lineal mientras la orden total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v</m:t>
        </m:r>
      </m:oMath>
      <w:r>
        <w:t xml:space="preserve"> </w:t>
      </w:r>
      <w:r>
        <w:t xml:space="preserve">no alcance sus</w:t>
      </w:r>
      <w:r>
        <w:t xml:space="preserve"> </w:t>
      </w:r>
      <w:r>
        <w:t xml:space="preserve">límites y los parámetros equivalentes se mantengan aproximadamente constantes.</w:t>
      </w:r>
    </w:p>
    <w:bookmarkEnd w:id="27"/>
    <w:bookmarkStart w:id="32" w:name="funciones-de-transferencia"/>
    <w:p>
      <w:pPr>
        <w:pStyle w:val="Heading2"/>
      </w:pPr>
      <w:r>
        <w:t xml:space="preserve">7. Funciones de transferencia</w:t>
      </w:r>
    </w:p>
    <w:p>
      <w:pPr>
        <w:pStyle w:val="FirstParagraph"/>
      </w:pPr>
      <w:r>
        <w:t xml:space="preserve">Aplicando Laplace con condiciones iniciales nulas: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A</m:t>
              </m:r>
            </m:e>
          </m:d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+</m:t>
          </m:r>
          <m:r>
            <m:t>U</m:t>
          </m:r>
          <m:r>
            <m:t>A</m:t>
          </m:r>
          <m:sSub>
            <m:e>
              <m:r>
                <m:t>Θ</m:t>
              </m:r>
            </m:e>
            <m:sub>
              <m:r>
                <m:t>a</m:t>
              </m:r>
              <m:r>
                <m:t>m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</m:oMath>
      </m:oMathPara>
    </w:p>
    <w:bookmarkStart w:id="28" w:name="potencia-térmica-a-temperatura"/>
    <w:p>
      <w:pPr>
        <w:pStyle w:val="Heading3"/>
      </w:pPr>
      <w:r>
        <w:t xml:space="preserve">7.1 Potencia térmica a temperatura</w:t>
      </w:r>
    </w:p>
    <w:p>
      <w:pPr>
        <w:pStyle w:val="FirstParagraph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num>
            <m:den>
              <m:sSub>
                <m:e>
                  <m:r>
                    <m:t>Q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bookmarkEnd w:id="28"/>
    <w:bookmarkStart w:id="29" w:name="orden-a-temperatura"/>
    <w:p>
      <w:pPr>
        <w:pStyle w:val="Heading3"/>
      </w:pPr>
      <w:r>
        <w:t xml:space="preserve">7.2 Orden a temperatura</w:t>
      </w:r>
    </w:p>
    <w:p>
      <w:pPr>
        <w:pStyle w:val="FirstParagraph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num>
            <m:den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den>
          </m:f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sSub>
            <m:e>
              <m:r>
                <m:t>G</m:t>
              </m:r>
            </m:e>
            <m:sub>
              <m:r>
                <m:t>t</m:t>
              </m:r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</m:oMath>
      </m:oMathPara>
    </w:p>
    <w:p>
      <w:pPr>
        <w:pStyle w:val="FirstParagraph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Definiendo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Con los valores provisionales: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500000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250</m:t>
          </m:r>
          <m:sSup>
            <m:e>
              <m:r>
                <m:t> 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C</m:t>
          </m:r>
          <m:r>
            <m:rPr>
              <m:sty m:val="p"/>
            </m:rPr>
            <m:t>/</m:t>
          </m:r>
          <m:r>
            <m:rPr>
              <m:sty m:val="p"/>
            </m:rPr>
            <m:t>p</m:t>
          </m:r>
          <m:r>
            <m:rPr>
              <m:sty m:val="p"/>
            </m:rPr>
            <m:t>.</m:t>
          </m:r>
          <m:r>
            <m:rPr>
              <m:sty m:val="p"/>
            </m:rPr>
            <m:t>u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250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600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</m:oMath>
      </m:oMathPara>
    </w:p>
    <w:p>
      <w:pPr>
        <w:pStyle w:val="FirstParagraph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250</m:t>
              </m:r>
            </m:num>
            <m:den>
              <m:r>
                <m:t>6000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610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bookmarkEnd w:id="29"/>
    <w:bookmarkStart w:id="30" w:name="carga-térmica-a-temperatura"/>
    <w:p>
      <w:pPr>
        <w:pStyle w:val="Heading3"/>
      </w:pPr>
      <w:r>
        <w:t xml:space="preserve">7.3 Carga térmica a temperatura</w:t>
      </w:r>
    </w:p>
    <w:p>
      <w:pPr>
        <w:pStyle w:val="FirstParagraph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num>
            <m:den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bookmarkEnd w:id="30"/>
    <w:bookmarkStart w:id="31" w:name="X0a0ae73564dcd8f43abef6974e3aa29b74dedbe"/>
    <w:p>
      <w:pPr>
        <w:pStyle w:val="Heading3"/>
      </w:pPr>
      <w:r>
        <w:t xml:space="preserve">7.4 Temperatura ambiente a temperatura de zona</w:t>
      </w:r>
    </w:p>
    <w:p>
      <w:pPr>
        <w:pStyle w:val="FirstParagraph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a</m:t>
              </m:r>
              <m:r>
                <m:t>m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num>
            <m:den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t>A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bookmarkEnd w:id="31"/>
    <w:bookmarkEnd w:id="32"/>
    <w:bookmarkStart w:id="33" w:name="análisis-inicial-de-la-planta"/>
    <w:p>
      <w:pPr>
        <w:pStyle w:val="Heading2"/>
      </w:pPr>
      <w:r>
        <w:t xml:space="preserve">8. Análisis inicial de la planta</w:t>
      </w:r>
    </w:p>
    <w:p>
      <w:pPr>
        <w:pStyle w:val="FirstParagraph"/>
      </w:pPr>
      <w:r>
        <w:t xml:space="preserve">Los polos del camino orden-temperatura son: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τ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t> 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667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 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Por lo tanto:</w:t>
      </w:r>
    </w:p>
    <w:p>
      <w:pPr>
        <w:keepNext w:val="0"/>
        <w:keepLines w:val="0"/>
        <w:widowControl w:val="0"/>
        <w:numPr>
          <w:ilvl w:val="0"/>
          <w:numId w:val="1002"/>
        </w:numPr>
      </w:pPr>
      <w:r>
        <w:t xml:space="preserve">ambos polos están en el semiplano izquierdo;</w:t>
      </w:r>
    </w:p>
    <w:p>
      <w:pPr>
        <w:keepNext w:val="0"/>
        <w:keepLines w:val="0"/>
        <w:widowControl w:val="0"/>
        <w:numPr>
          <w:ilvl w:val="0"/>
          <w:numId w:val="1002"/>
        </w:numPr>
      </w:pPr>
      <w:r>
        <w:t xml:space="preserve">la planta es absolutamente estable;</w:t>
      </w:r>
    </w:p>
    <w:p>
      <w:pPr>
        <w:keepNext w:val="0"/>
        <w:keepLines w:val="0"/>
        <w:widowControl w:val="0"/>
        <w:numPr>
          <w:ilvl w:val="0"/>
          <w:numId w:val="1002"/>
        </w:numPr>
      </w:pPr>
      <w:r>
        <w:t xml:space="preserve">no tiene ceros;</w:t>
      </w:r>
    </w:p>
    <w:p>
      <w:pPr>
        <w:keepNext w:val="0"/>
        <w:keepLines w:val="0"/>
        <w:widowControl w:val="0"/>
        <w:numPr>
          <w:ilvl w:val="0"/>
          <w:numId w:val="1002"/>
        </w:numPr>
      </w:pPr>
      <w:r>
        <w:t xml:space="preserve">es de tipo 0;</w:t>
      </w:r>
    </w:p>
    <w:p>
      <w:pPr>
        <w:keepNext w:val="0"/>
        <w:keepLines w:val="0"/>
        <w:widowControl w:val="0"/>
        <w:numPr>
          <w:ilvl w:val="0"/>
          <w:numId w:val="1002"/>
        </w:numPr>
      </w:pPr>
      <w:r>
        <w:t xml:space="preserve">el polo térmico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es dominante;</w:t>
      </w:r>
    </w:p>
    <w:p>
      <w:pPr>
        <w:keepNext w:val="0"/>
        <w:keepLines w:val="0"/>
        <w:widowControl w:val="0"/>
        <w:numPr>
          <w:ilvl w:val="0"/>
          <w:numId w:val="1002"/>
        </w:numPr>
      </w:pPr>
      <w:r>
        <w:t xml:space="preserve">la ganancia estática es</w:t>
      </w:r>
      <w: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  <m:sSup>
          <m:e>
            <m:r>
              <m:t> 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.</m:t>
        </m:r>
        <m:r>
          <m:rPr>
            <m:sty m:val="p"/>
          </m:rPr>
          <m:t>u</m:t>
        </m:r>
        <m:r>
          <m:rPr>
            <m:sty m:val="p"/>
          </m:rPr>
          <m:t>.</m:t>
        </m:r>
      </m:oMath>
      <w:r>
        <w:t xml:space="preserve">.</w:t>
      </w:r>
    </w:p>
    <w:p>
      <w:pPr>
        <w:pStyle w:val="FirstParagraph"/>
      </w:pPr>
      <w:r>
        <w:t xml:space="preserve">La separación entre polos es de un factor 60. El actuador es mucho más rápido</w:t>
      </w:r>
      <w:r>
        <w:t xml:space="preserve"> </w:t>
      </w:r>
      <w:r>
        <w:t xml:space="preserve">que el recinto, pero se conserva en el modelo para obtener una planta de</w:t>
      </w:r>
      <w:r>
        <w:t xml:space="preserve"> </w:t>
      </w:r>
      <w:r>
        <w:t xml:space="preserve">segundo orden y analizar su influencia sobre la acción de control.</w:t>
      </w:r>
    </w:p>
    <w:bookmarkEnd w:id="33"/>
    <w:bookmarkStart w:id="34" w:name="especificaciones-provisionales"/>
    <w:p>
      <w:pPr>
        <w:pStyle w:val="Heading2"/>
      </w:pPr>
      <w:r>
        <w:t xml:space="preserve">9. Especificaciones provisionales</w:t>
      </w:r>
    </w:p>
    <w:p>
      <w:pPr>
        <w:pStyle w:val="FirstParagraph"/>
      </w:pPr>
      <w:r>
        <w:t xml:space="preserve">El ensayo de seguimiento se plantea como un cambio de 170 °C a 180 °C. En</w:t>
      </w:r>
      <w:r>
        <w:t xml:space="preserve"> </w:t>
      </w:r>
      <w:r>
        <w:t xml:space="preserve">variables incrementales corresponde a un escalón de 10 °C.</w:t>
      </w:r>
    </w:p>
    <w:p>
      <w:pPr>
        <w:keepNext w:val="0"/>
        <w:keepLines w:val="0"/>
        <w:widowControl w:val="0"/>
        <w:numPr>
          <w:ilvl w:val="0"/>
          <w:numId w:val="1003"/>
        </w:numPr>
      </w:pPr>
      <w:r>
        <w:t xml:space="preserve">Error estacionario: 0 °C.</w:t>
      </w:r>
    </w:p>
    <w:p>
      <w:pPr>
        <w:keepNext w:val="0"/>
        <w:keepLines w:val="0"/>
        <w:widowControl w:val="0"/>
        <w:numPr>
          <w:ilvl w:val="0"/>
          <w:numId w:val="1003"/>
        </w:numPr>
      </w:pPr>
      <w:r>
        <w:t xml:space="preserve">Sobrepasamiento máximo: 5 %.</w:t>
      </w:r>
    </w:p>
    <w:p>
      <w:pPr>
        <w:keepNext w:val="0"/>
        <w:keepLines w:val="0"/>
        <w:widowControl w:val="0"/>
        <w:numPr>
          <w:ilvl w:val="0"/>
          <w:numId w:val="1003"/>
        </w:numPr>
      </w:pPr>
      <w:r>
        <w:t xml:space="preserve">Tiempo de establecimiento: 600 s con banda de ±5 %.</w:t>
      </w:r>
    </w:p>
    <w:p>
      <w:pPr>
        <w:keepNext w:val="0"/>
        <w:keepLines w:val="0"/>
        <w:widowControl w:val="0"/>
        <w:numPr>
          <w:ilvl w:val="0"/>
          <w:numId w:val="1003"/>
        </w:numPr>
      </w:pPr>
      <w:r>
        <w:t xml:space="preserve">Acción de control total: entre 0 y 100 %.</w:t>
      </w:r>
    </w:p>
    <w:p>
      <w:pPr>
        <w:pStyle w:val="FirstParagraph"/>
      </w:pPr>
      <w:r>
        <w:t xml:space="preserve">El ensayo de perturbación inicial será un aumento de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de 50 kW. El</w:t>
      </w:r>
      <w:r>
        <w:t xml:space="preserve"> </w:t>
      </w:r>
      <w:r>
        <w:t xml:space="preserve">controlador deberá recuperar el setpoint y volver a una banda de ±2 °C.</w:t>
      </w:r>
    </w:p>
    <w:p>
      <w:pPr>
        <w:pStyle w:val="BodyText"/>
      </w:pPr>
      <w:r>
        <w:t xml:space="preserve">Estas especificaciones son candidatas. Antes del diseño deben comprobarse</w:t>
      </w:r>
      <w:r>
        <w:t xml:space="preserve"> </w:t>
      </w:r>
      <w:r>
        <w:t xml:space="preserve">contra la reserva de potencia y la saturación.</w:t>
      </w:r>
    </w:p>
    <w:bookmarkEnd w:id="34"/>
    <w:bookmarkStart w:id="35" w:name="controlador-previsto"/>
    <w:p>
      <w:pPr>
        <w:pStyle w:val="Heading2"/>
      </w:pPr>
      <w:r>
        <w:t xml:space="preserve">10. Controlador previsto</w:t>
      </w:r>
    </w:p>
    <w:p>
      <w:pPr>
        <w:pStyle w:val="FirstParagraph"/>
      </w:pPr>
      <w:r>
        <w:t xml:space="preserve">Se propone un PI: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La acción integral es necesaria para eliminar el error estacionario frente a</w:t>
      </w:r>
      <w:r>
        <w:t xml:space="preserve"> </w:t>
      </w:r>
      <w:r>
        <w:t xml:space="preserve">una carga térmica constante. La elección de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queda</w:t>
      </w:r>
      <w:r>
        <w:t xml:space="preserve"> </w:t>
      </w:r>
      <w:r>
        <w:t xml:space="preserve">pendiente hasta aprobar parámetros y especificaciones.</w:t>
      </w:r>
    </w:p>
    <w:p>
      <w:pPr>
        <w:pStyle w:val="BodyText"/>
      </w:pPr>
      <w:r>
        <w:t xml:space="preserve">Una posibilidad a evaluar es ubicar el cero del PI en el polo térmico:</w:t>
      </w:r>
    </w:p>
    <w:p>
      <w:pPr>
        <w:pStyle w:val="BodyText"/>
        <w:spacing w:before="100" w:after="14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No se adopta todavía como decisión. La cancelación sólo será aceptable si la</w:t>
      </w:r>
      <w:r>
        <w:t xml:space="preserve"> </w:t>
      </w:r>
      <w:r>
        <w:t xml:space="preserve">acción de control y la robustez frente a incertidumbre resultan razonables.</w:t>
      </w:r>
    </w:p>
    <w:bookmarkEnd w:id="35"/>
    <w:bookmarkStart w:id="36" w:name="no-linealidades-y-límites"/>
    <w:p>
      <w:pPr>
        <w:pStyle w:val="Heading2"/>
      </w:pPr>
      <w:r>
        <w:t xml:space="preserve">11. No linealidades y límites</w:t>
      </w:r>
    </w:p>
    <w:p>
      <w:pPr>
        <w:keepNext w:val="0"/>
        <w:keepLines w:val="0"/>
        <w:widowControl w:val="0"/>
        <w:numPr>
          <w:ilvl w:val="0"/>
          <w:numId w:val="1004"/>
        </w:numPr>
      </w:pPr>
      <w:r>
        <w:t xml:space="preserve">Saturación de la orden entre 0 y 100 %.</w:t>
      </w:r>
    </w:p>
    <w:p>
      <w:pPr>
        <w:keepNext w:val="0"/>
        <w:keepLines w:val="0"/>
        <w:widowControl w:val="0"/>
        <w:numPr>
          <w:ilvl w:val="0"/>
          <w:numId w:val="1004"/>
        </w:numPr>
      </w:pPr>
      <w:r>
        <w:t xml:space="preserve">Posible potencia mínima estable del quemador.</w:t>
      </w:r>
    </w:p>
    <w:p>
      <w:pPr>
        <w:keepNext w:val="0"/>
        <w:keepLines w:val="0"/>
        <w:widowControl w:val="0"/>
        <w:numPr>
          <w:ilvl w:val="0"/>
          <w:numId w:val="1004"/>
        </w:numPr>
      </w:pPr>
      <w:r>
        <w:t xml:space="preserve">Retardos de transporte y mezcla no representados.</w:t>
      </w:r>
    </w:p>
    <w:p>
      <w:pPr>
        <w:keepNext w:val="0"/>
        <w:keepLines w:val="0"/>
        <w:widowControl w:val="0"/>
        <w:numPr>
          <w:ilvl w:val="0"/>
          <w:numId w:val="1004"/>
        </w:numPr>
      </w:pPr>
      <w:r>
        <w:t xml:space="preserve">Dependencia de pérdidas por radiación con la temperatura.</w:t>
      </w:r>
    </w:p>
    <w:p>
      <w:pPr>
        <w:keepNext w:val="0"/>
        <w:keepLines w:val="0"/>
        <w:widowControl w:val="0"/>
        <w:numPr>
          <w:ilvl w:val="0"/>
          <w:numId w:val="1004"/>
        </w:numPr>
      </w:pPr>
      <w:r>
        <w:t xml:space="preserve">Cambios de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U</m:t>
        </m:r>
        <m:r>
          <m:t>A</m:t>
        </m:r>
      </m:oMath>
      <w:r>
        <w:t xml:space="preserve"> </w:t>
      </w:r>
      <w:r>
        <w:t xml:space="preserve">con la carga.</w:t>
      </w:r>
    </w:p>
    <w:p>
      <w:pPr>
        <w:keepNext w:val="0"/>
        <w:keepLines w:val="0"/>
        <w:widowControl w:val="0"/>
        <w:numPr>
          <w:ilvl w:val="0"/>
          <w:numId w:val="1004"/>
        </w:numPr>
      </w:pPr>
      <w:r>
        <w:t xml:space="preserve">Lógica discreta de seguridad del quemador.</w:t>
      </w:r>
    </w:p>
    <w:p>
      <w:pPr>
        <w:pStyle w:val="FirstParagraph"/>
      </w:pPr>
      <w:r>
        <w:t xml:space="preserve">La simulación mínima debe incorporar saturación. Las demás no linealidades se</w:t>
      </w:r>
      <w:r>
        <w:t xml:space="preserve"> </w:t>
      </w:r>
      <w:r>
        <w:t xml:space="preserve">documentarán y sólo se agregarán si mejoran el análisis sin desviar el alcance.</w:t>
      </w:r>
    </w:p>
    <w:bookmarkEnd w:id="36"/>
    <w:bookmarkStart w:id="37" w:name="próximas-verificaciones"/>
    <w:p>
      <w:pPr>
        <w:pStyle w:val="Heading2"/>
      </w:pPr>
      <w:r>
        <w:t xml:space="preserve">12. Próximas verificaciones</w:t>
      </w:r>
    </w:p>
    <w:p>
      <w:pPr>
        <w:keepNext w:val="0"/>
        <w:keepLines w:val="0"/>
        <w:widowControl w:val="0"/>
        <w:numPr>
          <w:ilvl w:val="0"/>
          <w:numId w:val="1005"/>
        </w:numPr>
      </w:pPr>
      <w:r>
        <w:t xml:space="preserve">Confirmar que el punto nominal y las unidades son coherentes.</w:t>
      </w:r>
    </w:p>
    <w:p>
      <w:pPr>
        <w:keepNext w:val="0"/>
        <w:keepLines w:val="0"/>
        <w:widowControl w:val="0"/>
        <w:numPr>
          <w:ilvl w:val="0"/>
          <w:numId w:val="1005"/>
        </w:numPr>
      </w:pPr>
      <w:r>
        <w:t xml:space="preserve">Evaluar la respuesta a escalón de la planta en Octave.</w:t>
      </w:r>
    </w:p>
    <w:p>
      <w:pPr>
        <w:keepNext w:val="0"/>
        <w:keepLines w:val="0"/>
        <w:widowControl w:val="0"/>
        <w:numPr>
          <w:ilvl w:val="0"/>
          <w:numId w:val="1005"/>
        </w:numPr>
      </w:pPr>
      <w:r>
        <w:t xml:space="preserve">Verificar la reserva de potencia para referencia y perturbación.</w:t>
      </w:r>
    </w:p>
    <w:p>
      <w:pPr>
        <w:keepNext w:val="0"/>
        <w:keepLines w:val="0"/>
        <w:widowControl w:val="0"/>
        <w:numPr>
          <w:ilvl w:val="0"/>
          <w:numId w:val="1005"/>
        </w:numPr>
      </w:pPr>
      <w:r>
        <w:t xml:space="preserve">Fijar definitivamente las especificaciones.</w:t>
      </w:r>
    </w:p>
    <w:p>
      <w:pPr>
        <w:keepNext w:val="0"/>
        <w:keepLines w:val="0"/>
        <w:widowControl w:val="0"/>
        <w:numPr>
          <w:ilvl w:val="0"/>
          <w:numId w:val="1005"/>
        </w:numPr>
      </w:pPr>
      <w:r>
        <w:t xml:space="preserve">Diseñar el PI con una técnica explícita de la materia.</w:t>
      </w:r>
    </w:p>
    <w:p>
      <w:pPr>
        <w:keepNext w:val="0"/>
        <w:keepLines w:val="0"/>
        <w:widowControl w:val="0"/>
        <w:numPr>
          <w:ilvl w:val="0"/>
          <w:numId w:val="1005"/>
        </w:numPr>
      </w:pPr>
      <w:r>
        <w:t xml:space="preserve">Comparar teoría y simulación.</w:t>
      </w:r>
    </w:p>
    <w:bookmarkEnd w:id="37"/>
    <w:bookmarkStart w:id="38" w:name="fuentes-académicas-usadas-en-esta-etapa"/>
    <w:p>
      <w:pPr>
        <w:pStyle w:val="Heading2"/>
        <w:pageBreakBefore/>
      </w:pPr>
      <w:r>
        <w:t xml:space="preserve">13. Fuentes académicas usadas en esta etapa</w:t>
      </w:r>
    </w:p>
    <w:p>
      <w:pPr>
        <w:keepNext w:val="0"/>
        <w:keepLines w:val="0"/>
        <w:widowControl w:val="0"/>
        <w:numPr>
          <w:ilvl w:val="0"/>
          <w:numId w:val="1006"/>
        </w:numPr>
        <w:spacing w:after="60" w:line="240" w:lineRule="auto"/>
      </w:pPr>
      <w:r>
        <w:rPr>
          <w:rFonts w:ascii="Calibri" w:hAnsi="Calibri"/>
          <w:sz w:val="19"/>
        </w:rPr>
        <w:t xml:space="preserve">Guía de Elaboración del Trabajo Final Integrador de Sistemas de Control,</w:t>
      </w:r>
      <w:r>
        <w:rPr>
          <w:rFonts w:ascii="Calibri" w:hAnsi="Calibri"/>
          <w:sz w:val="19"/>
        </w:rPr>
        <w:t xml:space="preserve"> </w:t>
      </w:r>
      <w:r>
        <w:rPr>
          <w:rFonts w:ascii="Calibri" w:hAnsi="Calibri"/>
          <w:sz w:val="19"/>
        </w:rPr>
        <w:t xml:space="preserve">versión 5.0, agosto de 2025.</w:t>
      </w:r>
    </w:p>
    <w:p>
      <w:pPr>
        <w:keepNext w:val="0"/>
        <w:keepLines w:val="0"/>
        <w:widowControl w:val="0"/>
        <w:numPr>
          <w:ilvl w:val="0"/>
          <w:numId w:val="1006"/>
        </w:numPr>
        <w:spacing w:after="60" w:line="240" w:lineRule="auto"/>
      </w:pPr>
      <w:r>
        <w:rPr>
          <w:rFonts w:ascii="Calibri" w:hAnsi="Calibri"/>
          <w:sz w:val="19"/>
        </w:rPr>
        <w:t xml:space="preserve">Agüero, Adrián.</w:t>
      </w:r>
      <w:r>
        <w:rPr>
          <w:rFonts w:ascii="Calibri" w:hAnsi="Calibri"/>
          <w:sz w:val="19"/>
        </w:rPr>
        <w:t xml:space="preserve"> </w:t>
      </w:r>
      <w:r>
        <w:rPr>
          <w:iCs/>
          <w:rFonts w:ascii="Calibri" w:hAnsi="Calibri"/>
          <w:i/>
          <w:sz w:val="19"/>
        </w:rPr>
        <w:t xml:space="preserve">Modelo matemático de sistema térmico</w:t>
      </w:r>
      <w:r>
        <w:rPr>
          <w:rFonts w:ascii="Calibri" w:hAnsi="Calibri"/>
          <w:sz w:val="19"/>
        </w:rPr>
        <w:t xml:space="preserve">. Material de Sistemas</w:t>
      </w:r>
      <w:r>
        <w:rPr>
          <w:rFonts w:ascii="Calibri" w:hAnsi="Calibri"/>
          <w:sz w:val="19"/>
        </w:rPr>
        <w:t xml:space="preserve"> </w:t>
      </w:r>
      <w:r>
        <w:rPr>
          <w:rFonts w:ascii="Calibri" w:hAnsi="Calibri"/>
          <w:sz w:val="19"/>
        </w:rPr>
        <w:t xml:space="preserve">de Control I.</w:t>
      </w:r>
    </w:p>
    <w:p>
      <w:pPr>
        <w:keepNext w:val="0"/>
        <w:keepLines w:val="0"/>
        <w:widowControl w:val="0"/>
        <w:numPr>
          <w:ilvl w:val="0"/>
          <w:numId w:val="1006"/>
        </w:numPr>
        <w:spacing w:after="60" w:line="240" w:lineRule="auto"/>
      </w:pPr>
      <w:r>
        <w:rPr>
          <w:rFonts w:ascii="Calibri" w:hAnsi="Calibri"/>
          <w:sz w:val="19"/>
        </w:rPr>
        <w:t xml:space="preserve">Material de cátedra:</w:t>
      </w:r>
      <w:r>
        <w:rPr>
          <w:rFonts w:ascii="Calibri" w:hAnsi="Calibri"/>
          <w:sz w:val="19"/>
        </w:rPr>
        <w:t xml:space="preserve"> </w:t>
      </w:r>
      <w:r>
        <w:rPr>
          <w:iCs/>
          <w:rFonts w:ascii="Calibri" w:hAnsi="Calibri"/>
          <w:i/>
          <w:sz w:val="19"/>
        </w:rPr>
        <w:t xml:space="preserve">La función de transferencia de sistemas lineales</w:t>
      </w:r>
      <w:r>
        <w:rPr>
          <w:rFonts w:ascii="Calibri" w:hAnsi="Calibri"/>
          <w:sz w:val="19"/>
        </w:rPr>
        <w:t xml:space="preserve">.</w:t>
      </w:r>
    </w:p>
    <w:p>
      <w:pPr>
        <w:keepNext w:val="0"/>
        <w:keepLines w:val="0"/>
        <w:widowControl w:val="0"/>
        <w:numPr>
          <w:ilvl w:val="0"/>
          <w:numId w:val="1006"/>
        </w:numPr>
        <w:spacing w:after="60" w:line="240" w:lineRule="auto"/>
      </w:pPr>
      <w:r>
        <w:rPr>
          <w:rFonts w:ascii="Calibri" w:hAnsi="Calibri"/>
          <w:sz w:val="19"/>
        </w:rPr>
        <w:t xml:space="preserve">Material de cátedra:</w:t>
      </w:r>
      <w:r>
        <w:rPr>
          <w:rFonts w:ascii="Calibri" w:hAnsi="Calibri"/>
          <w:sz w:val="19"/>
        </w:rPr>
        <w:t xml:space="preserve"> </w:t>
      </w:r>
      <w:r>
        <w:rPr>
          <w:iCs/>
          <w:rFonts w:ascii="Calibri" w:hAnsi="Calibri"/>
          <w:i/>
          <w:sz w:val="19"/>
        </w:rPr>
        <w:t xml:space="preserve">Sistemas de segundo orden</w:t>
      </w:r>
      <w:r>
        <w:rPr>
          <w:rFonts w:ascii="Calibri" w:hAnsi="Calibri"/>
          <w:sz w:val="19"/>
        </w:rPr>
        <w:t xml:space="preserve">.</w:t>
      </w:r>
    </w:p>
    <w:p>
      <w:pPr>
        <w:keepNext w:val="0"/>
        <w:keepLines w:val="0"/>
        <w:widowControl w:val="0"/>
        <w:numPr>
          <w:ilvl w:val="0"/>
          <w:numId w:val="1006"/>
        </w:numPr>
        <w:spacing w:after="60" w:line="240" w:lineRule="auto"/>
      </w:pPr>
      <w:r>
        <w:rPr>
          <w:rFonts w:ascii="Calibri" w:hAnsi="Calibri"/>
          <w:sz w:val="19"/>
        </w:rPr>
        <w:t xml:space="preserve">Ortega, M. G.</w:t>
      </w:r>
      <w:r>
        <w:rPr>
          <w:rFonts w:ascii="Calibri" w:hAnsi="Calibri"/>
          <w:sz w:val="19"/>
        </w:rPr>
        <w:t xml:space="preserve"> </w:t>
      </w:r>
      <w:r>
        <w:rPr>
          <w:iCs/>
          <w:rFonts w:ascii="Calibri" w:hAnsi="Calibri"/>
          <w:i/>
          <w:sz w:val="19"/>
        </w:rPr>
        <w:t xml:space="preserve">Análisis de la respuesta transitoria</w:t>
      </w:r>
      <w:r>
        <w:rPr>
          <w:rFonts w:ascii="Calibri" w:hAnsi="Calibri"/>
          <w:sz w:val="19"/>
        </w:rPr>
        <w:t xml:space="preserve">.</w:t>
      </w:r>
    </w:p>
    <w:bookmarkEnd w:id="38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A626C"/>
        <w:sz w:val="18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A626C"/>
        <w:sz w:val="18"/>
      </w:rPr>
      <w:t>Sistemas de Control I  |  TFI - Modelado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s-A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 w:line="264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264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 w:line="264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00" w:before="0" w:line="240" w:lineRule="auto"/>
      <w:contextualSpacing/>
    </w:pPr>
    <w:rPr>
      <w:rFonts w:ascii="Calibri" w:asciiTheme="majorHAnsi" w:cstheme="majorBidi" w:eastAsiaTheme="majorEastAsia" w:hAnsi="Calibri" w:hAnsiTheme="majorHAnsi"/>
      <w:b/>
      <w:color w:val="0B2545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 w:line="252" w:lineRule="auto"/>
    </w:pPr>
    <w:rPr>
      <w:rFonts w:ascii="Calibri" w:asciiTheme="majorHAnsi" w:cstheme="majorBidi" w:eastAsiaTheme="majorEastAsia" w:hAnsi="Calibri" w:hAnsiTheme="majorHAnsi"/>
      <w:b w:val="0"/>
      <w:i/>
      <w:iCs/>
      <w:color w:val="1F4D78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Cuaderno de modelado matemático</dc:title>
  <dc:creator>Valentín Felizia</dc:creator>
  <dc:language>es-AR</dc:language>
  <cp:keywords>control, horno, cataforesis, Octave</cp:keywords>
  <dcterms:created xsi:type="dcterms:W3CDTF">2026-07-28T23:12:28Z</dcterms:created>
  <dcterms:modified xsi:type="dcterms:W3CDTF">2026-07-28T23:12:28Z</dcterms:modified>
  <dc:subject>TFI de Sistemas de Control I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Borrador técnico 0.1 | Cursado 2025 | 28 de julio de 2026</vt:lpwstr>
  </property>
  <property fmtid="{D5CDD505-2E9C-101B-9397-08002B2CF9AE}" pid="3" name="subtitle">
    <vt:lpwstr>Control de temperatura de una zona equivalente de un horno de cataforesis</vt:lpwstr>
  </property>
</Properties>
</file>