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Cuaderno de modelado matemático</w:t>
      </w:r>
    </w:p>
    <w:p>
      <w:pPr>
        <w:pStyle w:val="Subtitle"/>
      </w:pPr>
      <w:r>
        <w:t xml:space="preserve">Control de temperatura de una zona equivalente de un horno de cataforesis</w:t>
      </w:r>
    </w:p>
    <w:p>
      <w:pPr>
        <w:pStyle w:val="Author"/>
      </w:pPr>
      <w:r>
        <w:t xml:space="preserve">Valentín Felizia</w:t>
      </w:r>
    </w:p>
    <w:p>
      <w:pPr>
        <w:pStyle w:val="Date"/>
      </w:pPr>
      <w:r>
        <w:t xml:space="preserve">Modelo nominal y PI | Cursado 2025 | Revisión 3 de agosto de 2026</w:t>
      </w:r>
    </w:p>
    <w:p>
      <w:pPr>
        <w:pStyle w:val="BlockText"/>
      </w:pPr>
      <w:r>
        <w:t xml:space="preserve">Este documento concentra la matemática del proyecto antes de llevarla al</w:t>
      </w:r>
      <w:r>
        <w:t xml:space="preserve"> </w:t>
      </w:r>
      <w:r>
        <w:t xml:space="preserve">informe final. Los valores numéricos son supuestos académicos de diseño: no</w:t>
      </w:r>
      <w:r>
        <w:t xml:space="preserve"> </w:t>
      </w:r>
      <w:r>
        <w:t xml:space="preserve">son datos reales del horno ni un modelo validado experimentalmente.</w:t>
      </w:r>
    </w:p>
    <w:bookmarkStart w:id="20" w:name="definición-del-sistema"/>
    <w:p>
      <w:pPr>
        <w:pStyle w:val="Heading2"/>
      </w:pPr>
      <w:r>
        <w:t xml:space="preserve">1. Definición del sistema</w:t>
      </w:r>
    </w:p>
    <w:p>
      <w:pPr>
        <w:pStyle w:val="FirstParagraph"/>
      </w:pPr>
      <w:r>
        <w:t xml:space="preserve">El horno real se representa mediante una única zona térmica equivalente. El</w:t>
      </w:r>
      <w:r>
        <w:t xml:space="preserve"> </w:t>
      </w:r>
      <w:r>
        <w:t xml:space="preserve">objetivo del lazo es mantener la temperatura del aire de esa zona ante cambios</w:t>
      </w:r>
      <w:r>
        <w:t xml:space="preserve"> </w:t>
      </w:r>
      <w:r>
        <w:t xml:space="preserve">de referencia y perturbaciones térmicas.</w:t>
      </w:r>
    </w:p>
    <w:p>
      <w:pPr>
        <w:pStyle w:val="BodyText"/>
      </w:pPr>
      <w:r>
        <w:t xml:space="preserve">La calidad del curado depende de la temperatura de la pieza y del tiempo de</w:t>
      </w:r>
      <w:r>
        <w:t xml:space="preserve"> </w:t>
      </w:r>
      <w:r>
        <w:t xml:space="preserve">permanencia. Sin embargo, modelar una carrocería móvil dentro de varias zonas</w:t>
      </w:r>
      <w:r>
        <w:t xml:space="preserve"> </w:t>
      </w:r>
      <w:r>
        <w:t xml:space="preserve">exigiría un sistema distribuido. En este TFI, la energía absorbida por</w:t>
      </w:r>
      <w:r>
        <w:t xml:space="preserve"> </w:t>
      </w:r>
      <w:r>
        <w:t xml:space="preserve">carrocerías, carriers y renovación de aire se agrupa en una perturbación de</w:t>
      </w:r>
      <w:r>
        <w:t xml:space="preserve"> </w:t>
      </w:r>
      <w:r>
        <w:t xml:space="preserve">carga.</w:t>
      </w:r>
    </w:p>
    <w:bookmarkStart w:id="19" w:name="variables"/>
    <w:p>
      <w:pPr>
        <w:pStyle w:val="Heading3"/>
        <w:keepNext w:val="0"/>
      </w:pPr>
      <w:r>
        <w:t xml:space="preserve">1.1 Variables</w:t>
      </w:r>
    </w:p>
    <w:tbl>
      <w:tblPr>
        <w:tblStyle w:val="TableGrid"/>
        <w:tblW w:type="dxa" w:w="9360"/>
        <w:tblLayout w:type="fixed"/>
        <w:tblLook w:firstRow="1" w:lastRow="0" w:firstColumn="0" w:lastColumn="0" w:noHBand="0" w:noVBand="0" w:val="0020"/>
        <w:tblInd w:w="120" w:type="dxa"/>
      </w:tblPr>
      <w:tblGrid>
        <w:gridCol w:w="1800"/>
        <w:gridCol w:w="5500"/>
        <w:gridCol w:w="2060"/>
      </w:tblGrid>
      <w:tr>
        <w:trPr>
          <w:tblHeader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 xml:space="preserve">Símbolo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 xml:space="preserve">Descripción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b/>
                <w:sz w:val="19"/>
              </w:rPr>
              <w:t xml:space="preserve">Unidad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T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Temperatura del aire de la zona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°C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Temperatura ambiente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°C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Referencia de temperatura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°C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Orden normalizada al quemador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p.u.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Potencia térmica efectiva entregada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W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Carga térmica agrupada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W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Capacitancia térmica equivalente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J/K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Resistencia térmica equivalente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K/W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r>
                <m:t>U</m:t>
              </m:r>
              <m:r>
                <m:t>A</m:t>
              </m:r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Conductancia térmica equivalente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W/K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Ganancia estática del actuador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W/p.u.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Constante de tiempo del actuador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</w:t>
            </w:r>
          </w:p>
        </w:tc>
      </w:tr>
    </w:tbl>
    <w:p>
      <w:pPr>
        <w:pStyle w:val="BodyText"/>
      </w:pPr>
      <w:r>
        <w:t xml:space="preserve">Por definición: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U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den>
          </m:f>
        </m:oMath>
      </m:oMathPara>
    </w:p>
    <w:bookmarkEnd w:id="19"/>
    <w:bookmarkEnd w:id="20"/>
    <w:bookmarkStart w:id="21" w:name="arquitectura-funcional"/>
    <w:p>
      <w:pPr>
        <w:pStyle w:val="Heading2"/>
      </w:pPr>
      <w:r>
        <w:t xml:space="preserve">2. Arquitectura funcional</w:t>
      </w:r>
    </w:p>
    <w:p>
      <w:pPr>
        <w:pStyle w:val="FirstParagraph"/>
      </w:pPr>
      <w:r>
        <w:t xml:space="preserve">La referencia se compara con la temperatura medida. El controlador ordena una</w:t>
      </w:r>
      <w:r>
        <w:t xml:space="preserve"> </w:t>
      </w:r>
      <w:r>
        <w:t xml:space="preserve">posición normalizada al sistema de modulación del quemador. El quemador entrega</w:t>
      </w:r>
      <w:r>
        <w:t xml:space="preserve"> </w:t>
      </w:r>
      <w:r>
        <w:t xml:space="preserve">potencia térmica a la zona. Una PT100 con transmisor 4-20 mA mide la temperatura</w:t>
      </w:r>
      <w:r>
        <w:t xml:space="preserve"> </w:t>
      </w:r>
      <w:r>
        <w:t xml:space="preserve">y el sistema de adquisición la reconvierte a grados Celsius.</w:t>
      </w:r>
    </w:p>
    <w:p>
      <w:pPr>
        <w:pStyle w:val="BodyText"/>
      </w:pPr>
      <w:r>
        <w:t xml:space="preserve">En el modelo en unidades de ingeniería, la cadena sensor-acondicionador se</w:t>
      </w:r>
      <w:r>
        <w:t xml:space="preserve"> </w:t>
      </w:r>
      <w:r>
        <w:t xml:space="preserve">aproxima por: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La aproximación se justifica porque su dinámica es mucho más rápida que la</w:t>
      </w:r>
      <w:r>
        <w:t xml:space="preserve"> </w:t>
      </w:r>
      <w:r>
        <w:t xml:space="preserve">constante térmica de la zona. El offset de 4 mA desaparece al trabajar con</w:t>
      </w:r>
      <w:r>
        <w:t xml:space="preserve"> </w:t>
      </w:r>
      <w:r>
        <w:t xml:space="preserve">variables incrementales.</w:t>
      </w:r>
    </w:p>
    <w:bookmarkEnd w:id="21"/>
    <w:bookmarkStart w:id="22" w:name="modelo-del-actuador"/>
    <w:p>
      <w:pPr>
        <w:pStyle w:val="Heading2"/>
      </w:pPr>
      <w:r>
        <w:t xml:space="preserve">3. Modelo del actuador</w:t>
      </w:r>
    </w:p>
    <w:p>
      <w:pPr>
        <w:pStyle w:val="FirstParagraph"/>
      </w:pPr>
      <w:r>
        <w:t xml:space="preserve">La dinámica equivalente de la válvula modulante y el quemador se representa</w:t>
      </w:r>
      <w:r>
        <w:t xml:space="preserve"> </w:t>
      </w:r>
      <w:r>
        <w:t xml:space="preserve">mediante un primer orden: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t>d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Con condiciones iniciales nulas en el modelo incremental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↔</m:t>
        </m:r>
        <m:sSub>
          <m:e>
            <m:r>
              <m:t>Q</m:t>
            </m:r>
          </m:e>
          <m:sub>
            <m:r>
              <m:t>h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↔</m:t>
        </m:r>
        <m:r>
          <m:t>V</m:t>
        </m:r>
      </m:oMath>
      <w:r>
        <w:t xml:space="preserve">):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La orden debe satisfacer: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p>
      <w:pPr>
        <w:pStyle w:val="FirstParagraph"/>
      </w:pPr>
      <w:r>
        <w:t xml:space="preserve">La saturación es una no linealidad del sistema completo y no forma parte de la</w:t>
      </w:r>
      <w:r>
        <w:t xml:space="preserve"> </w:t>
      </w:r>
      <w:r>
        <w:t xml:space="preserve">función de transferencia lineal.</w:t>
      </w:r>
    </w:p>
    <w:bookmarkEnd w:id="22"/>
    <w:bookmarkStart w:id="23" w:name="balance-energético-de-la-zona"/>
    <w:p>
      <w:pPr>
        <w:pStyle w:val="Heading2"/>
      </w:pPr>
      <w:r>
        <w:t xml:space="preserve">4. Balance energético de la zona</w:t>
      </w:r>
    </w:p>
    <w:p>
      <w:pPr>
        <w:pStyle w:val="FirstParagraph"/>
      </w:pPr>
      <w:r>
        <w:t xml:space="preserve">Se aplica conservación de energía al volumen equivalente: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f>
            <m:fPr>
              <m:type m:val="bar"/>
            </m:fPr>
            <m:num>
              <m:r>
                <m:t>d</m:t>
              </m:r>
              <m:sSub>
                <m:e>
                  <m:r>
                    <m:t>T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U</m:t>
          </m:r>
          <m:r>
            <m:t>A</m:t>
          </m:r>
          <m:r>
            <m:rPr>
              <m:sty m:val="p"/>
            </m:rPr>
            <m:t>[</m:t>
          </m:r>
          <m:sSub>
            <m:e>
              <m:r>
                <m:t>T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Los términos representan:</w:t>
      </w:r>
    </w:p>
    <w:p>
      <w:pPr>
        <w:keepNext w:val="0"/>
        <w:keepLines w:val="0"/>
        <w:widowControl w:val="0"/>
        <w:numPr>
          <w:ilvl w:val="0"/>
          <w:numId w:val="1001"/>
        </w:numPr>
      </w:pPr>
      <w:r>
        <w:t xml:space="preserve">energía acumulada en la zona;</w:t>
      </w:r>
    </w:p>
    <w:p>
      <w:pPr>
        <w:keepNext w:val="0"/>
        <w:keepLines w:val="0"/>
        <w:widowControl w:val="0"/>
        <w:numPr>
          <w:ilvl w:val="0"/>
          <w:numId w:val="1001"/>
        </w:numPr>
      </w:pPr>
      <w:r>
        <w:t xml:space="preserve">potencia aportada por el quemador;</w:t>
      </w:r>
    </w:p>
    <w:p>
      <w:pPr>
        <w:keepNext w:val="0"/>
        <w:keepLines w:val="0"/>
        <w:widowControl w:val="0"/>
        <w:numPr>
          <w:ilvl w:val="0"/>
          <w:numId w:val="1001"/>
        </w:numPr>
      </w:pPr>
      <w:r>
        <w:t xml:space="preserve">pérdidas equivalentes hacia el ambiente;</w:t>
      </w:r>
    </w:p>
    <w:p>
      <w:pPr>
        <w:keepNext w:val="0"/>
        <w:keepLines w:val="0"/>
        <w:widowControl w:val="0"/>
        <w:numPr>
          <w:ilvl w:val="0"/>
          <w:numId w:val="1001"/>
        </w:numPr>
      </w:pPr>
      <w:r>
        <w:t xml:space="preserve">potencia absorbida por carga y renovación de aire.</w:t>
      </w:r>
    </w:p>
    <w:p>
      <w:pPr>
        <w:pStyle w:val="FirstParagraph"/>
      </w:pPr>
      <w:r>
        <w:t xml:space="preserve">Esta ecuación conserva la temperatura ambiente. No se adopta la simplificación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porque el punto nominal se establece con temperaturas físicas</w:t>
      </w:r>
      <w:r>
        <w:t xml:space="preserve"> </w:t>
      </w:r>
      <w:r>
        <w:t xml:space="preserve">(no incrementales) de operación. Las diferencias de temperatura tienen el mismo</w:t>
      </w:r>
      <w:r>
        <w:t xml:space="preserve"> </w:t>
      </w:r>
      <w:r>
        <w:t xml:space="preserve">valor numérico en °C y en K.</w:t>
      </w:r>
    </w:p>
    <w:bookmarkEnd w:id="23"/>
    <w:bookmarkStart w:id="25" w:name="punto-de-operación"/>
    <w:p>
      <w:pPr>
        <w:pStyle w:val="Heading2"/>
      </w:pPr>
      <w:r>
        <w:t xml:space="preserve">5. Punto de operación</w:t>
      </w:r>
    </w:p>
    <w:p>
      <w:pPr>
        <w:pStyle w:val="FirstParagraph"/>
      </w:pPr>
      <w:r>
        <w:t xml:space="preserve">Para valores constantes, la derivada se anula: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U</m:t>
          </m:r>
          <m:r>
            <m:t>A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z</m:t>
              </m:r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Por lo tanto: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t>A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z</m:t>
              </m:r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L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Y, usando el modelo estático del actuador: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bookmarkStart w:id="24" w:name="Xa35f146a552cf6d975bb9baadad857d0a36bfaa"/>
    <w:p>
      <w:pPr>
        <w:pStyle w:val="Heading3"/>
      </w:pPr>
      <w:r>
        <w:t xml:space="preserve">5.1 Valores congelados (supuestos académicos de diseño)</w:t>
      </w:r>
    </w:p>
    <w:p>
      <w:pPr>
        <w:pStyle w:val="FirstParagraph"/>
      </w:pPr>
      <w:r>
        <w:t xml:space="preserve">Estos parámetros quedan fijados para el resto del TFI como supuestos de diseño.</w:t>
      </w:r>
      <w:r>
        <w:t xml:space="preserve"> </w:t>
      </w:r>
      <w:r>
        <w:t xml:space="preserve">No representan mediciones del horno ni validación experimental.</w:t>
      </w:r>
    </w:p>
    <w:tbl>
      <w:tblPr>
        <w:tblStyle w:val="TableGrid"/>
        <w:tblW w:type="dxa" w:w="9360"/>
        <w:tblLayout w:type="fixed"/>
        <w:tblLook w:firstRow="1" w:lastRow="0" w:firstColumn="0" w:lastColumn="0" w:noHBand="0" w:noVBand="0" w:val="0020"/>
        <w:tblInd w:w="120" w:type="dxa"/>
      </w:tblPr>
      <w:tblGrid>
        <w:gridCol w:w="2500"/>
        <w:gridCol w:w="1800"/>
        <w:gridCol w:w="5060"/>
      </w:tblGrid>
      <w:tr>
        <w:trPr>
          <w:tblHeader w:val="true"/>
        </w:trPr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 xml:space="preserve">Parámetro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b/>
                <w:sz w:val="19"/>
              </w:rPr>
              <w:t xml:space="preserve">Valor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 xml:space="preserve">Procedencia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T</m:t>
                  </m:r>
                </m:e>
                <m:sub>
                  <m:r>
                    <m:t>z</m:t>
                  </m:r>
                  <m:r>
                    <m:t>0</m:t>
                  </m:r>
                </m:sub>
              </m:sSub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180 °C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  <m:r>
                    <m:t>0</m:t>
                  </m:r>
                </m:sub>
              </m:sSub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25 °C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0</m:t>
                  </m:r>
                </m:sub>
              </m:sSub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40 kW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r>
                <m:t>U</m:t>
              </m:r>
              <m:r>
                <m:t>A</m:t>
              </m:r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2000 W/K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1,2 MJ/K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500 kW/p.u.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Calibri" w:hAnsi="Calibri"/>
                <w:sz w:val="19"/>
              </w:rPr>
              <w:t xml:space="preserve">​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10 s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</w:tbl>
    <w:p>
      <w:pPr>
        <w:pStyle w:val="BodyText"/>
      </w:pPr>
      <w:r>
        <w:t xml:space="preserve">De estos valores se obtiene: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U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t>K</m:t>
          </m:r>
          <m:r>
            <m:rPr>
              <m:sty m:val="p"/>
            </m:rPr>
            <m:t>/</m:t>
          </m:r>
          <m:r>
            <m:t>W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  <m:r>
                <m:t>h</m:t>
              </m:r>
            </m:sub>
          </m:sSub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600</m:t>
          </m:r>
          <m:r>
            <m:t> </m:t>
          </m:r>
          <m:r>
            <m:t>s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2000</m:t>
          </m:r>
          <m:r>
            <m:rPr>
              <m:sty m:val="p"/>
            </m:rPr>
            <m:t>(</m:t>
          </m:r>
          <m:r>
            <m:t>180</m:t>
          </m:r>
          <m:r>
            <m:rPr>
              <m:sty m:val="p"/>
            </m:rPr>
            <m:t>−</m:t>
          </m:r>
          <m:r>
            <m:t>25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40000</m:t>
          </m:r>
          <m:r>
            <m:rPr>
              <m:sty m:val="p"/>
            </m:rPr>
            <m:t>=</m:t>
          </m:r>
          <m:r>
            <m:t>350000</m:t>
          </m:r>
          <m:r>
            <m:t> </m:t>
          </m:r>
          <m:r>
            <m:t>W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350000</m:t>
              </m:r>
            </m:num>
            <m:den>
              <m:r>
                <m:t>500000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70</m:t>
          </m:r>
        </m:oMath>
      </m:oMathPara>
    </w:p>
    <w:p>
      <w:pPr>
        <w:pStyle w:val="FirstParagraph"/>
      </w:pPr>
      <w:r>
        <w:t xml:space="preserve">El equilibrio deja 30 % de reserva ascendente de potencia, equivalente a</w:t>
      </w:r>
      <w:r>
        <w:t xml:space="preserve"> </w:t>
      </w:r>
      <w:r>
        <w:t xml:space="preserve">150 kW. Esto permite ensayar un aumento de carga de 50 kW sin saturación</w:t>
      </w:r>
      <w:r>
        <w:t xml:space="preserve"> </w:t>
      </w:r>
      <w:r>
        <w:t xml:space="preserve">estacionaria, aunque la acción transitoria todavía debe verificarse.</w:t>
      </w:r>
    </w:p>
    <w:bookmarkEnd w:id="24"/>
    <w:bookmarkEnd w:id="25"/>
    <w:bookmarkStart w:id="26" w:name="modelo-incremental"/>
    <w:p>
      <w:pPr>
        <w:pStyle w:val="Heading2"/>
      </w:pPr>
      <w:r>
        <w:t xml:space="preserve">6. Modelo incremental</w:t>
      </w:r>
    </w:p>
    <w:p>
      <w:pPr>
        <w:pStyle w:val="FirstParagraph"/>
      </w:pPr>
      <w:r>
        <w:t xml:space="preserve">Se definen desviaciones respecto del punto nominal: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z</m:t>
              </m:r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  <m:r>
                <m:t>0</m:t>
              </m:r>
            </m:sub>
          </m:sSub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Al reemplazar en el balance y restar la ecuación de equilibrio: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f>
            <m:fPr>
              <m:type m:val="bar"/>
            </m:fPr>
            <m:num>
              <m:r>
                <m:t>d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U</m:t>
          </m:r>
          <m:r>
            <m:t>A</m:t>
          </m:r>
          <m:r>
            <m:t>θ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t>A</m:t>
          </m:r>
          <m:sSub>
            <m:e>
              <m:r>
                <m:t>θ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El actuador incremental queda: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t>d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El modelo es lineal mientras la orden total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v</m:t>
        </m:r>
      </m:oMath>
      <w:r>
        <w:t xml:space="preserve"> </w:t>
      </w:r>
      <w:r>
        <w:t xml:space="preserve">no alcance sus</w:t>
      </w:r>
      <w:r>
        <w:t xml:space="preserve"> </w:t>
      </w:r>
      <w:r>
        <w:t xml:space="preserve">límites y los parámetros equivalentes se mantengan aproximadamente constantes.</w:t>
      </w:r>
    </w:p>
    <w:bookmarkEnd w:id="26"/>
    <w:bookmarkStart w:id="31" w:name="funciones-de-transferencia"/>
    <w:p>
      <w:pPr>
        <w:pStyle w:val="Heading2"/>
      </w:pPr>
      <w:r>
        <w:t xml:space="preserve">7. Funciones de transferencia</w:t>
      </w:r>
    </w:p>
    <w:p>
      <w:pPr>
        <w:pStyle w:val="FirstParagraph"/>
      </w:pPr>
      <w:r>
        <w:t xml:space="preserve">Tras la linealización, todas las transferencias relacionan</w:t>
      </w:r>
      <w:r>
        <w:t xml:space="preserve"> </w:t>
      </w:r>
      <w:r>
        <w:rPr>
          <w:b/>
          <w:bCs/>
        </w:rPr>
        <w:t xml:space="preserve">desviaciones</w:t>
      </w:r>
      <w:r>
        <w:t xml:space="preserve"> </w:t>
      </w:r>
      <w:r>
        <w:t xml:space="preserve">alrededor del equilibrio. Se denota con mayúscula la transformada de Laplace</w:t>
      </w:r>
      <w:r>
        <w:t xml:space="preserve"> </w:t>
      </w:r>
      <w:r>
        <w:t xml:space="preserve">de cada señal incremental: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↔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↔</m:t>
          </m:r>
          <m:r>
            <m:t>V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↔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↔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θ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↔</m:t>
          </m:r>
          <m:sSub>
            <m:e>
              <m:r>
                <m:rPr>
                  <m:sty m:val="p"/>
                </m:rPr>
                <m:t>Θ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Aplicando Laplace con condiciones iniciales nulas: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r>
            <m:t>s</m:t>
          </m:r>
          <m:r>
            <m:rPr>
              <m:sty m:val="p"/>
            </m:rPr>
            <m:t>+</m:t>
          </m:r>
          <m:r>
            <m:t>U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t>A</m:t>
          </m:r>
          <m:sSub>
            <m:e>
              <m:r>
                <m:rPr>
                  <m:sty m:val="p"/>
                </m:rPr>
                <m:t>Θ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</m:oMath>
      </m:oMathPara>
    </w:p>
    <w:bookmarkStart w:id="27" w:name="potencia-térmica-a-temperatura"/>
    <w:p>
      <w:pPr>
        <w:pStyle w:val="Heading3"/>
      </w:pPr>
      <w:r>
        <w:t xml:space="preserve">7.1 Potencia térmica a temperatura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bookmarkEnd w:id="27"/>
    <w:bookmarkStart w:id="28" w:name="orden-a-temperatura"/>
    <w:p>
      <w:pPr>
        <w:pStyle w:val="Heading3"/>
      </w:pPr>
      <w:r>
        <w:t xml:space="preserve">7.2 Orden a temperatura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Definiendo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Con los valores provisionales: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t>500000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250</m:t>
          </m:r>
        </m:oMath>
      </m:oMathPara>
    </w:p>
    <w:p>
      <w:pPr>
        <w:pStyle w:val="FirstParagraph"/>
      </w:pPr>
      <w:r>
        <w:t xml:space="preserve">La unidad de esta ganancia es °C/p.u.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</m:num>
            <m:den>
              <m:r>
                <m:rPr>
                  <m:sty m:val="p"/>
                </m:rPr>
                <m:t>(</m:t>
              </m:r>
              <m:r>
                <m:t>10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600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</m:num>
            <m:den>
              <m:r>
                <m:t>6000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610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bookmarkEnd w:id="28"/>
    <w:bookmarkStart w:id="29" w:name="carga-térmica-a-temperatura"/>
    <w:p>
      <w:pPr>
        <w:pStyle w:val="Heading3"/>
      </w:pPr>
      <w:r>
        <w:t xml:space="preserve">7.3 Carga térmica a temperatura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bookmarkEnd w:id="29"/>
    <w:bookmarkStart w:id="30" w:name="X0a0ae73564dcd8f43abef6974e3aa29b74dedbe"/>
    <w:p>
      <w:pPr>
        <w:pStyle w:val="Heading3"/>
      </w:pPr>
      <w:r>
        <w:t xml:space="preserve">7.4 Temperatura ambiente a temperatura de zona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sty m:val="p"/>
                    </m:rPr>
                    <m:t>Θ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t>A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bookmarkEnd w:id="30"/>
    <w:bookmarkEnd w:id="31"/>
    <w:bookmarkStart w:id="32" w:name="análisis-inicial-de-la-planta"/>
    <w:p>
      <w:pPr>
        <w:pStyle w:val="Heading2"/>
      </w:pPr>
      <w:r>
        <w:t xml:space="preserve">8. Análisis inicial de la planta</w:t>
      </w:r>
    </w:p>
    <w:p>
      <w:pPr>
        <w:pStyle w:val="FirstParagraph"/>
      </w:pPr>
      <w:r>
        <w:t xml:space="preserve">Los polos del camino orden-temperatura son: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 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667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Por lo tanto:</w:t>
      </w:r>
    </w:p>
    <w:p>
      <w:pPr>
        <w:keepNext w:val="0"/>
        <w:keepLines w:val="0"/>
        <w:widowControl w:val="0"/>
        <w:numPr>
          <w:ilvl w:val="0"/>
          <w:numId w:val="1002"/>
        </w:numPr>
      </w:pPr>
      <w:r>
        <w:t xml:space="preserve">ambos polos están en el semiplano izquierdo;</w:t>
      </w:r>
    </w:p>
    <w:p>
      <w:pPr>
        <w:keepNext w:val="0"/>
        <w:keepLines w:val="0"/>
        <w:widowControl w:val="0"/>
        <w:numPr>
          <w:ilvl w:val="0"/>
          <w:numId w:val="1002"/>
        </w:numPr>
      </w:pPr>
      <w:r>
        <w:t xml:space="preserve">la planta es absolutamente estable;</w:t>
      </w:r>
    </w:p>
    <w:p>
      <w:pPr>
        <w:keepNext w:val="0"/>
        <w:keepLines w:val="0"/>
        <w:widowControl w:val="0"/>
        <w:numPr>
          <w:ilvl w:val="0"/>
          <w:numId w:val="1002"/>
        </w:numPr>
      </w:pPr>
      <w:r>
        <w:t xml:space="preserve">no tiene ceros;</w:t>
      </w:r>
    </w:p>
    <w:p>
      <w:pPr>
        <w:keepNext w:val="0"/>
        <w:keepLines w:val="0"/>
        <w:widowControl w:val="0"/>
        <w:numPr>
          <w:ilvl w:val="0"/>
          <w:numId w:val="1002"/>
        </w:numPr>
      </w:pPr>
      <w:r>
        <w:t xml:space="preserve">es de tipo 0;</w:t>
      </w:r>
    </w:p>
    <w:p>
      <w:pPr>
        <w:keepNext w:val="0"/>
        <w:keepLines w:val="0"/>
        <w:widowControl w:val="0"/>
        <w:numPr>
          <w:ilvl w:val="0"/>
          <w:numId w:val="1002"/>
        </w:numPr>
      </w:pPr>
      <w:r>
        <w:t xml:space="preserve">el polo térmico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 dominante;</w:t>
      </w:r>
    </w:p>
    <w:p>
      <w:pPr>
        <w:keepNext w:val="0"/>
        <w:keepLines w:val="0"/>
        <w:widowControl w:val="0"/>
        <w:numPr>
          <w:ilvl w:val="0"/>
          <w:numId w:val="1002"/>
        </w:numPr>
      </w:pPr>
      <w:r>
        <w:t xml:space="preserve">la ganancia estática es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°C/p.u.</w:t>
      </w:r>
    </w:p>
    <w:p>
      <w:pPr>
        <w:pStyle w:val="FirstParagraph"/>
      </w:pPr>
      <w:r>
        <w:t xml:space="preserve">Escrita en forma canónica de segundo orden,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 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ζ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°C/p.u. y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0129099</m:t>
          </m:r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610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6000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93753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frecuencia natural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está expresada en rad/s.</w:t>
      </w:r>
    </w:p>
    <w:p>
      <w:pPr>
        <w:pStyle w:val="BodyText"/>
      </w:pPr>
      <w:r>
        <w:t xml:space="preserve">Como</w:t>
      </w:r>
      <w:r>
        <w:t xml:space="preserve"> </w:t>
      </w:r>
      <m:oMath>
        <m:r>
          <m:t>ζ</m:t>
        </m:r>
        <m:r>
          <m:rPr>
            <m:sty m:val="p"/>
          </m:rPr>
          <m:t>&gt;</m:t>
        </m:r>
        <m:r>
          <m:t>1</m:t>
        </m:r>
      </m:oMath>
      <w:r>
        <w:t xml:space="preserve">, la planta es de</w:t>
      </w:r>
      <w:r>
        <w:t xml:space="preserve"> </w:t>
      </w:r>
      <w:r>
        <w:rPr>
          <w:b/>
          <w:bCs/>
        </w:rPr>
        <w:t xml:space="preserve">segundo orden sobreamortiguada</w:t>
      </w:r>
      <w:r>
        <w:t xml:space="preserve">.</w:t>
      </w:r>
    </w:p>
    <w:p>
      <w:pPr>
        <w:pStyle w:val="BodyText"/>
      </w:pPr>
      <w:r>
        <w:t xml:space="preserve">La separación entre polos es de un factor 60. El actuador es mucho más rápido</w:t>
      </w:r>
      <w:r>
        <w:t xml:space="preserve"> </w:t>
      </w:r>
      <w:r>
        <w:t xml:space="preserve">que el recinto, pero se conserva en el modelo para obtener una planta de</w:t>
      </w:r>
      <w:r>
        <w:t xml:space="preserve"> </w:t>
      </w:r>
      <w:r>
        <w:t xml:space="preserve">segundo orden y analizar su influencia sobre la acción de control.</w:t>
      </w:r>
    </w:p>
    <w:p>
      <w:pPr>
        <w:pStyle w:val="BodyText"/>
      </w:pPr>
      <w:r>
        <w:t xml:space="preserve">Para comparar con la dinámica dominante se define la reducción de primer orden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</m:num>
            <m:den>
              <m:r>
                <m:t>600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5" w:name="Xf6f524d70cac6fbceebe50f18c24c5203c47b99"/>
    <w:p>
      <w:pPr>
        <w:pStyle w:val="Heading2"/>
      </w:pPr>
      <w:r>
        <w:t xml:space="preserve">9. Ensayos y especificaciones provisionales de lazo cerrado</w:t>
      </w:r>
    </w:p>
    <w:bookmarkStart w:id="33" w:name="ensayo-nominal-de-referencia"/>
    <w:p>
      <w:pPr>
        <w:pStyle w:val="Heading3"/>
      </w:pPr>
      <w:r>
        <w:t xml:space="preserve">9.1 Ensayo nominal de referencia</w:t>
      </w:r>
    </w:p>
    <w:p>
      <w:pPr>
        <w:pStyle w:val="FirstParagraph"/>
      </w:pPr>
      <w:r>
        <w:t xml:space="preserve">El ensayo de seguimiento queda definido como un incremento de referencia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</m:t>
          </m:r>
        </m:oMath>
      </m:oMathPara>
    </w:p>
    <w:p>
      <w:pPr>
        <w:pStyle w:val="FirstParagraph"/>
      </w:pPr>
      <w:r>
        <w:t xml:space="preserve">medido en °C, alrededor del punto nominal (</w:t>
      </w:r>
      <m:oMath>
        <m:sSub>
          <m:e>
            <m:r>
              <m:t>T</m:t>
            </m:r>
          </m:e>
          <m:sub>
            <m:r>
              <m:t>z</m:t>
            </m:r>
            <m:r>
              <m:t>0</m:t>
            </m:r>
          </m:sub>
        </m:sSub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°C). Equivale, por</w:t>
      </w:r>
      <w:r>
        <w:t xml:space="preserve"> </w:t>
      </w:r>
      <w:r>
        <w:t xml:space="preserve">ejemplo, a pasar de 180 °C a 190 °C en temperatura física, pero la definición</w:t>
      </w:r>
      <w:r>
        <w:t xml:space="preserve"> </w:t>
      </w:r>
      <w:r>
        <w:t xml:space="preserve">operativa del ensayo es el escalón incremental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</m:oMath>
      <w:r>
        <w:t xml:space="preserve">.</w:t>
      </w:r>
    </w:p>
    <w:p>
      <w:pPr>
        <w:pStyle w:val="BodyText"/>
      </w:pPr>
      <w:r>
        <w:t xml:space="preserve">Objetivos de lazo cerrado para este ensayo (verificados con el PI adoptado):</w:t>
      </w:r>
    </w:p>
    <w:p>
      <w:pPr>
        <w:keepNext w:val="0"/>
        <w:keepLines w:val="0"/>
        <w:widowControl w:val="0"/>
        <w:numPr>
          <w:ilvl w:val="0"/>
          <w:numId w:val="1003"/>
        </w:numPr>
      </w:pPr>
      <w:r>
        <w:t xml:space="preserve">error estacionario: 0 °C;</w:t>
      </w:r>
    </w:p>
    <w:p>
      <w:pPr>
        <w:keepNext w:val="0"/>
        <w:keepLines w:val="0"/>
        <w:widowControl w:val="0"/>
        <w:numPr>
          <w:ilvl w:val="0"/>
          <w:numId w:val="1003"/>
        </w:numPr>
      </w:pPr>
      <w:r>
        <w:t xml:space="preserve">sobrepasamiento máximo: 5 % (el nominal resulta 0 %);</w:t>
      </w:r>
    </w:p>
    <w:p>
      <w:pPr>
        <w:keepNext w:val="0"/>
        <w:keepLines w:val="0"/>
        <w:widowControl w:val="0"/>
        <w:numPr>
          <w:ilvl w:val="0"/>
          <w:numId w:val="1003"/>
        </w:numPr>
      </w:pPr>
      <w:r>
        <w:t xml:space="preserve">tiempo de establecimiento: no más de 600 s con banda de ±5 %;</w:t>
      </w:r>
    </w:p>
    <w:p>
      <w:pPr>
        <w:keepNext w:val="0"/>
        <w:keepLines w:val="0"/>
        <w:widowControl w:val="0"/>
        <w:numPr>
          <w:ilvl w:val="0"/>
          <w:numId w:val="1003"/>
        </w:numPr>
      </w:pPr>
      <w:r>
        <w:t xml:space="preserve">acción de control total: entre 0 y 100 %, sin saturación sostenida.</w:t>
      </w:r>
    </w:p>
    <w:bookmarkEnd w:id="33"/>
    <w:bookmarkStart w:id="34" w:name="ensayo-de-perturbación"/>
    <w:p>
      <w:pPr>
        <w:pStyle w:val="Heading3"/>
      </w:pPr>
      <w:r>
        <w:t xml:space="preserve">9.2 Ensayo de perturbación</w:t>
      </w:r>
    </w:p>
    <w:p>
      <w:pPr>
        <w:pStyle w:val="FirstParagraph"/>
      </w:pPr>
      <w:r>
        <w:t xml:space="preserve">La perturbación queda definida como un aumento sostenido de carga térmica</w:t>
      </w:r>
      <w:r>
        <w:t xml:space="preserve"> </w:t>
      </w:r>
      <w:r>
        <w:t xml:space="preserve">equivalente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50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incremento de carga está expresado en kW.</w:t>
      </w:r>
    </w:p>
    <w:p>
      <w:pPr>
        <w:pStyle w:val="BodyText"/>
      </w:pPr>
      <w:r>
        <w:t xml:space="preserve">No representa el ingreso puntual de una única carrocería, sino una carga</w:t>
      </w:r>
      <w:r>
        <w:t xml:space="preserve"> </w:t>
      </w:r>
      <w:r>
        <w:t xml:space="preserve">agrupada sostenida (carrocerías, carriers y renovación de aire).</w:t>
      </w:r>
    </w:p>
    <w:p>
      <w:pPr>
        <w:pStyle w:val="BodyText"/>
      </w:pPr>
      <w:r>
        <w:t xml:space="preserve">Objetivos de lazo cerrado para este ensayo (verificados con el PI adoptado):</w:t>
      </w:r>
    </w:p>
    <w:p>
      <w:pPr>
        <w:keepNext w:val="0"/>
        <w:keepLines w:val="0"/>
        <w:widowControl w:val="0"/>
        <w:numPr>
          <w:ilvl w:val="0"/>
          <w:numId w:val="1004"/>
        </w:numPr>
      </w:pPr>
      <w:r>
        <w:t xml:space="preserve">desviación máxima de temperatura menor o igual a 5 °C;</w:t>
      </w:r>
    </w:p>
    <w:p>
      <w:pPr>
        <w:keepNext w:val="0"/>
        <w:keepLines w:val="0"/>
        <w:widowControl w:val="0"/>
        <w:numPr>
          <w:ilvl w:val="0"/>
          <w:numId w:val="1004"/>
        </w:numPr>
      </w:pPr>
      <w:r>
        <w:t xml:space="preserve">retorno permanente a la banda de ±2 °C en no más de 600 s;</w:t>
      </w:r>
    </w:p>
    <w:p>
      <w:pPr>
        <w:keepNext w:val="0"/>
        <w:keepLines w:val="0"/>
        <w:widowControl w:val="0"/>
        <w:numPr>
          <w:ilvl w:val="0"/>
          <w:numId w:val="1004"/>
        </w:numPr>
      </w:pPr>
      <w:r>
        <w:t xml:space="preserve">visualización explícita de la orden de control.</w:t>
      </w:r>
    </w:p>
    <w:bookmarkEnd w:id="34"/>
    <w:bookmarkEnd w:id="35"/>
    <w:bookmarkStart w:id="43" w:name="diseño-del-controlador-pi"/>
    <w:p>
      <w:pPr>
        <w:pStyle w:val="Heading2"/>
      </w:pPr>
      <w:r>
        <w:t xml:space="preserve">10. Diseño del controlador PI</w:t>
      </w:r>
    </w:p>
    <w:p>
      <w:pPr>
        <w:pStyle w:val="FirstParagraph"/>
      </w:pPr>
      <w:r>
        <w:t xml:space="preserve">Se adopta un PI en la forma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Start w:id="36" w:name="parámetros-adoptados"/>
    <w:p>
      <w:pPr>
        <w:pStyle w:val="Heading3"/>
      </w:pPr>
      <w:r>
        <w:t xml:space="preserve">10.1 Parámetros adoptados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600</m:t>
          </m:r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025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1666666667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Las unidades de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 p.u./°C y p.u./(°C·s),</w:t>
      </w:r>
      <w:r>
        <w:t xml:space="preserve"> </w:t>
      </w:r>
      <w:r>
        <w:t xml:space="preserve">respectivamente.</w:t>
      </w:r>
    </w:p>
    <w:p>
      <w:pPr>
        <w:pStyle w:val="BodyText"/>
      </w:pPr>
      <w:r>
        <w:t xml:space="preserve">El cero del PI queda 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600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y cancela</w:t>
      </w:r>
      <w:r>
        <w:t xml:space="preserve"> </w:t>
      </w:r>
      <w:r>
        <w:rPr>
          <w:b/>
          <w:bCs/>
        </w:rPr>
        <w:t xml:space="preserve">nominalmente</w:t>
      </w:r>
      <w:r>
        <w:t xml:space="preserve"> </w:t>
      </w:r>
      <w:r>
        <w:t xml:space="preserve">el polo térmico dominante estable de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</m:oMath>
      <w:r>
        <w:t xml:space="preserve">. La cancelación</w:t>
      </w:r>
      <w:r>
        <w:t xml:space="preserve"> </w:t>
      </w:r>
      <w:r>
        <w:t xml:space="preserve">vale para el modelo asumido: no elimina físicamente la dinámica térmica ni</w:t>
      </w:r>
      <w:r>
        <w:t xml:space="preserve"> </w:t>
      </w:r>
      <w:r>
        <w:t xml:space="preserve">demuestra robustez sobre el horno real.</w:t>
      </w:r>
    </w:p>
    <w:bookmarkEnd w:id="36"/>
    <w:bookmarkStart w:id="37" w:name="X6bfc4ade012ef2158390e2ec1a392ae526dde66"/>
    <w:p>
      <w:pPr>
        <w:pStyle w:val="Heading3"/>
      </w:pPr>
      <w:r>
        <w:t xml:space="preserve">10.2 Lazo abierto compensado tras la cancelación nominal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600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integrador del PI hace que el lazo abierto compensado sea de</w:t>
      </w:r>
      <w:r>
        <w:t xml:space="preserve"> </w:t>
      </w:r>
      <w:r>
        <w:rPr>
          <w:b/>
          <w:bCs/>
        </w:rPr>
        <w:t xml:space="preserve">tipo 1</w:t>
      </w:r>
      <w:r>
        <w:t xml:space="preserve">, lo</w:t>
      </w:r>
      <w:r>
        <w:t xml:space="preserve"> </w:t>
      </w:r>
      <w:r>
        <w:t xml:space="preserve">que garantiza error estacionario nulo ante escalones de referencia y de carga</w:t>
      </w:r>
      <w:r>
        <w:t xml:space="preserve"> </w:t>
      </w:r>
      <w:r>
        <w:t xml:space="preserve">constante (en el modelo lineal no saturado).</w:t>
      </w:r>
    </w:p>
    <w:p>
      <w:pPr>
        <w:pStyle w:val="BodyText"/>
      </w:pPr>
      <w:r>
        <w:t xml:space="preserve">La ecuación característica del</w:t>
      </w:r>
      <w:r>
        <w:t xml:space="preserve"> </w:t>
      </w:r>
      <w:r>
        <w:rPr>
          <w:b/>
          <w:bCs/>
        </w:rPr>
        <w:t xml:space="preserve">lazo nominal reducido</w:t>
      </w:r>
      <w:r>
        <w:t xml:space="preserve"> </w:t>
      </w:r>
      <w:r>
        <w:t xml:space="preserve">(tras la cancelación</w:t>
      </w:r>
      <w:r>
        <w:t xml:space="preserve"> </w:t>
      </w:r>
      <w:r>
        <w:t xml:space="preserve">nominal del polo térmico) es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6000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600</m:t>
          </m:r>
          <m:r>
            <m:t>s</m:t>
          </m:r>
          <m:r>
            <m:rPr>
              <m:sty m:val="p"/>
            </m:rPr>
            <m:t>+</m:t>
          </m:r>
          <m:r>
            <m:t>250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s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24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24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03227486</m:t>
          </m:r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549193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frecuencia natural de la realización mínima está expresada en rad/s.</w:t>
      </w:r>
    </w:p>
    <w:p>
      <w:pPr>
        <w:pStyle w:val="BodyText"/>
      </w:pPr>
      <w:r>
        <w:t xml:space="preserve">Como</w:t>
      </w:r>
      <w:r>
        <w:t xml:space="preserve"> </w:t>
      </w:r>
      <m:oMath>
        <m:r>
          <m:t>ζ</m:t>
        </m:r>
        <m:r>
          <m:rPr>
            <m:sty m:val="p"/>
          </m:rPr>
          <m:t>&gt;</m:t>
        </m:r>
        <m:r>
          <m:t>1</m:t>
        </m:r>
      </m:oMath>
      <w:r>
        <w:t xml:space="preserve">, la</w:t>
      </w:r>
      <w:r>
        <w:t xml:space="preserve"> </w:t>
      </w:r>
      <w:r>
        <w:rPr>
          <w:b/>
          <w:bCs/>
        </w:rPr>
        <w:t xml:space="preserve">realización mínima</w:t>
      </w:r>
      <w:r>
        <w:t xml:space="preserve"> </w:t>
      </w:r>
      <w:r>
        <w:t xml:space="preserve">de la transferencia nominal</w:t>
      </w:r>
      <w:r>
        <w:t xml:space="preserve"> </w:t>
      </w:r>
      <w:r>
        <w:t xml:space="preserve">referencia–temperatura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es de</w:t>
      </w:r>
      <w:r>
        <w:t xml:space="preserve"> </w:t>
      </w:r>
      <w:r>
        <w:rPr>
          <w:b/>
          <w:bCs/>
        </w:rPr>
        <w:t xml:space="preserve">segundo orden sobreamortiguada</w:t>
      </w:r>
      <w:r>
        <w:t xml:space="preserve">. Sus</w:t>
      </w:r>
      <w:r>
        <w:t xml:space="preserve"> </w:t>
      </w:r>
      <w:r>
        <w:t xml:space="preserve">polos son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08818813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01181187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Estos no son los únicos modos internos del sistema completo. El modelo</w:t>
      </w:r>
      <w:r>
        <w:t xml:space="preserve"> </w:t>
      </w:r>
      <w:r>
        <w:t xml:space="preserve">aumentado con estados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t xml:space="preserve">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tiene los tres autovalores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08818813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01181187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00166667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modo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600</m:t>
        </m:r>
      </m:oMath>
      <w:r>
        <w:t xml:space="preserve"> </w:t>
      </w:r>
      <w:r>
        <w:t xml:space="preserve">queda cancelado únicamente en el canal nominal</w:t>
      </w:r>
      <w:r>
        <w:t xml:space="preserve"> </w:t>
      </w:r>
      <w:r>
        <w:t xml:space="preserve">referencia–temperatura; permanece estable internamente y aparece en la</w:t>
      </w:r>
      <w:r>
        <w:t xml:space="preserve"> </w:t>
      </w:r>
      <w:r>
        <w:t xml:space="preserve">transferencia de perturbación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Xab90f3404943f0b5bf85d1680628fc618fb889d"/>
    <w:p>
      <w:pPr>
        <w:pStyle w:val="Heading3"/>
      </w:pPr>
      <w:r>
        <w:t xml:space="preserve">10.3 Justificación de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por la acción de control</w:t>
      </w:r>
    </w:p>
    <w:p>
      <w:pPr>
        <w:pStyle w:val="FirstParagraph"/>
      </w:pPr>
      <w:r>
        <w:t xml:space="preserve">El criterio primario de elección de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es el margen de actuación ante el</w:t>
      </w:r>
      <w:r>
        <w:t xml:space="preserve"> </w:t>
      </w:r>
      <w:r>
        <w:t xml:space="preserve">ensayo de referencia. Con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t>10</m:t>
        </m:r>
        <m:sSup>
          <m:e>
            <m:r>
              <m:t> 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70</m:t>
        </m:r>
      </m:oMath>
      <w:r>
        <w:t xml:space="preserve">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(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Para no saturar en el instante inicial hace falta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es decir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03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.</m:t>
          </m:r>
          <m:r>
            <m:rPr>
              <m:sty m:val="p"/>
            </m:rPr>
            <m:t>u</m:t>
          </m:r>
          <m:r>
            <m:rPr>
              <m:sty m:val="p"/>
            </m:rPr>
            <m:t>.</m:t>
          </m:r>
          <m:sSup>
            <m:e>
              <m:r>
                <m:rPr>
                  <m:sty m:val="p"/>
                </m:rPr>
                <m:t>/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 adopta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de ese límite, de modo que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, dejando 0,05 p.u. de margen a la</w:t>
      </w:r>
      <w:r>
        <w:t xml:space="preserve"> </w:t>
      </w:r>
      <w:r>
        <w:t xml:space="preserve">saturación superior. La simulación confirma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95035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74</m:t>
        </m:r>
      </m:oMath>
      <w:r>
        <w:t xml:space="preserve">.</w:t>
      </w:r>
    </w:p>
    <w:bookmarkEnd w:id="38"/>
    <w:bookmarkStart w:id="39" w:name="X3af2345bbdf1ff3b709a1ff30a3135204df06a3"/>
    <w:p>
      <w:pPr>
        <w:pStyle w:val="Heading3"/>
      </w:pPr>
      <w:r>
        <w:t xml:space="preserve">10.4 Verificaciones en el lugar de raíces del lazo nominal reducido</w:t>
      </w:r>
    </w:p>
    <w:p>
      <w:pPr>
        <w:pStyle w:val="FirstParagraph"/>
      </w:pPr>
      <w:r>
        <w:t xml:space="preserve">Una vez fijado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por actuación, se verifican a posteriori la ubicación de</w:t>
      </w:r>
      <w:r>
        <w:t xml:space="preserve"> </w:t>
      </w:r>
      <w:r>
        <w:t xml:space="preserve">polos, el lugar de raíces y la condición de módulo. Se define la planta de</w:t>
      </w:r>
      <w:r>
        <w:t xml:space="preserve"> </w:t>
      </w:r>
      <w:r>
        <w:t xml:space="preserve">diseño sin la ganancia variable, correspondiente al lazo nominal</w:t>
      </w:r>
      <w:r>
        <w:t xml:space="preserve"> </w:t>
      </w:r>
      <w:r>
        <w:rPr>
          <w:b/>
          <w:bCs/>
        </w:rPr>
        <w:t xml:space="preserve">reducido</w:t>
      </w:r>
      <w:r>
        <w:rPr>
          <w:b/>
          <w:bCs/>
        </w:rPr>
        <w:t xml:space="preserve"> </w:t>
      </w:r>
      <w:r>
        <w:rPr>
          <w:b/>
          <w:bCs/>
        </w:rPr>
        <w:t xml:space="preserve">tras la cancelación</w:t>
      </w:r>
      <w:r>
        <w:t xml:space="preserve">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</m:num>
            <m:den>
              <m:r>
                <m:t>600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lugar tiene polos 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 con punto de dispersión en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obtenido de</w:t>
      </w:r>
      <w:r>
        <w:t xml:space="preserve"> </w:t>
      </w:r>
      <m:oMath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 La ganancia correspondiente en ese</w:t>
      </w:r>
      <w:r>
        <w:t xml:space="preserve"> </w:t>
      </w:r>
      <w:r>
        <w:t xml:space="preserve">punto es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06</m:t>
        </m:r>
      </m:oMath>
      <w:r>
        <w:t xml:space="preserve"> </w:t>
      </w:r>
      <w:r>
        <w:t xml:space="preserve">(mayor que la adoptada).</w:t>
      </w:r>
    </w:p>
    <w:p>
      <w:pPr>
        <w:pStyle w:val="BodyText"/>
      </w:pPr>
      <w:r>
        <w:t xml:space="preserve">Para el polo lento de la realización mínima de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01181187</m:t>
        </m:r>
      </m:oMath>
      <w:r>
        <w:t xml:space="preserve">, la condición de módulo</w:t>
      </w:r>
      <w:r>
        <w:t xml:space="preserve"> </w:t>
      </w:r>
      <w:r>
        <w:rPr>
          <w:b/>
          <w:bCs/>
        </w:rPr>
        <w:t xml:space="preserve">confirma</w:t>
      </w:r>
      <w:r>
        <w:t xml:space="preserve"> </w:t>
      </w:r>
      <w:r>
        <w:t xml:space="preserve">el valor adoptado: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025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Los dos polos marcados en la figura son los de esa realización mínima</w:t>
      </w:r>
      <w:r>
        <w:t xml:space="preserve"> </w:t>
      </w:r>
      <w:r>
        <w:t xml:space="preserve">referencia–temperatura, no el conjunto completo de autovalores internos.</w:t>
      </w:r>
      <w:r>
        <w:t xml:space="preserve"> </w:t>
      </w:r>
      <w:r>
        <w:t xml:space="preserve">### 10.5 Funciones de transferencia de lazo cerrado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realización mínima de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tiene sólo los dos polos del lazo reducido.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conserva además el polo térmico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600</m:t>
        </m:r>
      </m:oMath>
      <w:r>
        <w:t xml:space="preserve">, coherente con el modo</w:t>
      </w:r>
      <w:r>
        <w:t xml:space="preserve"> </w:t>
      </w:r>
      <w:r>
        <w:t xml:space="preserve">interno no eliminado físicamente.</w:t>
      </w:r>
    </w:p>
    <w:bookmarkEnd w:id="39"/>
    <w:bookmarkStart w:id="40" w:name="modelo-con-saturación-sin-anti-windup"/>
    <w:p>
      <w:pPr>
        <w:pStyle w:val="Heading3"/>
      </w:pPr>
      <w:r>
        <w:t xml:space="preserve">10.6 Modelo con saturación (sin anti-windup)</w:t>
      </w:r>
    </w:p>
    <w:p>
      <w:pPr>
        <w:pStyle w:val="FirstParagraph"/>
      </w:pPr>
      <w:r>
        <w:t xml:space="preserve">Además del modelo lineal se simula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e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t>ξ</m:t>
          </m:r>
          <m:r>
            <m:rPr>
              <m:sty m:val="p"/>
            </m:rPr>
            <m:t>,</m:t>
          </m:r>
          <m:r>
            <m:t> 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̇"/>
            </m:accPr>
            <m:e>
              <m:r>
                <m:t>ξ</m:t>
              </m:r>
            </m:e>
          </m:acc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τ</m:t>
              </m:r>
            </m:e>
            <m:sub>
              <m:r>
                <m:t>a</m:t>
              </m:r>
            </m:sub>
          </m:sSub>
          <m:sSub>
            <m:e>
              <m:acc>
                <m:accPr>
                  <m:chr m:val="̇"/>
                </m:accPr>
                <m:e>
                  <m:r>
                    <m:t>q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v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acc>
            <m:accPr>
              <m:chr m:val="̇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r>
            <m:t>U</m:t>
          </m:r>
          <m:r>
            <m:t>A</m:t>
          </m:r>
          <m:r>
            <m:t>θ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los ensayos obligatorios la saturación permanece inactiva; lineal y</w:t>
      </w:r>
      <w:r>
        <w:t xml:space="preserve"> </w:t>
      </w:r>
      <w:r>
        <w:t xml:space="preserve">saturado coinciden dentro de tolerancia numérica.</w:t>
      </w:r>
    </w:p>
    <w:bookmarkEnd w:id="40"/>
    <w:bookmarkStart w:id="41" w:name="comparación-con-p-puro"/>
    <w:p>
      <w:pPr>
        <w:pStyle w:val="Heading3"/>
      </w:pPr>
      <w:r>
        <w:t xml:space="preserve">10.7 Comparación con P puro</w:t>
      </w:r>
    </w:p>
    <w:p>
      <w:pPr>
        <w:pStyle w:val="FirstParagraph"/>
      </w:pPr>
      <w:r>
        <w:t xml:space="preserve">Con el mismo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 </w:t>
      </w:r>
      <w:r>
        <w:t xml:space="preserve">y sin integral, ante un escalón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t>10</m:t>
        </m:r>
      </m:oMath>
      <w:r>
        <w:t xml:space="preserve">, medido en °C,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37931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en °C; y ante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kW,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,</m:t>
          </m:r>
          <m:r>
            <m:t>44828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último resultado también está expresado en °C.</w:t>
      </w:r>
    </w:p>
    <w:p>
      <w:pPr>
        <w:pStyle w:val="BodyText"/>
      </w:pPr>
      <w:r>
        <w:t xml:space="preserve">La acción integral es la que anula ambos errores estacionarios.</w:t>
      </w:r>
    </w:p>
    <w:bookmarkEnd w:id="41"/>
    <w:bookmarkStart w:id="42" w:name="márgenes-frecuenciales-nominales-de-ls"/>
    <w:p>
      <w:pPr>
        <w:pStyle w:val="Heading3"/>
      </w:pPr>
      <w:r>
        <w:t xml:space="preserve">10.8 Márgenes frecuenciales nominales de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</w:p>
    <w:p>
      <w:pPr>
        <w:keepNext w:val="0"/>
        <w:keepLines w:val="0"/>
        <w:widowControl w:val="0"/>
        <w:numPr>
          <w:ilvl w:val="0"/>
          <w:numId w:val="1005"/>
        </w:numPr>
      </w:pPr>
      <w:r>
        <w:t xml:space="preserve">frecuencia de cruce de ganancia: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0103612</m:t>
        </m:r>
      </m:oMath>
      <w:r>
        <w:t xml:space="preserve"> </w:t>
      </w:r>
      <w:r>
        <w:t xml:space="preserve">rad/s;</w:t>
      </w:r>
    </w:p>
    <w:p>
      <w:pPr>
        <w:keepNext w:val="0"/>
        <w:keepLines w:val="0"/>
        <w:widowControl w:val="0"/>
        <w:numPr>
          <w:ilvl w:val="0"/>
          <w:numId w:val="1005"/>
        </w:numPr>
      </w:pPr>
      <w:r>
        <w:t xml:space="preserve">margen de fase: 84,0846°;</w:t>
      </w:r>
    </w:p>
    <w:p>
      <w:pPr>
        <w:keepNext w:val="0"/>
        <w:keepLines w:val="0"/>
        <w:widowControl w:val="0"/>
        <w:numPr>
          <w:ilvl w:val="0"/>
          <w:numId w:val="1005"/>
        </w:numPr>
      </w:pPr>
      <w:r>
        <w:t xml:space="preserve">margen de ganancia: infinito (no hay cruce finito de fase por -180°).</w:t>
      </w:r>
    </w:p>
    <w:p>
      <w:pPr>
        <w:pStyle w:val="FirstParagraph"/>
      </w:pPr>
      <w:r>
        <w:t xml:space="preserve">Estos valores caracterizan únicamente el modelo nominal asumido; no prueban</w:t>
      </w:r>
      <w:r>
        <w:t xml:space="preserve"> </w:t>
      </w:r>
      <w:r>
        <w:t xml:space="preserve">robustez industrial del horno real.</w:t>
      </w:r>
    </w:p>
    <w:bookmarkEnd w:id="42"/>
    <w:bookmarkEnd w:id="43"/>
    <w:bookmarkStart w:id="44" w:name="no-linealidades-y-límites"/>
    <w:p>
      <w:pPr>
        <w:pStyle w:val="Heading2"/>
      </w:pPr>
      <w:r>
        <w:t xml:space="preserve">11. No linealidades y límites</w:t>
      </w:r>
    </w:p>
    <w:p>
      <w:pPr>
        <w:keepNext w:val="0"/>
        <w:keepLines w:val="0"/>
        <w:widowControl w:val="0"/>
        <w:numPr>
          <w:ilvl w:val="0"/>
          <w:numId w:val="1006"/>
        </w:numPr>
      </w:pPr>
      <w:r>
        <w:t xml:space="preserve">Saturación de la orden entre 0 y 100 %.</w:t>
      </w:r>
    </w:p>
    <w:p>
      <w:pPr>
        <w:keepNext w:val="0"/>
        <w:keepLines w:val="0"/>
        <w:widowControl w:val="0"/>
        <w:numPr>
          <w:ilvl w:val="0"/>
          <w:numId w:val="1006"/>
        </w:numPr>
      </w:pPr>
      <w:r>
        <w:t xml:space="preserve">Posible potencia mínima estable del quemador.</w:t>
      </w:r>
    </w:p>
    <w:p>
      <w:pPr>
        <w:keepNext w:val="0"/>
        <w:keepLines w:val="0"/>
        <w:widowControl w:val="0"/>
        <w:numPr>
          <w:ilvl w:val="0"/>
          <w:numId w:val="1006"/>
        </w:numPr>
      </w:pPr>
      <w:r>
        <w:t xml:space="preserve">Retardos de transporte y mezcla no representados.</w:t>
      </w:r>
    </w:p>
    <w:p>
      <w:pPr>
        <w:keepNext w:val="0"/>
        <w:keepLines w:val="0"/>
        <w:widowControl w:val="0"/>
        <w:numPr>
          <w:ilvl w:val="0"/>
          <w:numId w:val="1006"/>
        </w:numPr>
      </w:pPr>
      <w:r>
        <w:t xml:space="preserve">Dependencia de pérdidas por radiación con la temperatura.</w:t>
      </w:r>
    </w:p>
    <w:p>
      <w:pPr>
        <w:keepNext w:val="0"/>
        <w:keepLines w:val="0"/>
        <w:widowControl w:val="0"/>
        <w:numPr>
          <w:ilvl w:val="0"/>
          <w:numId w:val="1006"/>
        </w:numPr>
      </w:pPr>
      <w:r>
        <w:t xml:space="preserve">Cambios de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U</m:t>
        </m:r>
        <m:r>
          <m:t>A</m:t>
        </m:r>
      </m:oMath>
      <w:r>
        <w:t xml:space="preserve"> </w:t>
      </w:r>
      <w:r>
        <w:t xml:space="preserve">con la carga.</w:t>
      </w:r>
    </w:p>
    <w:p>
      <w:pPr>
        <w:keepNext w:val="0"/>
        <w:keepLines w:val="0"/>
        <w:widowControl w:val="0"/>
        <w:numPr>
          <w:ilvl w:val="0"/>
          <w:numId w:val="1006"/>
        </w:numPr>
      </w:pPr>
      <w:r>
        <w:t xml:space="preserve">Lógica discreta de seguridad del quemador.</w:t>
      </w:r>
    </w:p>
    <w:p>
      <w:pPr>
        <w:pStyle w:val="FirstParagraph"/>
      </w:pPr>
      <w:r>
        <w:t xml:space="preserve">La simulación de lazo cerrado incorpora saturación. No se agrega anti-windup en</w:t>
      </w:r>
      <w:r>
        <w:t xml:space="preserve"> </w:t>
      </w:r>
      <w:r>
        <w:t xml:space="preserve">esta etapa. Las demás no linealidades se documentan y sólo se agregan si</w:t>
      </w:r>
      <w:r>
        <w:t xml:space="preserve"> </w:t>
      </w:r>
      <w:r>
        <w:t xml:space="preserve">mejoran el análisis sin desviar el alcance.</w:t>
      </w:r>
    </w:p>
    <w:bookmarkEnd w:id="44"/>
    <w:bookmarkStart w:id="45" w:name="próximas-verificaciones"/>
    <w:p>
      <w:pPr>
        <w:pStyle w:val="Heading2"/>
      </w:pPr>
      <w:r>
        <w:t xml:space="preserve">12. Próximas verificaciones</w:t>
      </w:r>
    </w:p>
    <w:p>
      <w:pPr>
        <w:keepNext w:val="0"/>
        <w:keepLines w:val="0"/>
        <w:widowControl w:val="0"/>
        <w:numPr>
          <w:ilvl w:val="0"/>
          <w:numId w:val="1007"/>
        </w:numPr>
      </w:pPr>
      <w:r>
        <w:t xml:space="preserve">Incorporar figuras y métricas del PI al informe según la Guía TFI V5.</w:t>
      </w:r>
    </w:p>
    <w:p>
      <w:pPr>
        <w:keepNext w:val="0"/>
        <w:keepLines w:val="0"/>
        <w:widowControl w:val="0"/>
        <w:numPr>
          <w:ilvl w:val="0"/>
          <w:numId w:val="1007"/>
        </w:numPr>
      </w:pPr>
      <w:r>
        <w:t xml:space="preserve">Redactar conclusiones técnicas comparando planta abierta, P y PI.</w:t>
      </w:r>
    </w:p>
    <w:p>
      <w:pPr>
        <w:keepNext w:val="0"/>
        <w:keepLines w:val="0"/>
        <w:widowControl w:val="0"/>
        <w:numPr>
          <w:ilvl w:val="0"/>
          <w:numId w:val="1007"/>
        </w:numPr>
      </w:pPr>
      <w:r>
        <w:t xml:space="preserve">Revisar unidades, bibliografía y procedencia de todos los parámetros.</w:t>
      </w:r>
    </w:p>
    <w:bookmarkEnd w:id="45"/>
    <w:bookmarkStart w:id="46" w:name="fuentes-académicas-usadas-en-esta-etapa"/>
    <w:p>
      <w:pPr>
        <w:pStyle w:val="Heading2"/>
        <w:pageBreakBefore/>
      </w:pPr>
      <w:r>
        <w:t xml:space="preserve">13. Fuentes académicas usadas en esta etapa</w:t>
      </w:r>
    </w:p>
    <w:p>
      <w:pPr>
        <w:keepNext w:val="0"/>
        <w:keepLines w:val="0"/>
        <w:widowControl w:val="0"/>
        <w:numPr>
          <w:ilvl w:val="0"/>
          <w:numId w:val="1008"/>
        </w:numPr>
        <w:spacing w:after="60" w:line="240" w:lineRule="auto"/>
      </w:pPr>
      <w:r>
        <w:rPr>
          <w:rFonts w:ascii="Calibri" w:hAnsi="Calibri"/>
          <w:sz w:val="19"/>
        </w:rPr>
        <w:t xml:space="preserve">Guía de Elaboración del Trabajo Final Integrador de Sistemas de Control,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z w:val="19"/>
        </w:rPr>
        <w:t xml:space="preserve">versión 5.0, agosto de 2025.</w:t>
      </w:r>
    </w:p>
    <w:p>
      <w:pPr>
        <w:keepNext w:val="0"/>
        <w:keepLines w:val="0"/>
        <w:widowControl w:val="0"/>
        <w:numPr>
          <w:ilvl w:val="0"/>
          <w:numId w:val="1008"/>
        </w:numPr>
        <w:spacing w:after="60" w:line="240" w:lineRule="auto"/>
      </w:pPr>
      <w:r>
        <w:rPr>
          <w:rFonts w:ascii="Calibri" w:hAnsi="Calibri"/>
          <w:sz w:val="19"/>
        </w:rPr>
        <w:t xml:space="preserve">Agüero, Adrián.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i/>
          <w:iCs/>
          <w:sz w:val="19"/>
        </w:rPr>
        <w:t xml:space="preserve">Modelo matemático de sistema térmico</w:t>
      </w:r>
      <w:r>
        <w:rPr>
          <w:rFonts w:ascii="Calibri" w:hAnsi="Calibri"/>
          <w:sz w:val="19"/>
        </w:rPr>
        <w:t xml:space="preserve">. Material de Sistemas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z w:val="19"/>
        </w:rPr>
        <w:t xml:space="preserve">de Control I.</w:t>
      </w:r>
    </w:p>
    <w:p>
      <w:pPr>
        <w:keepNext w:val="0"/>
        <w:keepLines w:val="0"/>
        <w:widowControl w:val="0"/>
        <w:numPr>
          <w:ilvl w:val="0"/>
          <w:numId w:val="1008"/>
        </w:numPr>
        <w:spacing w:after="60" w:line="240" w:lineRule="auto"/>
      </w:pPr>
      <w:r>
        <w:rPr>
          <w:rFonts w:ascii="Calibri" w:hAnsi="Calibri"/>
          <w:sz w:val="19"/>
        </w:rPr>
        <w:t xml:space="preserve">Material de cátedra: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i/>
          <w:iCs/>
          <w:sz w:val="19"/>
        </w:rPr>
        <w:t xml:space="preserve">La función de transferencia de sistemas lineales</w:t>
      </w:r>
      <w:r>
        <w:rPr>
          <w:rFonts w:ascii="Calibri" w:hAnsi="Calibri"/>
          <w:sz w:val="19"/>
        </w:rPr>
        <w:t xml:space="preserve">.</w:t>
      </w:r>
    </w:p>
    <w:p>
      <w:pPr>
        <w:keepNext w:val="0"/>
        <w:keepLines w:val="0"/>
        <w:widowControl w:val="0"/>
        <w:numPr>
          <w:ilvl w:val="0"/>
          <w:numId w:val="1008"/>
        </w:numPr>
        <w:spacing w:after="60" w:line="240" w:lineRule="auto"/>
      </w:pPr>
      <w:r>
        <w:rPr>
          <w:rFonts w:ascii="Calibri" w:hAnsi="Calibri"/>
          <w:sz w:val="19"/>
        </w:rPr>
        <w:t xml:space="preserve">Material de cátedra: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i/>
          <w:iCs/>
          <w:sz w:val="19"/>
        </w:rPr>
        <w:t xml:space="preserve">Sistemas de segundo orden</w:t>
      </w:r>
      <w:r>
        <w:rPr>
          <w:rFonts w:ascii="Calibri" w:hAnsi="Calibri"/>
          <w:sz w:val="19"/>
        </w:rPr>
        <w:t xml:space="preserve">.</w:t>
      </w:r>
    </w:p>
    <w:p>
      <w:pPr>
        <w:keepNext w:val="0"/>
        <w:keepLines w:val="0"/>
        <w:widowControl w:val="0"/>
        <w:numPr>
          <w:ilvl w:val="0"/>
          <w:numId w:val="1008"/>
        </w:numPr>
        <w:spacing w:after="60" w:line="240" w:lineRule="auto"/>
      </w:pPr>
      <w:r>
        <w:rPr>
          <w:rFonts w:ascii="Calibri" w:hAnsi="Calibri"/>
          <w:sz w:val="19"/>
        </w:rPr>
        <w:t xml:space="preserve">Ortega, M. G.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i/>
          <w:iCs/>
          <w:sz w:val="19"/>
        </w:rPr>
        <w:t xml:space="preserve">Análisis de la respuesta transitoria</w:t>
      </w:r>
      <w:r>
        <w:rPr>
          <w:rFonts w:ascii="Calibri" w:hAnsi="Calibri"/>
          <w:sz w:val="19"/>
        </w:rPr>
        <w:t xml:space="preserve">.</w:t>
      </w:r>
    </w:p>
    <w:p>
      <w:pPr>
        <w:keepNext w:val="0"/>
        <w:keepLines w:val="0"/>
        <w:widowControl w:val="0"/>
        <w:numPr>
          <w:ilvl w:val="0"/>
          <w:numId w:val="1008"/>
        </w:numPr>
        <w:spacing w:after="60" w:line="240" w:lineRule="auto"/>
      </w:pPr>
      <w:r>
        <w:rPr>
          <w:rFonts w:ascii="Calibri" w:hAnsi="Calibri"/>
          <w:sz w:val="19"/>
        </w:rPr>
        <w:t xml:space="preserve">Material de cátedra sobre lugar de raíces y compensadores.</w:t>
      </w:r>
    </w:p>
    <w:bookmarkEnd w:id="46"/>
    <w:sectPr w:rsidR="00FC693F" w:rsidRPr="0006063C" w:rsidSect="00034616">
      <w:headerReference r:id="rId9" w:type="default"/>
      <w:footerReference r:id="rId10" w:type="default"/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5A626C"/>
        <w:sz w:val="18"/>
      </w:rPr>
      <w:t xml:space="preserve">Página </w:t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A626C"/>
        <w:sz w:val="18"/>
      </w:rPr>
      <w:t>Sistemas de Control I  |  TFI - Modelado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s-AR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64" w:lineRule="auto"/>
    </w:pPr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320" w:line="264" w:lineRule="auto"/>
      <w:outlineLvl w:val="0"/>
    </w:pPr>
    <w:rPr>
      <w:rFonts w:ascii="Calibri" w:asciiTheme="majorHAnsi" w:cstheme="majorBidi" w:eastAsiaTheme="majorEastAsia" w:hAnsi="Calibri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264" w:lineRule="auto"/>
      <w:outlineLvl w:val="1"/>
    </w:pPr>
    <w:rPr>
      <w:rFonts w:ascii="Calibri" w:asciiTheme="majorHAnsi" w:cstheme="majorBidi" w:eastAsiaTheme="majorEastAsia" w:hAnsi="Calibri" w:hAnsiTheme="majorHAnsi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 w:line="264" w:lineRule="auto"/>
      <w:outlineLvl w:val="2"/>
    </w:pPr>
    <w:rPr>
      <w:rFonts w:ascii="Calibri" w:asciiTheme="majorHAnsi" w:cstheme="majorBidi" w:eastAsiaTheme="majorEastAsia" w:hAnsi="Calibri" w:hAnsiTheme="majorHAnsi"/>
      <w:b/>
      <w:bCs/>
      <w:color w:val="1F4D7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00" w:before="0" w:line="240" w:lineRule="auto"/>
      <w:contextualSpacing/>
    </w:pPr>
    <w:rPr>
      <w:rFonts w:ascii="Calibri" w:asciiTheme="majorHAnsi" w:cstheme="majorBidi" w:eastAsiaTheme="majorEastAsia" w:hAnsi="Calibri" w:hAnsiTheme="majorHAnsi"/>
      <w:b/>
      <w:color w:val="0B2545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00" w:before="0" w:line="252" w:lineRule="auto"/>
    </w:pPr>
    <w:rPr>
      <w:rFonts w:ascii="Calibri" w:asciiTheme="majorHAnsi" w:cstheme="majorBidi" w:eastAsiaTheme="majorEastAsia" w:hAnsi="Calibri" w:hAnsiTheme="majorHAnsi"/>
      <w:b w:val="0"/>
      <w:i/>
      <w:iCs/>
      <w:color w:val="1F4D78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Cuaderno de modelado matemático</dc:title>
  <dc:creator>Valentín Felizia</dc:creator>
  <dc:language>es-AR</dc:language>
  <cp:keywords>control, horno, cataforesis, Octave</cp:keywords>
  <dcterms:created xsi:type="dcterms:W3CDTF">2026-08-04T21:36:54Z</dcterms:created>
  <dcterms:modified xsi:type="dcterms:W3CDTF">2026-08-04T21:36:54Z</dcterms:modified>
  <dc:subject>TFI de Sistemas de Control I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Modelo nominal y PI | Cursado 2025 | Revisión 3 de agosto de 2026</vt:lpwstr>
  </property>
  <property fmtid="{D5CDD505-2E9C-101B-9397-08002B2CF9AE}" pid="3" name="subtitle">
    <vt:lpwstr>Control de temperatura de una zona equivalente de un horno de cataforesis</vt:lpwstr>
  </property>
</Properties>
</file>