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64"/>
          <w:szCs w:val="64"/>
        </w:rPr>
      </w:pPr>
      <w:r w:rsidDel="00000000" w:rsidR="00000000" w:rsidRPr="00000000">
        <w:rPr>
          <w:rFonts w:ascii="Comfortaa" w:cs="Comfortaa" w:eastAsia="Comfortaa" w:hAnsi="Comfortaa"/>
          <w:b w:val="1"/>
          <w:sz w:val="64"/>
          <w:szCs w:val="64"/>
          <w:rtl w:val="0"/>
        </w:rPr>
        <w:t xml:space="preserve">Manual de usuario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64"/>
          <w:szCs w:val="64"/>
        </w:rPr>
      </w:pPr>
      <w:r w:rsidDel="00000000" w:rsidR="00000000" w:rsidRPr="00000000">
        <w:rPr>
          <w:rFonts w:ascii="Comfortaa" w:cs="Comfortaa" w:eastAsia="Comfortaa" w:hAnsi="Comfortaa"/>
          <w:sz w:val="64"/>
          <w:szCs w:val="64"/>
          <w:rtl w:val="0"/>
        </w:rPr>
        <w:t xml:space="preserve">Proyecto Hawkeye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5996" l="0" r="0" t="2300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Índice: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general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 </w:t>
        <w:br w:type="textWrapping"/>
        <w:t xml:space="preserve">a. preparación y chequeos previos</w:t>
        <w:br w:type="textWrapping"/>
        <w:t xml:space="preserve">b. Encendido</w:t>
        <w:br w:type="textWrapping"/>
        <w:t xml:space="preserve">c. Operación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celular </w:t>
        <w:br w:type="textWrapping"/>
        <w:t xml:space="preserve">a. Instalación</w:t>
        <w:br w:type="textWrapping"/>
        <w:t xml:space="preserve">b. Funcionamiento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</w:t>
        <w:br w:type="textWrapping"/>
        <w:t xml:space="preserve">a. Batería</w:t>
        <w:br w:type="textWrapping"/>
        <w:t xml:space="preserve">b. Uso del cargador </w:t>
        <w:br w:type="textWrapping"/>
        <w:t xml:space="preserve">c. Estructura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Precauciones </w:t>
        <w:br w:type="textWrapping"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3. 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Mantenimiento </w:t>
        <w:br w:type="textWrapping"/>
        <w:br w:type="textWrapping"/>
        <w:tab/>
        <w:t xml:space="preserve">a.  batería: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ab/>
        <w:t xml:space="preserve">Cada vez que se termina de utilizar el dron se deberán de realizar los siguientes pasos según el caso: 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4295775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5.  Precauciones  </w:t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volar el dron con mal clima, principalmente evitar vientos fuertes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volar el dron si la batería tiene menos de 85% de carga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a mano repuestos de la estructura (principalmente las helices) para poder reemplazar las partes dañadas rapidamente en caso de que haya un accidente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al menos 5 metros de distancia entre el dron y las personas para evitar accidentes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vuelos innecesarios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tornillos y tuercas de repuesto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especial cuidado con las partes impresas en 3D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