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4D25" w14:textId="77777777" w:rsidR="002C5F5D" w:rsidRDefault="00000000">
      <w:pPr>
        <w:spacing w:after="160"/>
      </w:pPr>
      <w:r>
        <w:rPr>
          <w:b/>
          <w:bCs/>
          <w:sz w:val="24"/>
          <w:szCs w:val="24"/>
        </w:rPr>
        <w:t>ATIVIDADE 3:</w:t>
      </w:r>
    </w:p>
    <w:p w14:paraId="14AA797B" w14:textId="77777777" w:rsidR="002C5F5D" w:rsidRDefault="00000000">
      <w:pPr>
        <w:spacing w:after="200"/>
      </w:pPr>
      <w:r>
        <w:rPr>
          <w:b/>
          <w:bCs/>
          <w:sz w:val="24"/>
          <w:szCs w:val="24"/>
        </w:rPr>
        <w:t>Integra Cloud – Integra Tecnologia (Londrina, PR)</w:t>
      </w:r>
    </w:p>
    <w:p w14:paraId="6B0332E1" w14:textId="77777777" w:rsidR="002C5F5D" w:rsidRDefault="00000000">
      <w:pPr>
        <w:spacing w:before="200" w:after="80"/>
      </w:pPr>
      <w:r>
        <w:rPr>
          <w:b/>
          <w:bCs/>
        </w:rPr>
        <w:t>Descrição do Produto</w:t>
      </w:r>
    </w:p>
    <w:p w14:paraId="74C3E1B7" w14:textId="77777777" w:rsidR="002C5F5D" w:rsidRDefault="00000000">
      <w:pPr>
        <w:spacing w:after="120"/>
      </w:pPr>
      <w:r>
        <w:t>A Integra Tecnologia é uma empresa de segurança eletrônica de Londrina (PR) com mais de 28 anos de mercado. Seu principal produto digital é o Integra Cloud, um aplicativo mobile e plataforma web de monitoramento colaborativo em nuvem, disponível para Android, iOS e navegadores. O app permite visualizar câmeras de segurança em tempo real, acessar gravações armazenadas com criptografia de ponta a ponta e acionar um alerta de pânico coletivo que notifica simultaneamente todos os usuários conectados na mesma região.</w:t>
      </w:r>
    </w:p>
    <w:p w14:paraId="19B70C9D" w14:textId="77777777" w:rsidR="002C5F5D" w:rsidRDefault="00000000">
      <w:pPr>
        <w:spacing w:after="120"/>
      </w:pPr>
      <w:r>
        <w:t>Principais funcionalidades:</w:t>
      </w:r>
    </w:p>
    <w:p w14:paraId="1E6BA280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Acesso remoto a câmeras ao vivo e gravadas de qualquer lugar.</w:t>
      </w:r>
    </w:p>
    <w:p w14:paraId="2245DC92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Armazenamento em nuvem com criptografia de ponta a ponta.</w:t>
      </w:r>
    </w:p>
    <w:p w14:paraId="6D2B9F3C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Alerta de pânico coletivo para rede de usuários da região.</w:t>
      </w:r>
    </w:p>
    <w:p w14:paraId="3D88A49A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Controle centralizado de múltiplas câmeras em uma única tela.</w:t>
      </w:r>
    </w:p>
    <w:p w14:paraId="3E1F7FB0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Interface responsiva para smartphone, tablet e computador.</w:t>
      </w:r>
    </w:p>
    <w:p w14:paraId="59725150" w14:textId="77777777" w:rsidR="002C5F5D" w:rsidRDefault="002C5F5D">
      <w:pPr>
        <w:spacing w:after="80"/>
      </w:pPr>
    </w:p>
    <w:p w14:paraId="11A643C1" w14:textId="77777777" w:rsidR="002C5F5D" w:rsidRDefault="00000000">
      <w:pPr>
        <w:spacing w:after="120"/>
      </w:pPr>
      <w:r>
        <w:t>Linhas de produto disponíveis:</w:t>
      </w:r>
    </w:p>
    <w:p w14:paraId="328206D9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Instala Fácil – autoinstalação sem necessidade de técnico.</w:t>
      </w:r>
    </w:p>
    <w:p w14:paraId="414D9477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Integra Compartilhado – armazenamento em nuvem para usuário final.</w:t>
      </w:r>
    </w:p>
    <w:p w14:paraId="584566B5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Integra Farm – solução para o agronegócio, com operação offline e sem dependência de rede elétrica.</w:t>
      </w:r>
    </w:p>
    <w:p w14:paraId="7982008C" w14:textId="77777777" w:rsidR="002C5F5D" w:rsidRDefault="00000000">
      <w:pPr>
        <w:spacing w:before="200" w:after="80"/>
      </w:pPr>
      <w:r>
        <w:rPr>
          <w:b/>
          <w:bCs/>
        </w:rPr>
        <w:t>Pontos Fortes de Design Emocional</w:t>
      </w:r>
    </w:p>
    <w:p w14:paraId="0B5BF00D" w14:textId="77777777" w:rsidR="002C5F5D" w:rsidRDefault="00000000">
      <w:pPr>
        <w:spacing w:before="120" w:after="60"/>
      </w:pPr>
      <w:r>
        <w:rPr>
          <w:b/>
          <w:bCs/>
        </w:rPr>
        <w:t>Visceral:</w:t>
      </w:r>
    </w:p>
    <w:p w14:paraId="6114D97E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Slogan "Protegendo o que é mais importante para você" ativa emoções ligadas à segurança familiar.</w:t>
      </w:r>
    </w:p>
    <w:p w14:paraId="77E8AE81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Identidade visual em tons de azul escuro transmite autoridade, confiança e profissionalismo.</w:t>
      </w:r>
    </w:p>
    <w:p w14:paraId="347B951B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Linguagem visual alinhada ao contexto de segurança e proteção patrimonial.</w:t>
      </w:r>
    </w:p>
    <w:p w14:paraId="04140B99" w14:textId="77777777" w:rsidR="002C5F5D" w:rsidRDefault="00000000">
      <w:pPr>
        <w:spacing w:before="120" w:after="60"/>
      </w:pPr>
      <w:r>
        <w:rPr>
          <w:b/>
          <w:bCs/>
        </w:rPr>
        <w:t>Comportamental:</w:t>
      </w:r>
    </w:p>
    <w:p w14:paraId="100D9772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Interface projetada para ser simples e acessível mesmo para usuários sem experiência técnica.</w:t>
      </w:r>
    </w:p>
    <w:p w14:paraId="74779FFE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Centralização de todas as câmeras em uma única plataforma reduz a carga cognitiva e gera sensação de controle.</w:t>
      </w:r>
    </w:p>
    <w:p w14:paraId="2C41BA3A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Configuração e uso iniciam em poucos minutos, criando uma experiência de uso fluida e eficiente.</w:t>
      </w:r>
    </w:p>
    <w:p w14:paraId="70920CB9" w14:textId="77777777" w:rsidR="002C5F5D" w:rsidRDefault="00000000">
      <w:pPr>
        <w:spacing w:before="120" w:after="60"/>
      </w:pPr>
      <w:r>
        <w:rPr>
          <w:b/>
          <w:bCs/>
        </w:rPr>
        <w:t>Reflexivo:</w:t>
      </w:r>
    </w:p>
    <w:p w14:paraId="2DFF0441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O alerta de pânico coletivo posiciona o usuário como parte ativa de uma rede de proteção mútua, gerando senso de comunidade.</w:t>
      </w:r>
    </w:p>
    <w:p w14:paraId="2B52EC95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 credibilidade histórica da empresa (28 anos, +1.000 clientes, +3.000 usuários) reforça o vínculo emocional de confiança.</w:t>
      </w:r>
    </w:p>
    <w:p w14:paraId="274AE819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Reforça a identidade do usuário como alguém que cuida ativamente da segurança de sua família e patrimônio.</w:t>
      </w:r>
    </w:p>
    <w:p w14:paraId="7FB6C3FF" w14:textId="77777777" w:rsidR="002C5F5D" w:rsidRDefault="00000000">
      <w:pPr>
        <w:spacing w:before="120" w:after="60"/>
      </w:pPr>
      <w:r>
        <w:rPr>
          <w:b/>
          <w:bCs/>
        </w:rPr>
        <w:t>Emoções Provocadas:</w:t>
      </w:r>
    </w:p>
    <w:p w14:paraId="218A0154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Segurança.</w:t>
      </w:r>
    </w:p>
    <w:p w14:paraId="4661B860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Tranquilidade.</w:t>
      </w:r>
    </w:p>
    <w:p w14:paraId="2DEB11F1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Pertencimento.</w:t>
      </w:r>
    </w:p>
    <w:p w14:paraId="2E1C26F0" w14:textId="77777777" w:rsidR="002C5F5D" w:rsidRDefault="00000000">
      <w:pPr>
        <w:spacing w:before="200" w:after="80"/>
      </w:pPr>
      <w:r>
        <w:rPr>
          <w:b/>
          <w:bCs/>
        </w:rPr>
        <w:t>Oportunidades de Melhoria com Tendências de UX</w:t>
      </w:r>
    </w:p>
    <w:p w14:paraId="090E9D9B" w14:textId="77777777" w:rsidR="002C5F5D" w:rsidRDefault="00000000">
      <w:pPr>
        <w:spacing w:before="120" w:after="60"/>
      </w:pPr>
      <w:r>
        <w:rPr>
          <w:b/>
          <w:bCs/>
        </w:rPr>
        <w:t>Inteligência Artificial (IA):</w:t>
      </w:r>
    </w:p>
    <w:p w14:paraId="10C103AD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Incorporar detecção automática de pessoas, veículos e comportamentos suspeitos nas câmeras por visão computacional.</w:t>
      </w:r>
    </w:p>
    <w:p w14:paraId="57B6B872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Alertas contextualizados (ex: "pessoa detectada na entrada às 23h") substituiriam notificações genéricas, reduzindo a fadiga de alertas.</w:t>
      </w:r>
    </w:p>
    <w:p w14:paraId="17CEDAE3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Segundo o Nielsen Norman Group (2023), a IA bem aplicada ao UX deve aumentar a confiança do usuário e não gerar ansiedade com falsos positivos.</w:t>
      </w:r>
    </w:p>
    <w:p w14:paraId="75AFF866" w14:textId="77777777" w:rsidR="002C5F5D" w:rsidRDefault="00000000">
      <w:pPr>
        <w:spacing w:before="120" w:after="60"/>
      </w:pPr>
      <w:r>
        <w:rPr>
          <w:b/>
          <w:bCs/>
        </w:rPr>
        <w:t>Realidade Aumentada (AR):</w:t>
      </w:r>
    </w:p>
    <w:p w14:paraId="7AD95B42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Na solução Instala Fácil, guias em AR poderiam indicar via câmera do smartphone o ângulo e posicionamento ideais para cada câmera.</w:t>
      </w:r>
    </w:p>
    <w:p w14:paraId="7F8EFD11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Reduziria erros de instalação, diminuiria chamados ao suporte técnico e melhoraria significativamente o onboarding do produto.</w:t>
      </w:r>
    </w:p>
    <w:p w14:paraId="2B8F6C63" w14:textId="77777777" w:rsidR="002C5F5D" w:rsidRDefault="00000000">
      <w:pPr>
        <w:spacing w:before="120" w:after="60"/>
      </w:pPr>
      <w:r>
        <w:rPr>
          <w:b/>
          <w:bCs/>
        </w:rPr>
        <w:t>UX Adaptativa e Personalização:</w:t>
      </w:r>
    </w:p>
    <w:p w14:paraId="383DEB81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O app poderia reorganizar câmeras prioritárias automaticamente com base no histórico de acesso do usuário.</w:t>
      </w:r>
    </w:p>
    <w:p w14:paraId="3A809007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Ajuste automático da granularidade de alertas conforme o perfil de uso (residencial, empresarial ou rural).</w:t>
      </w:r>
    </w:p>
    <w:p w14:paraId="7122200D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O Nielsen Norman Group aponta a personalização adaptativa como tendência central para 2024–2025 em aplicativos de monitoramento.</w:t>
      </w:r>
    </w:p>
    <w:p w14:paraId="453485D0" w14:textId="77777777" w:rsidR="002C5F5D" w:rsidRDefault="00000000">
      <w:pPr>
        <w:spacing w:before="120" w:after="60"/>
      </w:pPr>
      <w:r>
        <w:rPr>
          <w:b/>
          <w:bCs/>
        </w:rPr>
        <w:t>Integração com Assistentes de Voz e IoT:</w:t>
      </w:r>
    </w:p>
    <w:p w14:paraId="0AFE5668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Compatibilidade com Google Assistant e Amazon Alexa para comandos de voz como "Mostrar câmera da garagem".</w:t>
      </w:r>
    </w:p>
    <w:p w14:paraId="5A457F17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Especialmente relevante para o Integra Farm e para usuários com smart home, onde as mãos estão frequentemente ocupadas.</w:t>
      </w:r>
    </w:p>
    <w:p w14:paraId="37296EBF" w14:textId="77777777" w:rsidR="002C5F5D" w:rsidRDefault="00000000">
      <w:pPr>
        <w:spacing w:before="120" w:after="60"/>
      </w:pPr>
      <w:r>
        <w:rPr>
          <w:b/>
          <w:bCs/>
        </w:rPr>
        <w:t>Calm Technology e Painel de Analytics:</w:t>
      </w:r>
    </w:p>
    <w:p w14:paraId="4B8A639D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Um painel com métricas da região (frequência de alertas, horários de maior movimento) empoderia o usuário com informação contextual.</w:t>
      </w:r>
    </w:p>
    <w:p w14:paraId="171C49CA" w14:textId="77777777" w:rsidR="002C5F5D" w:rsidRDefault="00000000">
      <w:pPr>
        <w:pStyle w:val="ListParagraph"/>
        <w:numPr>
          <w:ilvl w:val="0"/>
          <w:numId w:val="2"/>
        </w:numPr>
        <w:spacing w:after="60"/>
      </w:pPr>
      <w:r>
        <w:t>Aplicaria o princípio de calm technology (Weiser &amp; Brown, 1996): informar sem interromper desnecessariamente.</w:t>
      </w:r>
    </w:p>
    <w:p w14:paraId="3347965C" w14:textId="77777777" w:rsidR="002C5F5D" w:rsidRDefault="00000000">
      <w:pPr>
        <w:spacing w:before="200" w:after="80"/>
      </w:pPr>
      <w:r>
        <w:rPr>
          <w:b/>
          <w:bCs/>
        </w:rPr>
        <w:t>Referências Bibliográficas</w:t>
      </w:r>
    </w:p>
    <w:p w14:paraId="5C60284E" w14:textId="77777777" w:rsidR="002C5F5D" w:rsidRDefault="00000000">
      <w:pPr>
        <w:spacing w:after="80"/>
        <w:ind w:left="720" w:hanging="720"/>
      </w:pPr>
      <w:r>
        <w:rPr>
          <w:sz w:val="20"/>
          <w:szCs w:val="20"/>
        </w:rPr>
        <w:t>INTEGRA TECNOLOGIA. Site institucional. Londrina, 2025. Disponível em: https://integratecnologia.com.br. Acesso em: jun. 2025.</w:t>
      </w:r>
    </w:p>
    <w:p w14:paraId="6FF70CDA" w14:textId="77777777" w:rsidR="002C5F5D" w:rsidRPr="004274BF" w:rsidRDefault="00000000">
      <w:pPr>
        <w:spacing w:after="80"/>
        <w:ind w:left="720" w:hanging="720"/>
        <w:rPr>
          <w:lang w:val="en-US"/>
        </w:rPr>
      </w:pPr>
      <w:r w:rsidRPr="004274BF">
        <w:rPr>
          <w:sz w:val="20"/>
          <w:szCs w:val="20"/>
          <w:lang w:val="en-US"/>
        </w:rPr>
        <w:t xml:space="preserve">NIELSEN NORMAN GROUP. Emotional Design. </w:t>
      </w:r>
      <w:r>
        <w:rPr>
          <w:sz w:val="20"/>
          <w:szCs w:val="20"/>
        </w:rPr>
        <w:t xml:space="preserve">Disponível em: https://www.nngroup.com/articles/emotional-design/. </w:t>
      </w:r>
      <w:r w:rsidRPr="004274BF">
        <w:rPr>
          <w:sz w:val="20"/>
          <w:szCs w:val="20"/>
          <w:lang w:val="en-US"/>
        </w:rPr>
        <w:t>Acesso em: jun. 2025.</w:t>
      </w:r>
    </w:p>
    <w:p w14:paraId="73B50333" w14:textId="77777777" w:rsidR="002C5F5D" w:rsidRPr="004274BF" w:rsidRDefault="00000000">
      <w:pPr>
        <w:spacing w:after="80"/>
        <w:ind w:left="720" w:hanging="720"/>
        <w:rPr>
          <w:lang w:val="en-US"/>
        </w:rPr>
      </w:pPr>
      <w:r w:rsidRPr="004274BF">
        <w:rPr>
          <w:sz w:val="20"/>
          <w:szCs w:val="20"/>
          <w:lang w:val="en-US"/>
        </w:rPr>
        <w:t xml:space="preserve">NIELSEN NORMAN GROUP. AI in UX: Design Principles and Patterns. </w:t>
      </w:r>
      <w:r>
        <w:rPr>
          <w:sz w:val="20"/>
          <w:szCs w:val="20"/>
        </w:rPr>
        <w:t xml:space="preserve">2023. Disponível em: https://www.nngroup.com/articles/ai-ux/. </w:t>
      </w:r>
      <w:r w:rsidRPr="004274BF">
        <w:rPr>
          <w:sz w:val="20"/>
          <w:szCs w:val="20"/>
          <w:lang w:val="en-US"/>
        </w:rPr>
        <w:t>Acesso em: jun. 2025.</w:t>
      </w:r>
    </w:p>
    <w:p w14:paraId="0248AD0C" w14:textId="77777777" w:rsidR="002C5F5D" w:rsidRPr="004274BF" w:rsidRDefault="00000000">
      <w:pPr>
        <w:spacing w:after="80"/>
        <w:ind w:left="720" w:hanging="720"/>
        <w:rPr>
          <w:lang w:val="en-US"/>
        </w:rPr>
      </w:pPr>
      <w:r w:rsidRPr="004274BF">
        <w:rPr>
          <w:sz w:val="20"/>
          <w:szCs w:val="20"/>
          <w:lang w:val="en-US"/>
        </w:rPr>
        <w:lastRenderedPageBreak/>
        <w:t xml:space="preserve">NIELSEN NORMAN GROUP. Augmented Reality: AR UX Design Guidelines. </w:t>
      </w:r>
      <w:r>
        <w:rPr>
          <w:sz w:val="20"/>
          <w:szCs w:val="20"/>
        </w:rPr>
        <w:t xml:space="preserve">2022. Disponível em: https://www.nngroup.com/articles/augmented-reality-ux/. </w:t>
      </w:r>
      <w:r w:rsidRPr="004274BF">
        <w:rPr>
          <w:sz w:val="20"/>
          <w:szCs w:val="20"/>
          <w:lang w:val="en-US"/>
        </w:rPr>
        <w:t>Acesso em: jun. 2025.</w:t>
      </w:r>
    </w:p>
    <w:p w14:paraId="39236007" w14:textId="77777777" w:rsidR="002C5F5D" w:rsidRDefault="00000000">
      <w:pPr>
        <w:spacing w:after="80"/>
        <w:ind w:left="720" w:hanging="720"/>
      </w:pPr>
      <w:r w:rsidRPr="004274BF">
        <w:rPr>
          <w:sz w:val="20"/>
          <w:szCs w:val="20"/>
          <w:lang w:val="en-US"/>
        </w:rPr>
        <w:t xml:space="preserve">NIELSEN NORMAN GROUP. Onboarding Experience: First Use of an App. 2020. </w:t>
      </w:r>
      <w:r>
        <w:rPr>
          <w:sz w:val="20"/>
          <w:szCs w:val="20"/>
        </w:rPr>
        <w:t>Disponível em: https://www.nngroup.com/articles/onboarding/. Acesso em: jun. 2025.</w:t>
      </w:r>
    </w:p>
    <w:p w14:paraId="1D27CF01" w14:textId="77777777" w:rsidR="002C5F5D" w:rsidRPr="004274BF" w:rsidRDefault="00000000">
      <w:pPr>
        <w:spacing w:after="80"/>
        <w:ind w:left="720" w:hanging="720"/>
        <w:rPr>
          <w:lang w:val="en-US"/>
        </w:rPr>
      </w:pPr>
      <w:r w:rsidRPr="004274BF">
        <w:rPr>
          <w:sz w:val="20"/>
          <w:szCs w:val="20"/>
          <w:lang w:val="en-US"/>
        </w:rPr>
        <w:t>NORMAN, D. A. Emotional Design: Why We Love (or Hate) Everyday Things. New York: Basic Books, 2004.</w:t>
      </w:r>
    </w:p>
    <w:p w14:paraId="1B3D1768" w14:textId="77777777" w:rsidR="002C5F5D" w:rsidRPr="004274BF" w:rsidRDefault="00000000">
      <w:pPr>
        <w:spacing w:after="80"/>
        <w:ind w:left="720" w:hanging="720"/>
        <w:rPr>
          <w:lang w:val="en-US"/>
        </w:rPr>
      </w:pPr>
      <w:r w:rsidRPr="004274BF">
        <w:rPr>
          <w:sz w:val="20"/>
          <w:szCs w:val="20"/>
          <w:lang w:val="en-US"/>
        </w:rPr>
        <w:t>WEISER, M.; BROWN, J. S. Designing Calm Technology. PowerGrid Journal, v. 1, n. 1, 1996.</w:t>
      </w:r>
    </w:p>
    <w:p w14:paraId="11B7B38C" w14:textId="77777777" w:rsidR="002C5F5D" w:rsidRDefault="00000000">
      <w:pPr>
        <w:spacing w:after="80"/>
        <w:ind w:left="720" w:hanging="720"/>
      </w:pPr>
      <w:r w:rsidRPr="004274BF">
        <w:rPr>
          <w:sz w:val="20"/>
          <w:szCs w:val="20"/>
          <w:lang w:val="en-US"/>
        </w:rPr>
        <w:t xml:space="preserve">ISO 9241-210:2019. Ergonomics of human-system interaction – Part 210: Human-centred design for interactive systems. </w:t>
      </w:r>
      <w:r>
        <w:rPr>
          <w:sz w:val="20"/>
          <w:szCs w:val="20"/>
        </w:rPr>
        <w:t>Geneva: ISO, 2019.</w:t>
      </w:r>
    </w:p>
    <w:sectPr w:rsidR="002C5F5D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C4D"/>
    <w:multiLevelType w:val="hybridMultilevel"/>
    <w:tmpl w:val="83BAD7A8"/>
    <w:lvl w:ilvl="0" w:tplc="EAEAC4F6">
      <w:start w:val="1"/>
      <w:numFmt w:val="bullet"/>
      <w:lvlText w:val="-"/>
      <w:lvlJc w:val="left"/>
      <w:pPr>
        <w:ind w:left="480" w:hanging="240"/>
      </w:pPr>
    </w:lvl>
    <w:lvl w:ilvl="1" w:tplc="996AFF60">
      <w:numFmt w:val="decimal"/>
      <w:lvlText w:val=""/>
      <w:lvlJc w:val="left"/>
    </w:lvl>
    <w:lvl w:ilvl="2" w:tplc="C6B8F820">
      <w:numFmt w:val="decimal"/>
      <w:lvlText w:val=""/>
      <w:lvlJc w:val="left"/>
    </w:lvl>
    <w:lvl w:ilvl="3" w:tplc="AF028ADE">
      <w:numFmt w:val="decimal"/>
      <w:lvlText w:val=""/>
      <w:lvlJc w:val="left"/>
    </w:lvl>
    <w:lvl w:ilvl="4" w:tplc="129EACD4">
      <w:numFmt w:val="decimal"/>
      <w:lvlText w:val=""/>
      <w:lvlJc w:val="left"/>
    </w:lvl>
    <w:lvl w:ilvl="5" w:tplc="AE7EA9DC">
      <w:numFmt w:val="decimal"/>
      <w:lvlText w:val=""/>
      <w:lvlJc w:val="left"/>
    </w:lvl>
    <w:lvl w:ilvl="6" w:tplc="E4A07042">
      <w:numFmt w:val="decimal"/>
      <w:lvlText w:val=""/>
      <w:lvlJc w:val="left"/>
    </w:lvl>
    <w:lvl w:ilvl="7" w:tplc="2CC60A80">
      <w:numFmt w:val="decimal"/>
      <w:lvlText w:val=""/>
      <w:lvlJc w:val="left"/>
    </w:lvl>
    <w:lvl w:ilvl="8" w:tplc="48DA6026">
      <w:numFmt w:val="decimal"/>
      <w:lvlText w:val=""/>
      <w:lvlJc w:val="left"/>
    </w:lvl>
  </w:abstractNum>
  <w:abstractNum w:abstractNumId="1" w15:restartNumberingAfterBreak="0">
    <w:nsid w:val="50633CE9"/>
    <w:multiLevelType w:val="hybridMultilevel"/>
    <w:tmpl w:val="FB7EA286"/>
    <w:lvl w:ilvl="0" w:tplc="8E6ADB8C">
      <w:start w:val="1"/>
      <w:numFmt w:val="bullet"/>
      <w:lvlText w:val="●"/>
      <w:lvlJc w:val="left"/>
      <w:pPr>
        <w:ind w:left="720" w:hanging="360"/>
      </w:pPr>
    </w:lvl>
    <w:lvl w:ilvl="1" w:tplc="067C0A82">
      <w:start w:val="1"/>
      <w:numFmt w:val="bullet"/>
      <w:lvlText w:val="○"/>
      <w:lvlJc w:val="left"/>
      <w:pPr>
        <w:ind w:left="1440" w:hanging="360"/>
      </w:pPr>
    </w:lvl>
    <w:lvl w:ilvl="2" w:tplc="995CC488">
      <w:start w:val="1"/>
      <w:numFmt w:val="bullet"/>
      <w:lvlText w:val="■"/>
      <w:lvlJc w:val="left"/>
      <w:pPr>
        <w:ind w:left="2160" w:hanging="360"/>
      </w:pPr>
    </w:lvl>
    <w:lvl w:ilvl="3" w:tplc="25B2A8C8">
      <w:start w:val="1"/>
      <w:numFmt w:val="bullet"/>
      <w:lvlText w:val="●"/>
      <w:lvlJc w:val="left"/>
      <w:pPr>
        <w:ind w:left="2880" w:hanging="360"/>
      </w:pPr>
    </w:lvl>
    <w:lvl w:ilvl="4" w:tplc="AE7668C2">
      <w:start w:val="1"/>
      <w:numFmt w:val="bullet"/>
      <w:lvlText w:val="○"/>
      <w:lvlJc w:val="left"/>
      <w:pPr>
        <w:ind w:left="3600" w:hanging="360"/>
      </w:pPr>
    </w:lvl>
    <w:lvl w:ilvl="5" w:tplc="436AB17E">
      <w:start w:val="1"/>
      <w:numFmt w:val="bullet"/>
      <w:lvlText w:val="■"/>
      <w:lvlJc w:val="left"/>
      <w:pPr>
        <w:ind w:left="4320" w:hanging="360"/>
      </w:pPr>
    </w:lvl>
    <w:lvl w:ilvl="6" w:tplc="CAD839BC">
      <w:start w:val="1"/>
      <w:numFmt w:val="bullet"/>
      <w:lvlText w:val="●"/>
      <w:lvlJc w:val="left"/>
      <w:pPr>
        <w:ind w:left="5040" w:hanging="360"/>
      </w:pPr>
    </w:lvl>
    <w:lvl w:ilvl="7" w:tplc="36EED688">
      <w:start w:val="1"/>
      <w:numFmt w:val="bullet"/>
      <w:lvlText w:val="●"/>
      <w:lvlJc w:val="left"/>
      <w:pPr>
        <w:ind w:left="5760" w:hanging="360"/>
      </w:pPr>
    </w:lvl>
    <w:lvl w:ilvl="8" w:tplc="B6B00800">
      <w:start w:val="1"/>
      <w:numFmt w:val="bullet"/>
      <w:lvlText w:val="●"/>
      <w:lvlJc w:val="left"/>
      <w:pPr>
        <w:ind w:left="6480" w:hanging="360"/>
      </w:pPr>
    </w:lvl>
  </w:abstractNum>
  <w:num w:numId="1" w16cid:durableId="1817337885">
    <w:abstractNumId w:val="1"/>
    <w:lvlOverride w:ilvl="0">
      <w:startOverride w:val="1"/>
    </w:lvlOverride>
  </w:num>
  <w:num w:numId="2" w16cid:durableId="1603297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F5D"/>
    <w:rsid w:val="002C5F5D"/>
    <w:rsid w:val="004274BF"/>
    <w:rsid w:val="00A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95DC"/>
  <w15:docId w15:val="{9F6CFD66-B27A-4F5B-AEDE-8EA5598B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Valença Marcilio</cp:lastModifiedBy>
  <cp:revision>2</cp:revision>
  <dcterms:created xsi:type="dcterms:W3CDTF">2026-06-10T01:46:00Z</dcterms:created>
  <dcterms:modified xsi:type="dcterms:W3CDTF">2026-06-10T01:46:00Z</dcterms:modified>
</cp:coreProperties>
</file>