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ANER Annotation Guidelines</w:t>
      </w:r>
    </w:p>
    <w:p>
      <w:pPr>
        <w:pStyle w:val="Subtitle"/>
      </w:pPr>
      <w:r>
        <w:t>Spanish public procurement texts | Version 2.1</w:t>
      </w:r>
    </w:p>
    <w:p>
      <w:r>
        <w:t>Annotate every occurrence consistently using one label per span. Preserve retained source text. Use context to identify the referent; capitalization alone does not determine a label.</w:t>
      </w:r>
    </w:p>
    <w:p>
      <w:pPr>
        <w:pStyle w:val="Heading1"/>
      </w:pPr>
      <w:r>
        <w:t>Entity labels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5976"/>
        <w:gridCol w:w="3312"/>
      </w:tblGrid>
      <w:tr>
        <w:trPr>
          <w:cantSplit/>
          <w:tblHeader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fill="E9EDF0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Label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fill="E9EDF0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Include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fill="E9EDF0"/>
          </w:tcPr>
          <w:p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Examples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ORG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Named organizations, public bodies, companies and institutional platforms or registries. Award context may identify a company.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Tragsa; ROLECE; PLACSP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PER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Names of people. Exclude job titles and generic roles.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María García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LOC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Named geographical areas, physical facilities and infrastructure. Include the facility type when part of its name.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Palma del Río; EBAR “HOMBRE DEL MAR”; ERRP TORREVIEJA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DATE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Calendar dates and standalone calendar years. Exclude durations and clock times.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29 de octubre de 2024; 2027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LAW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Identifiable legislation, including attached article references. Recognizable standalone law acronyms qualify.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artículo 159.6.b) de la LCSP; Ley 7/1985; LCSP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EMAIL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Complete email addresses, excluding surrounding punctuation.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licitacionE@hacienda.gob.es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SCHEDULE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Clock times, time windows and recurring opening or support hours.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12:00h; lunes a jueves de 9:00 a 19:00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EVENT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Names or explicit designations of particular events or episodes, including disasters and pandemics. Exclude generic event types.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DANA (a particular episode); pandemia de COVID-19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MISC</w:t>
            </w:r>
          </w:p>
        </w:tc>
        <w:tc>
          <w:tcPr>
            <w:tcW w:type="dxa" w:w="5976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Procurement documents and award decrees; plans, clauses, annexes, identifiers, criterion codes, mechanisms, frameworks, standards, certificates, eligibility classifications, named services and publications.</w:t>
            </w:r>
          </w:p>
        </w:tc>
        <w:tc>
          <w:tcPr>
            <w:tcW w:type="dxa" w:w="331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Anexo II del PCAP; SAJV-1; SDA; ENS; ACP</w:t>
            </w:r>
          </w:p>
        </w:tc>
      </w:tr>
    </w:tbl>
    <w:p>
      <w:pPr>
        <w:pStyle w:val="Heading1"/>
      </w:pPr>
      <w:r>
        <w:t>Span boundaries and ambiguous cases</w:t>
      </w:r>
    </w:p>
    <w:p>
      <w:r>
        <w:rPr>
          <w:b/>
        </w:rPr>
        <w:t xml:space="preserve">Boundaries. </w:t>
      </w:r>
      <w:r>
        <w:t>Exclude surrounding spaces and sentence punctuation; preserve internal punctuation and visible company suffixes, including S. Never complete missing text. Include continuous expanded names and parenthetical acronyms together.</w:t>
      </w:r>
    </w:p>
    <w:p>
      <w:r>
        <w:rPr>
          <w:b/>
        </w:rPr>
        <w:t xml:space="preserve">References. </w:t>
      </w:r>
      <w:r>
        <w:t>Keep attached articles, dates and titles within LAW. A government agreement with its attached order citation is one LAW span; individual award decrees are MISC. Unlinked article references are MISC pending context review. Group clauses sharing one document: cláusulas 21, 23 y 33 del PCAP. Separate citations to different laws.</w:t>
      </w:r>
    </w:p>
    <w:p>
      <w:r>
        <w:rPr>
          <w:b/>
        </w:rPr>
        <w:t xml:space="preserve">No overlaps. </w:t>
      </w:r>
      <w:r>
        <w:t>Use one coherent span: Ayuntamiento de Alcántara is ORG; Anexo II del PCAP is MISC. No nested place, acronym or date labels. Keep an event’s separate date as DATE; exclude connectors between distinct entities.</w:t>
      </w:r>
    </w:p>
    <w:p>
      <w:r>
        <w:rPr>
          <w:b/>
        </w:rPr>
        <w:t xml:space="preserve">Context. </w:t>
      </w:r>
      <w:r>
        <w:t>Seguridad Social as a subject area is untagged; named institutions are ORG. Physical areas such as ERRP TORREVIEJA are LOC; initiative designations are MISC. SDA, ENS and ACP remain MISC in their reviewed contexts; do not infer a law from a framework.</w:t>
      </w:r>
    </w:p>
    <w:p>
      <w:r>
        <w:rPr>
          <w:b/>
        </w:rPr>
        <w:t xml:space="preserve">MISC scope. </w:t>
      </w:r>
      <w:r>
        <w:t>Use the whole Plan Sanitario frente a Legionella. Azure, AWS, Google Cloud, the publication Alcalá Patrimonio Mundial and tren de cervantes are MISC. Eligibility classifications are separate MISC spans: CENTROS ESPECIALES DE EMPLEO DE INICIATIVA SOCIAL / EMPRESA DE INSERCIÓN REGULADA. Leave their connecting O outside.</w:t>
      </w:r>
    </w:p>
    <w:p>
      <w:r>
        <w:rPr>
          <w:b/>
        </w:rPr>
        <w:t xml:space="preserve">Leave untagged. </w:t>
      </w:r>
      <w:r>
        <w:t>Generic obligations, subject areas, roles, amounts, durations and disease names. COVID-19 as a disease and generic DANA mentions are untagged; pandemia de COVID-19 referring to the pandemic is EVENT. MISC is not a catch-all.</w:t>
      </w:r>
    </w:p>
    <w:p>
      <w:pPr>
        <w:pStyle w:val="Heading1"/>
      </w:pPr>
      <w:r>
        <w:t>Review before saving</w:t>
      </w:r>
    </w:p>
    <w:p>
      <w:r>
        <w:t>Exclude non-Spanish and blank records, and whole records mentioning hora/horario peninsular. Retain Spanish records with no entities. Flag uncertainty and truncation; apply decisions to similar cases. JSON offsets are start-inclusive and end-exclusive. Revalidate offsets after approved trimming; fix tokenizer boundaries without altering gold spans.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ANER Annotation Guidelines</dc:title>
  <dc:subject>Spanish public procurement NER annotation policy version 2.1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