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p>
    <w:p>
      <w:pPr>
        <w:spacing w:after="200"/>
        <w:jc w:val="center"/>
      </w:pPr>
      <w:r>
        <w:rPr>
          <w:rFonts w:ascii="Arial" w:cs="Arial" w:eastAsia="Arial" w:hAnsi="Arial"/>
          <w:b/>
          <w:bCs/>
          <w:color w:val="16A34A"/>
          <w:sz w:val="56"/>
          <w:szCs w:val="56"/>
        </w:rPr>
        <w:t xml:space="preserve">SISTEMA POS</w:t>
      </w:r>
    </w:p>
    <w:p>
      <w:pPr>
        <w:spacing w:after="400"/>
        <w:jc w:val="center"/>
      </w:pPr>
      <w:r>
        <w:rPr>
          <w:rFonts w:ascii="Arial" w:cs="Arial" w:eastAsia="Arial" w:hAnsi="Arial"/>
          <w:b/>
          <w:bCs/>
          <w:color w:val="0F172A"/>
          <w:sz w:val="56"/>
          <w:szCs w:val="56"/>
        </w:rPr>
        <w:t xml:space="preserve">LA ECONOMÍA</w:t>
      </w:r>
    </w:p>
    <w:p>
      <w:pPr>
        <w:pBdr>
          <w:bottom w:val="single" w:color="16A34A" w:sz="6" w:space="1"/>
        </w:pBdr>
        <w:spacing w:after="100"/>
        <w:jc w:val="center"/>
      </w:pPr>
    </w:p>
    <w:p>
      <w:pPr>
        <w:spacing w:before="400"/>
        <w:jc w:val="center"/>
      </w:pPr>
      <w:r>
        <w:rPr>
          <w:rFonts w:ascii="Arial" w:cs="Arial" w:eastAsia="Arial" w:hAnsi="Arial"/>
          <w:color w:val="64748B"/>
          <w:sz w:val="32"/>
          <w:szCs w:val="32"/>
        </w:rPr>
        <w:t xml:space="preserve">Manual Técnico</w:t>
      </w:r>
    </w:p>
    <w:p>
      <w:pPr>
        <w:spacing w:after="200"/>
        <w:jc w:val="center"/>
      </w:pPr>
      <w:r>
        <w:rPr>
          <w:rFonts w:ascii="Arial" w:cs="Arial" w:eastAsia="Arial" w:hAnsi="Arial"/>
          <w:color w:val="64748B"/>
          <w:sz w:val="24"/>
          <w:szCs w:val="24"/>
        </w:rPr>
        <w:t xml:space="preserve">Arquitectura, base de datos y lógica de negocio para desarrollo y mantenimiento</w:t>
      </w:r>
    </w:p>
    <w:p>
      <w:pPr>
        <w:spacing w:before="1600"/>
        <w:jc w:val="center"/>
      </w:pPr>
      <w:r>
        <w:rPr>
          <w:rFonts w:ascii="Arial" w:cs="Arial" w:eastAsia="Arial" w:hAnsi="Arial"/>
          <w:color w:val="64748B"/>
          <w:sz w:val="22"/>
          <w:szCs w:val="22"/>
        </w:rPr>
        <w:t xml:space="preserve">Versión 1.0 — Agosto 2026</w:t>
      </w:r>
    </w:p>
    <w:p>
      <w:pPr>
        <w:jc w:val="center"/>
      </w:pPr>
      <w:r>
        <w:rPr>
          <w:rFonts w:ascii="Arial" w:cs="Arial" w:eastAsia="Arial" w:hAnsi="Arial"/>
          <w:i/>
          <w:iCs/>
          <w:color w:val="64748B"/>
          <w:sz w:val="19"/>
          <w:szCs w:val="19"/>
        </w:rPr>
        <w:t xml:space="preserve">Complementa al Manual de Usuario — dirigido a quien mantenga o extienda el código</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0F172A"/>
          <w:sz w:val="32"/>
          <w:szCs w:val="32"/>
        </w:rPr>
        <w:t xml:space="preserve">Índice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0F172A"/>
          <w:sz w:val="32"/>
          <w:szCs w:val="32"/>
        </w:rPr>
        <w:t xml:space="preserve">1. Introducción</w:t>
      </w:r>
    </w:p>
    <w:p>
      <w:pPr>
        <w:spacing w:after="120"/>
      </w:pPr>
      <w:r>
        <w:rPr>
          <w:rFonts w:ascii="Arial" w:cs="Arial" w:eastAsia="Arial" w:hAnsi="Arial"/>
          <w:sz w:val="22"/>
          <w:szCs w:val="22"/>
        </w:rPr>
        <w:t xml:space="preserve">Este documento describe la arquitectura técnica, el modelo de datos y la lógica de negocio del Sistema POS La Economía, para quien deba mantener, auditar o extender el código. Complementa al </w:t>
      </w:r>
      <w:r>
        <w:rPr>
          <w:rFonts w:ascii="Arial" w:cs="Arial" w:eastAsia="Arial" w:hAnsi="Arial"/>
          <w:b/>
          <w:bCs/>
          <w:sz w:val="22"/>
          <w:szCs w:val="22"/>
        </w:rPr>
        <w:t xml:space="preserve">Manual de Usuario</w:t>
      </w:r>
      <w:r>
        <w:rPr>
          <w:rFonts w:ascii="Arial" w:cs="Arial" w:eastAsia="Arial" w:hAnsi="Arial"/>
          <w:sz w:val="22"/>
          <w:szCs w:val="22"/>
        </w:rPr>
        <w:t xml:space="preserve">, que cubre el uso operativo de la aplicación desde la perspectiva de Cajero, Repositor y Administrador.</w:t>
      </w:r>
    </w:p>
    <w:p>
      <w:pPr>
        <w:spacing w:after="120"/>
      </w:pPr>
      <w:r>
        <w:rPr>
          <w:rFonts w:ascii="Arial" w:cs="Arial" w:eastAsia="Arial" w:hAnsi="Arial"/>
          <w:sz w:val="22"/>
          <w:szCs w:val="22"/>
        </w:rPr>
        <w:t xml:space="preserve">Alcance de este manual:</w:t>
      </w:r>
    </w:p>
    <w:p>
      <w:pPr>
        <w:pStyle w:val="ListParagraph"/>
        <w:numPr>
          <w:ilvl w:val="0"/>
          <w:numId w:val="2"/>
        </w:numPr>
        <w:spacing w:after="80"/>
      </w:pPr>
      <w:r>
        <w:rPr>
          <w:rFonts w:ascii="Arial" w:cs="Arial" w:eastAsia="Arial" w:hAnsi="Arial"/>
          <w:sz w:val="22"/>
          <w:szCs w:val="22"/>
        </w:rPr>
        <w:t xml:space="preserve">Arquitectura general y stack tecnológico</w:t>
      </w:r>
    </w:p>
    <w:p>
      <w:pPr>
        <w:pStyle w:val="ListParagraph"/>
        <w:numPr>
          <w:ilvl w:val="0"/>
          <w:numId w:val="2"/>
        </w:numPr>
        <w:spacing w:after="80"/>
      </w:pPr>
      <w:r>
        <w:rPr>
          <w:rFonts w:ascii="Arial" w:cs="Arial" w:eastAsia="Arial" w:hAnsi="Arial"/>
          <w:sz w:val="22"/>
          <w:szCs w:val="22"/>
        </w:rPr>
        <w:t xml:space="preserve">Estructura de carpetas y convenciones de módulo</w:t>
      </w:r>
    </w:p>
    <w:p>
      <w:pPr>
        <w:pStyle w:val="ListParagraph"/>
        <w:numPr>
          <w:ilvl w:val="0"/>
          <w:numId w:val="2"/>
        </w:numPr>
        <w:spacing w:after="80"/>
      </w:pPr>
      <w:r>
        <w:rPr>
          <w:rFonts w:ascii="Arial" w:cs="Arial" w:eastAsia="Arial" w:hAnsi="Arial"/>
          <w:sz w:val="22"/>
          <w:szCs w:val="22"/>
        </w:rPr>
        <w:t xml:space="preserve">Modelo de datos completo (tablas, relaciones, funciones SQL)</w:t>
      </w:r>
    </w:p>
    <w:p>
      <w:pPr>
        <w:pStyle w:val="ListParagraph"/>
        <w:numPr>
          <w:ilvl w:val="0"/>
          <w:numId w:val="2"/>
        </w:numPr>
        <w:spacing w:after="80"/>
      </w:pPr>
      <w:r>
        <w:rPr>
          <w:rFonts w:ascii="Arial" w:cs="Arial" w:eastAsia="Arial" w:hAnsi="Arial"/>
          <w:sz w:val="22"/>
          <w:szCs w:val="22"/>
        </w:rPr>
        <w:t xml:space="preserve">Autenticación, roles y seguridad (incluyendo el estado real de las políticas RLS)</w:t>
      </w:r>
    </w:p>
    <w:p>
      <w:pPr>
        <w:pStyle w:val="ListParagraph"/>
        <w:numPr>
          <w:ilvl w:val="0"/>
          <w:numId w:val="2"/>
        </w:numPr>
        <w:spacing w:after="80"/>
      </w:pPr>
      <w:r>
        <w:rPr>
          <w:rFonts w:ascii="Arial" w:cs="Arial" w:eastAsia="Arial" w:hAnsi="Arial"/>
          <w:sz w:val="22"/>
          <w:szCs w:val="22"/>
        </w:rPr>
        <w:t xml:space="preserve">Lógica de negocio clave: ventas, descuentos, IVA, stock, compras, cuenta corriente</w:t>
      </w:r>
    </w:p>
    <w:p>
      <w:pPr>
        <w:pStyle w:val="ListParagraph"/>
        <w:numPr>
          <w:ilvl w:val="0"/>
          <w:numId w:val="2"/>
        </w:numPr>
        <w:spacing w:after="80"/>
      </w:pPr>
      <w:r>
        <w:rPr>
          <w:rFonts w:ascii="Arial" w:cs="Arial" w:eastAsia="Arial" w:hAnsi="Arial"/>
          <w:sz w:val="22"/>
          <w:szCs w:val="22"/>
        </w:rPr>
        <w:t xml:space="preserve">Integraciones (impresión, exportación), scripts de mantenimiento y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60"/>
            </w:pPr>
            <w:r>
              <w:rPr>
                <w:rFonts w:ascii="Arial" w:cs="Arial" w:eastAsia="Arial" w:hAnsi="Arial"/>
                <w:b/>
                <w:bCs/>
                <w:color w:val="0F172A"/>
                <w:sz w:val="22"/>
                <w:szCs w:val="22"/>
              </w:rPr>
              <w:t xml:space="preserve">ℹ️ Nota técnica</w:t>
            </w:r>
          </w:p>
          <w:p>
            <w:r>
              <w:rPr>
                <w:rFonts w:ascii="Arial" w:cs="Arial" w:eastAsia="Arial" w:hAnsi="Arial"/>
                <w:color w:val="64748B"/>
                <w:sz w:val="20"/>
                <w:szCs w:val="20"/>
              </w:rPr>
              <w:t xml:space="preserve">Este manual refleja el estado del código y de la base de datos al 12/08/2026. El proyecto es de desarrollo activo — antes de asumir que algo sigue vigente, verificá contra el código fuente y el dashboard de Supabase.</w:t>
            </w:r>
          </w:p>
        </w:tc>
      </w:tr>
    </w:tbl>
    <w:p>
      <w:r>
        <w:br w:type="page"/>
      </w:r>
    </w:p>
    <w:p>
      <w:pPr>
        <w:pStyle w:val="Heading1"/>
        <w:spacing w:after="200" w:before="400"/>
      </w:pPr>
      <w:r>
        <w:rPr>
          <w:rFonts w:ascii="Arial" w:cs="Arial" w:eastAsia="Arial" w:hAnsi="Arial"/>
          <w:b/>
          <w:bCs/>
          <w:color w:val="0F172A"/>
          <w:sz w:val="32"/>
          <w:szCs w:val="32"/>
        </w:rPr>
        <w:t xml:space="preserve">2. Arquitectura General</w:t>
      </w:r>
    </w:p>
    <w:p>
      <w:pPr>
        <w:spacing w:after="120"/>
      </w:pPr>
      <w:r>
        <w:rPr>
          <w:rFonts w:ascii="Arial" w:cs="Arial" w:eastAsia="Arial" w:hAnsi="Arial"/>
          <w:sz w:val="22"/>
          <w:szCs w:val="22"/>
        </w:rPr>
        <w:t xml:space="preserve">El sistema es una SPA (Single Page Application) que habla directamente con Supabase — no existe un servidor backend propio ni una capa de API intermedia. Toda la lógica de negocio vive en el cliente (React) y en funciones de PostgreSQL con </w:t>
      </w:r>
      <w:r>
        <w:rPr>
          <w:rFonts w:ascii="Arial" w:cs="Arial" w:eastAsia="Arial" w:hAnsi="Arial"/>
          <w:b/>
          <w:bCs/>
          <w:sz w:val="22"/>
          <w:szCs w:val="22"/>
        </w:rPr>
        <w:t xml:space="preserve">SECURITY DEFINER</w:t>
      </w:r>
      <w:r>
        <w:rPr>
          <w:rFonts w:ascii="Arial" w:cs="Arial" w:eastAsia="Arial" w:hAnsi="Arial"/>
          <w:sz w:val="22"/>
          <w:szCs w:val="22"/>
        </w:rPr>
        <w:t xml:space="preserve"> para las operaciones que requieren atomicidad o permisos elevados.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68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Frontend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React 18 + Vite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Estilos</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Tailwind CSS v3 (paleta personalizada, modo claro/oscuro por CSS variables)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Estado global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Zustand (authStore, useCartStore, uiStore)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Ruteo</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React Router 7 (rutas anidadas + guards)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Backend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Supabase (PostgreSQL + Auth + RLS + Storage)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Hosting</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Vercel (build estático + rewrite SPA)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Exportación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xlsx-js-style (Excel) · jsPDF + jspdf-autotable (PDF)</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Gráficos</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Recharts (dashboard)</w:t>
            </w:r>
          </w:p>
        </w:tc>
      </w:tr>
    </w:tbl>
    <w:p>
      <w:pPr>
        <w:spacing w:after="80" w:before="200"/>
        <w:jc w:val="center"/>
      </w:pPr>
      <w:r>
        <w:drawing>
          <wp:inline distT="0" distB="0" distL="0" distR="0">
            <wp:extent cx="59436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895725"/>
                    </a:xfrm>
                    <a:prstGeom prst="rect">
                      <a:avLst/>
                    </a:prstGeom>
                  </pic:spPr>
                </pic:pic>
              </a:graphicData>
            </a:graphic>
          </wp:inline>
        </w:drawing>
      </w:r>
    </w:p>
    <w:p>
      <w:pPr>
        <w:spacing w:after="240"/>
        <w:jc w:val="center"/>
      </w:pPr>
      <w:r>
        <w:rPr>
          <w:rFonts w:ascii="Arial" w:cs="Arial" w:eastAsia="Arial" w:hAnsi="Arial"/>
          <w:i/>
          <w:iCs/>
          <w:color w:val="64748B"/>
          <w:sz w:val="19"/>
          <w:szCs w:val="19"/>
        </w:rPr>
        <w:t xml:space="preserve">Figura 1. Arquitectura general — capas del sistema.</w:t>
      </w:r>
    </w:p>
    <w:p>
      <w:pPr>
        <w:pStyle w:val="Heading2"/>
        <w:spacing w:after="150" w:before="300"/>
      </w:pPr>
      <w:r>
        <w:rPr>
          <w:rFonts w:ascii="Arial" w:cs="Arial" w:eastAsia="Arial" w:hAnsi="Arial"/>
          <w:b/>
          <w:bCs/>
          <w:color w:val="16A34A"/>
          <w:sz w:val="28"/>
          <w:szCs w:val="28"/>
        </w:rPr>
        <w:t xml:space="preserve">2.1 Puntos clave</w:t>
      </w:r>
    </w:p>
    <w:p>
      <w:pPr>
        <w:pStyle w:val="ListParagraph"/>
        <w:numPr>
          <w:ilvl w:val="0"/>
          <w:numId w:val="3"/>
        </w:numPr>
        <w:spacing w:after="80"/>
      </w:pPr>
      <w:r>
        <w:rPr>
          <w:rFonts w:ascii="Arial" w:cs="Arial" w:eastAsia="Arial" w:hAnsi="Arial"/>
          <w:b/>
          <w:bCs/>
          <w:sz w:val="22"/>
          <w:szCs w:val="22"/>
        </w:rPr>
        <w:t xml:space="preserve">Sin servidor propio: </w:t>
      </w:r>
      <w:r>
        <w:rPr>
          <w:rFonts w:ascii="Arial" w:cs="Arial" w:eastAsia="Arial" w:hAnsi="Arial"/>
          <w:sz w:val="22"/>
          <w:szCs w:val="22"/>
        </w:rPr>
        <w:t xml:space="preserve">el cliente Supabase-js (</w:t>
      </w:r>
      <w:r>
        <w:rPr>
          <w:rFonts w:ascii="Arial" w:cs="Arial" w:eastAsia="Arial" w:hAnsi="Arial"/>
          <w:color w:val="B91C1C"/>
          <w:sz w:val="22"/>
          <w:szCs w:val="22"/>
        </w:rPr>
        <w:t xml:space="preserve">src/supabase/client.js</w:t>
      </w:r>
      <w:r>
        <w:rPr>
          <w:rFonts w:ascii="Arial" w:cs="Arial" w:eastAsia="Arial" w:hAnsi="Arial"/>
          <w:sz w:val="22"/>
          <w:szCs w:val="22"/>
        </w:rPr>
        <w:t xml:space="preserve">) habla directo con la API REST/RPC de Supabase desde el navegador. La anon key es pública por diseño; la seguridad depende de RLS (ver Sección 5.4).</w:t>
      </w:r>
    </w:p>
    <w:p>
      <w:pPr>
        <w:pStyle w:val="ListParagraph"/>
        <w:numPr>
          <w:ilvl w:val="0"/>
          <w:numId w:val="3"/>
        </w:numPr>
        <w:spacing w:after="80"/>
      </w:pPr>
      <w:r>
        <w:rPr>
          <w:rFonts w:ascii="Arial" w:cs="Arial" w:eastAsia="Arial" w:hAnsi="Arial"/>
          <w:b/>
          <w:bCs/>
          <w:sz w:val="22"/>
          <w:szCs w:val="22"/>
        </w:rPr>
        <w:t xml:space="preserve">Cliente admin separado: </w:t>
      </w:r>
      <w:r>
        <w:rPr>
          <w:rFonts w:ascii="Arial" w:cs="Arial" w:eastAsia="Arial" w:hAnsi="Arial"/>
          <w:color w:val="B91C1C"/>
          <w:sz w:val="22"/>
          <w:szCs w:val="22"/>
        </w:rPr>
        <w:t xml:space="preserve">src/supabase/adminClient.js</w:t>
      </w:r>
      <w:r>
        <w:rPr>
          <w:rFonts w:ascii="Arial" w:cs="Arial" w:eastAsia="Arial" w:hAnsi="Arial"/>
          <w:sz w:val="22"/>
          <w:szCs w:val="22"/>
        </w:rPr>
        <w:t xml:space="preserve"> usa la </w:t>
      </w:r>
      <w:r>
        <w:rPr>
          <w:rFonts w:ascii="Arial" w:cs="Arial" w:eastAsia="Arial" w:hAnsi="Arial"/>
          <w:b/>
          <w:bCs/>
          <w:sz w:val="22"/>
          <w:szCs w:val="22"/>
        </w:rPr>
        <w:t xml:space="preserve">service key</w:t>
      </w:r>
      <w:r>
        <w:rPr>
          <w:rFonts w:ascii="Arial" w:cs="Arial" w:eastAsia="Arial" w:hAnsi="Arial"/>
          <w:sz w:val="22"/>
          <w:szCs w:val="22"/>
        </w:rPr>
        <w:t xml:space="preserve"> (bypassa RLS por completo) y solo se usa para crear usuarios desde el panel Admin. Requiere la variable </w:t>
      </w:r>
      <w:r>
        <w:rPr>
          <w:rFonts w:ascii="Arial" w:cs="Arial" w:eastAsia="Arial" w:hAnsi="Arial"/>
          <w:color w:val="B91C1C"/>
          <w:sz w:val="22"/>
          <w:szCs w:val="22"/>
        </w:rPr>
        <w:t xml:space="preserve">VITE_SUPABASE_SERVICE_KEY</w:t>
      </w:r>
      <w:r>
        <w:rPr>
          <w:rFonts w:ascii="Arial" w:cs="Arial" w:eastAsia="Arial" w:hAnsi="Arial"/>
          <w:sz w:val="22"/>
          <w:szCs w:val="22"/>
        </w:rPr>
        <w:t xml:space="preserve"> — si no está configurada, esa función queda deshabilitada con un aviso en la UI.</w:t>
      </w:r>
    </w:p>
    <w:p>
      <w:pPr>
        <w:pStyle w:val="ListParagraph"/>
        <w:numPr>
          <w:ilvl w:val="0"/>
          <w:numId w:val="3"/>
        </w:numPr>
        <w:spacing w:after="80"/>
      </w:pPr>
      <w:r>
        <w:rPr>
          <w:rFonts w:ascii="Arial" w:cs="Arial" w:eastAsia="Arial" w:hAnsi="Arial"/>
          <w:b/>
          <w:bCs/>
          <w:sz w:val="22"/>
          <w:szCs w:val="22"/>
        </w:rPr>
        <w:t xml:space="preserve">Impresión y exportación son 100% client-side: </w:t>
      </w:r>
      <w:r>
        <w:rPr>
          <w:rFonts w:ascii="Arial" w:cs="Arial" w:eastAsia="Arial" w:hAnsi="Arial"/>
          <w:sz w:val="22"/>
          <w:szCs w:val="22"/>
        </w:rPr>
        <w:t xml:space="preserve">no dependen de Supabase ni de un servidor. El ticket se genera como HTML y se imprime con </w:t>
      </w:r>
      <w:r>
        <w:rPr>
          <w:rFonts w:ascii="Arial" w:cs="Arial" w:eastAsia="Arial" w:hAnsi="Arial"/>
          <w:color w:val="B91C1C"/>
          <w:sz w:val="22"/>
          <w:szCs w:val="22"/>
        </w:rPr>
        <w:t xml:space="preserve">window.print()</w:t>
      </w:r>
      <w:r>
        <w:rPr>
          <w:rFonts w:ascii="Arial" w:cs="Arial" w:eastAsia="Arial" w:hAnsi="Arial"/>
          <w:sz w:val="22"/>
          <w:szCs w:val="22"/>
        </w:rPr>
        <w:t xml:space="preserve">; los Excel/PDF se arman en memoria en el navegador.</w:t>
      </w:r>
    </w:p>
    <w:p>
      <w:r>
        <w:br w:type="page"/>
      </w:r>
    </w:p>
    <w:p>
      <w:pPr>
        <w:pStyle w:val="Heading1"/>
        <w:spacing w:after="200" w:before="400"/>
      </w:pPr>
      <w:r>
        <w:rPr>
          <w:rFonts w:ascii="Arial" w:cs="Arial" w:eastAsia="Arial" w:hAnsi="Arial"/>
          <w:b/>
          <w:bCs/>
          <w:color w:val="0F172A"/>
          <w:sz w:val="32"/>
          <w:szCs w:val="32"/>
        </w:rPr>
        <w:t xml:space="preserve">3. Estructura del Proyecto</w:t>
      </w:r>
    </w:p>
    <w:p>
      <w:pPr>
        <w:spacing w:after="120"/>
      </w:pPr>
      <w:r>
        <w:rPr>
          <w:rFonts w:ascii="Arial" w:cs="Arial" w:eastAsia="Arial" w:hAnsi="Arial"/>
          <w:sz w:val="22"/>
          <w:szCs w:val="22"/>
        </w:rPr>
        <w:t xml:space="preserve">El código sigue una convención de </w:t>
      </w:r>
      <w:r>
        <w:rPr>
          <w:rFonts w:ascii="Arial" w:cs="Arial" w:eastAsia="Arial" w:hAnsi="Arial"/>
          <w:b/>
          <w:bCs/>
          <w:sz w:val="22"/>
          <w:szCs w:val="22"/>
        </w:rPr>
        <w:t xml:space="preserve">modularidad por dominio</w:t>
      </w:r>
      <w:r>
        <w:rPr>
          <w:rFonts w:ascii="Arial" w:cs="Arial" w:eastAsia="Arial" w:hAnsi="Arial"/>
          <w:sz w:val="22"/>
          <w:szCs w:val="22"/>
        </w:rPr>
        <w:t xml:space="preserve">: cada módulo de negocio vive en </w:t>
      </w:r>
      <w:r>
        <w:rPr>
          <w:rFonts w:ascii="Arial" w:cs="Arial" w:eastAsia="Arial" w:hAnsi="Arial"/>
          <w:color w:val="B91C1C"/>
          <w:sz w:val="20"/>
          <w:szCs w:val="20"/>
        </w:rPr>
        <w:t xml:space="preserve">src/modules/&lt;nombre&gt;/</w:t>
      </w:r>
      <w:r>
        <w:rPr>
          <w:rFonts w:ascii="Arial" w:cs="Arial" w:eastAsia="Arial" w:hAnsi="Arial"/>
          <w:sz w:val="22"/>
          <w:szCs w:val="22"/>
        </w:rPr>
        <w:t xml:space="preserve"> con tres subcarpetas fijas — </w:t>
      </w:r>
      <w:r>
        <w:rPr>
          <w:rFonts w:ascii="Arial" w:cs="Arial" w:eastAsia="Arial" w:hAnsi="Arial"/>
          <w:color w:val="B91C1C"/>
          <w:sz w:val="20"/>
          <w:szCs w:val="20"/>
        </w:rPr>
        <w:t xml:space="preserve">components/</w:t>
      </w:r>
      <w:r>
        <w:rPr>
          <w:rFonts w:ascii="Arial" w:cs="Arial" w:eastAsia="Arial" w:hAnsi="Arial"/>
          <w:sz w:val="22"/>
          <w:szCs w:val="22"/>
        </w:rPr>
        <w:t xml:space="preserve">, </w:t>
      </w:r>
      <w:r>
        <w:rPr>
          <w:rFonts w:ascii="Arial" w:cs="Arial" w:eastAsia="Arial" w:hAnsi="Arial"/>
          <w:color w:val="B91C1C"/>
          <w:sz w:val="20"/>
          <w:szCs w:val="20"/>
        </w:rPr>
        <w:t xml:space="preserve">hooks/</w:t>
      </w:r>
      <w:r>
        <w:rPr>
          <w:rFonts w:ascii="Arial" w:cs="Arial" w:eastAsia="Arial" w:hAnsi="Arial"/>
          <w:sz w:val="22"/>
          <w:szCs w:val="22"/>
        </w:rPr>
        <w:t xml:space="preserve"> y </w:t>
      </w:r>
      <w:r>
        <w:rPr>
          <w:rFonts w:ascii="Arial" w:cs="Arial" w:eastAsia="Arial" w:hAnsi="Arial"/>
          <w:color w:val="B91C1C"/>
          <w:sz w:val="20"/>
          <w:szCs w:val="20"/>
        </w:rPr>
        <w:t xml:space="preserve">services/</w:t>
      </w:r>
      <w:r>
        <w:rPr>
          <w:rFonts w:ascii="Arial" w:cs="Arial" w:eastAsia="Arial" w:hAnsi="Arial"/>
          <w:sz w:val="22"/>
          <w:szCs w:val="22"/>
        </w:rPr>
        <w:t xml:space="preserve">. El código compartido entre módulos vive en </w:t>
      </w:r>
      <w:r>
        <w:rPr>
          <w:rFonts w:ascii="Arial" w:cs="Arial" w:eastAsia="Arial" w:hAnsi="Arial"/>
          <w:color w:val="B91C1C"/>
          <w:sz w:val="20"/>
          <w:szCs w:val="20"/>
        </w:rPr>
        <w:t xml:space="preserve">src/shared/</w:t>
      </w:r>
      <w:r>
        <w:rPr>
          <w:rFonts w:ascii="Arial" w:cs="Arial" w:eastAsia="Arial" w:hAnsi="Arial"/>
          <w:sz w:val="22"/>
          <w:szCs w:val="22"/>
        </w:rPr>
        <w:t xml:space="preserve">.</w:t>
      </w:r>
    </w:p>
    <w:p>
      <w:pPr>
        <w:spacing w:after="80" w:before="20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90975"/>
                    </a:xfrm>
                    <a:prstGeom prst="rect">
                      <a:avLst/>
                    </a:prstGeom>
                  </pic:spPr>
                </pic:pic>
              </a:graphicData>
            </a:graphic>
          </wp:inline>
        </w:drawing>
      </w:r>
    </w:p>
    <w:p>
      <w:pPr>
        <w:spacing w:after="240"/>
        <w:jc w:val="center"/>
      </w:pPr>
      <w:r>
        <w:rPr>
          <w:rFonts w:ascii="Arial" w:cs="Arial" w:eastAsia="Arial" w:hAnsi="Arial"/>
          <w:i/>
          <w:iCs/>
          <w:color w:val="64748B"/>
          <w:sz w:val="19"/>
          <w:szCs w:val="19"/>
        </w:rPr>
        <w:t xml:space="preserve">Figura 2. Estructura de carpetas y convención de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71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auth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Login, Setup Wizard, selección de rol, PIN de cajero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pos</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Ventas, carrito, caja, pagos, devoluciones, impresión de tickets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stock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Productos, categorías, niveles de stock, movimientos, vencimientos, etiquetas de góndola</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suppliers</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Proveedores, notas de pedido, órdenes de compra, recepción de mercadería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customers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Clientes, cuenta corriente, historial de compras, estado de cuenta</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reports</w:t>
            </w:r>
          </w:p>
        </w:tc>
        <w:tc>
          <w:tcPr>
            <w:tcW w:type="dxa" w:w="7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Reportes de ventas, caja, stock, deudores y devoluciones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admin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Dashboard, usuarios, descuentos, configuración del negocio</w:t>
            </w:r>
          </w:p>
        </w:tc>
      </w:tr>
    </w:tbl>
    <w:p>
      <w:pPr>
        <w:pStyle w:val="Heading2"/>
        <w:spacing w:after="150" w:before="300"/>
      </w:pPr>
      <w:r>
        <w:rPr>
          <w:rFonts w:ascii="Arial" w:cs="Arial" w:eastAsia="Arial" w:hAnsi="Arial"/>
          <w:b/>
          <w:bCs/>
          <w:color w:val="16A34A"/>
          <w:sz w:val="28"/>
          <w:szCs w:val="28"/>
        </w:rPr>
        <w:t xml:space="preserve">3.1 Código compartido (src/shared/)</w:t>
      </w:r>
    </w:p>
    <w:p>
      <w:pPr>
        <w:pStyle w:val="ListParagraph"/>
        <w:numPr>
          <w:ilvl w:val="0"/>
          <w:numId w:val="4"/>
        </w:numPr>
        <w:spacing w:after="80"/>
      </w:pPr>
      <w:r>
        <w:rPr>
          <w:rFonts w:ascii="Arial" w:cs="Arial" w:eastAsia="Arial" w:hAnsi="Arial"/>
          <w:b/>
          <w:bCs/>
          <w:sz w:val="22"/>
          <w:szCs w:val="22"/>
        </w:rPr>
        <w:t xml:space="preserve">components/</w:t>
      </w:r>
      <w:r>
        <w:rPr>
          <w:rFonts w:ascii="Arial" w:cs="Arial" w:eastAsia="Arial" w:hAnsi="Arial"/>
          <w:sz w:val="22"/>
          <w:szCs w:val="22"/>
        </w:rPr>
        <w:t xml:space="preserve"> — Button, Modal, Table, Badge, Pagination, ConfirmDialog, Spinner, AppLayout (sidebar + topbar con toggle de tema)</w:t>
      </w:r>
    </w:p>
    <w:p>
      <w:pPr>
        <w:pStyle w:val="ListParagraph"/>
        <w:numPr>
          <w:ilvl w:val="0"/>
          <w:numId w:val="4"/>
        </w:numPr>
        <w:spacing w:after="80"/>
      </w:pPr>
      <w:r>
        <w:rPr>
          <w:rFonts w:ascii="Arial" w:cs="Arial" w:eastAsia="Arial" w:hAnsi="Arial"/>
          <w:b/>
          <w:bCs/>
          <w:sz w:val="22"/>
          <w:szCs w:val="22"/>
        </w:rPr>
        <w:t xml:space="preserve">hooks/</w:t>
      </w:r>
      <w:r>
        <w:rPr>
          <w:rFonts w:ascii="Arial" w:cs="Arial" w:eastAsia="Arial" w:hAnsi="Arial"/>
          <w:sz w:val="22"/>
          <w:szCs w:val="22"/>
        </w:rPr>
        <w:t xml:space="preserve"> — useDebounce (usado en buscadores de producto/cliente)</w:t>
      </w:r>
    </w:p>
    <w:p>
      <w:pPr>
        <w:pStyle w:val="ListParagraph"/>
        <w:numPr>
          <w:ilvl w:val="0"/>
          <w:numId w:val="4"/>
        </w:numPr>
        <w:spacing w:after="80"/>
      </w:pPr>
      <w:r>
        <w:rPr>
          <w:rFonts w:ascii="Arial" w:cs="Arial" w:eastAsia="Arial" w:hAnsi="Arial"/>
          <w:b/>
          <w:bCs/>
          <w:sz w:val="22"/>
          <w:szCs w:val="22"/>
        </w:rPr>
        <w:t xml:space="preserve">store/</w:t>
      </w:r>
      <w:r>
        <w:rPr>
          <w:rFonts w:ascii="Arial" w:cs="Arial" w:eastAsia="Arial" w:hAnsi="Arial"/>
          <w:sz w:val="22"/>
          <w:szCs w:val="22"/>
        </w:rPr>
        <w:t xml:space="preserve"> — authStore (sesión y rol activo) y uiStore (Zustand)</w:t>
      </w:r>
    </w:p>
    <w:p>
      <w:pPr>
        <w:pStyle w:val="ListParagraph"/>
        <w:numPr>
          <w:ilvl w:val="0"/>
          <w:numId w:val="4"/>
        </w:numPr>
        <w:spacing w:after="80"/>
      </w:pPr>
      <w:r>
        <w:rPr>
          <w:rFonts w:ascii="Arial" w:cs="Arial" w:eastAsia="Arial" w:hAnsi="Arial"/>
          <w:b/>
          <w:bCs/>
          <w:sz w:val="22"/>
          <w:szCs w:val="22"/>
        </w:rPr>
        <w:t xml:space="preserve">utils/</w:t>
      </w:r>
      <w:r>
        <w:rPr>
          <w:rFonts w:ascii="Arial" w:cs="Arial" w:eastAsia="Arial" w:hAnsi="Arial"/>
          <w:sz w:val="22"/>
          <w:szCs w:val="22"/>
        </w:rPr>
        <w:t xml:space="preserve"> — formatters.js (moneda, fechas, round2) y exporters.js (Excel/PDF)</w:t>
      </w:r>
    </w:p>
    <w:p>
      <w:pPr>
        <w:pStyle w:val="Heading2"/>
        <w:spacing w:after="150" w:before="300"/>
      </w:pPr>
      <w:r>
        <w:rPr>
          <w:rFonts w:ascii="Arial" w:cs="Arial" w:eastAsia="Arial" w:hAnsi="Arial"/>
          <w:b/>
          <w:bCs/>
          <w:color w:val="16A34A"/>
          <w:sz w:val="28"/>
          <w:szCs w:val="28"/>
        </w:rPr>
        <w:t xml:space="preserve">3.2 Rutas (src/routes/)</w:t>
      </w:r>
    </w:p>
    <w:p>
      <w:pPr>
        <w:pStyle w:val="ListParagraph"/>
        <w:numPr>
          <w:ilvl w:val="0"/>
          <w:numId w:val="5"/>
        </w:numPr>
        <w:spacing w:after="80"/>
      </w:pPr>
      <w:r>
        <w:rPr>
          <w:rFonts w:ascii="Arial" w:cs="Arial" w:eastAsia="Arial" w:hAnsi="Arial"/>
          <w:b/>
          <w:bCs/>
          <w:sz w:val="22"/>
          <w:szCs w:val="22"/>
        </w:rPr>
        <w:t xml:space="preserve">router.jsx</w:t>
      </w:r>
      <w:r>
        <w:rPr>
          <w:rFonts w:ascii="Arial" w:cs="Arial" w:eastAsia="Arial" w:hAnsi="Arial"/>
          <w:sz w:val="22"/>
          <w:szCs w:val="22"/>
        </w:rPr>
        <w:t xml:space="preserve"> — definición del árbol de rutas con React Router 7</w:t>
      </w:r>
    </w:p>
    <w:p>
      <w:pPr>
        <w:pStyle w:val="ListParagraph"/>
        <w:numPr>
          <w:ilvl w:val="0"/>
          <w:numId w:val="5"/>
        </w:numPr>
        <w:spacing w:after="80"/>
      </w:pPr>
      <w:r>
        <w:rPr>
          <w:rFonts w:ascii="Arial" w:cs="Arial" w:eastAsia="Arial" w:hAnsi="Arial"/>
          <w:b/>
          <w:bCs/>
          <w:sz w:val="22"/>
          <w:szCs w:val="22"/>
        </w:rPr>
        <w:t xml:space="preserve">ProtectedRoute.jsx</w:t>
      </w:r>
      <w:r>
        <w:rPr>
          <w:rFonts w:ascii="Arial" w:cs="Arial" w:eastAsia="Arial" w:hAnsi="Arial"/>
          <w:sz w:val="22"/>
          <w:szCs w:val="22"/>
        </w:rPr>
        <w:t xml:space="preserve"> — exige sesión activa; redirige a /login si no la hay</w:t>
      </w:r>
    </w:p>
    <w:p>
      <w:pPr>
        <w:pStyle w:val="ListParagraph"/>
        <w:numPr>
          <w:ilvl w:val="0"/>
          <w:numId w:val="5"/>
        </w:numPr>
        <w:spacing w:after="80"/>
      </w:pPr>
      <w:r>
        <w:rPr>
          <w:rFonts w:ascii="Arial" w:cs="Arial" w:eastAsia="Arial" w:hAnsi="Arial"/>
          <w:b/>
          <w:bCs/>
          <w:sz w:val="22"/>
          <w:szCs w:val="22"/>
        </w:rPr>
        <w:t xml:space="preserve">RoleGuard.jsx + roleRoutes.js</w:t>
      </w:r>
      <w:r>
        <w:rPr>
          <w:rFonts w:ascii="Arial" w:cs="Arial" w:eastAsia="Arial" w:hAnsi="Arial"/>
          <w:sz w:val="22"/>
          <w:szCs w:val="22"/>
        </w:rPr>
        <w:t xml:space="preserve"> — exige que el rol activo esté en </w:t>
      </w:r>
      <w:r>
        <w:rPr>
          <w:rFonts w:ascii="Arial" w:cs="Arial" w:eastAsia="Arial" w:hAnsi="Arial"/>
          <w:color w:val="B91C1C"/>
          <w:sz w:val="22"/>
          <w:szCs w:val="22"/>
        </w:rPr>
        <w:t xml:space="preserve">ROUTE_ROLES</w:t>
      </w:r>
      <w:r>
        <w:rPr>
          <w:rFonts w:ascii="Arial" w:cs="Arial" w:eastAsia="Arial" w:hAnsi="Arial"/>
          <w:sz w:val="22"/>
          <w:szCs w:val="22"/>
        </w:rPr>
        <w:t xml:space="preserve"> para la ruta; ver Sección 5.2</w:t>
      </w:r>
    </w:p>
    <w:p>
      <w:pPr>
        <w:pStyle w:val="ListParagraph"/>
        <w:numPr>
          <w:ilvl w:val="0"/>
          <w:numId w:val="5"/>
        </w:numPr>
        <w:spacing w:after="80"/>
      </w:pPr>
      <w:r>
        <w:rPr>
          <w:rFonts w:ascii="Arial" w:cs="Arial" w:eastAsia="Arial" w:hAnsi="Arial"/>
          <w:b/>
          <w:bCs/>
          <w:sz w:val="22"/>
          <w:szCs w:val="22"/>
        </w:rPr>
        <w:t xml:space="preserve">RootRedirect.jsx</w:t>
      </w:r>
      <w:r>
        <w:rPr>
          <w:rFonts w:ascii="Arial" w:cs="Arial" w:eastAsia="Arial" w:hAnsi="Arial"/>
          <w:sz w:val="22"/>
          <w:szCs w:val="22"/>
        </w:rPr>
        <w:t xml:space="preserve"> — resuelve a dónde enviar al usuario según su rol al entrar a "/"</w:t>
      </w:r>
    </w:p>
    <w:p>
      <w:r>
        <w:br w:type="page"/>
      </w:r>
    </w:p>
    <w:p>
      <w:pPr>
        <w:pStyle w:val="Heading1"/>
        <w:spacing w:after="200" w:before="400"/>
      </w:pPr>
      <w:r>
        <w:rPr>
          <w:rFonts w:ascii="Arial" w:cs="Arial" w:eastAsia="Arial" w:hAnsi="Arial"/>
          <w:b/>
          <w:bCs/>
          <w:color w:val="0F172A"/>
          <w:sz w:val="32"/>
          <w:szCs w:val="32"/>
        </w:rPr>
        <w:t xml:space="preserve">4. Modelo de Datos</w:t>
      </w:r>
    </w:p>
    <w:p>
      <w:pPr>
        <w:spacing w:after="120"/>
      </w:pPr>
      <w:r>
        <w:rPr>
          <w:rFonts w:ascii="Arial" w:cs="Arial" w:eastAsia="Arial" w:hAnsi="Arial"/>
          <w:sz w:val="22"/>
          <w:szCs w:val="22"/>
        </w:rPr>
        <w:t xml:space="preserve">La base de datos vive en Supabase (PostgreSQL). El esquema base está versionado en </w:t>
      </w:r>
      <w:r>
        <w:rPr>
          <w:rFonts w:ascii="Arial" w:cs="Arial" w:eastAsia="Arial" w:hAnsi="Arial"/>
          <w:color w:val="B91C1C"/>
          <w:sz w:val="20"/>
          <w:szCs w:val="20"/>
        </w:rPr>
        <w:t xml:space="preserve">supabase/schema.sql</w:t>
      </w:r>
      <w:r>
        <w:rPr>
          <w:rFonts w:ascii="Arial" w:cs="Arial" w:eastAsia="Arial" w:hAnsi="Arial"/>
          <w:sz w:val="22"/>
          <w:szCs w:val="22"/>
        </w:rPr>
        <w:t xml:space="preserve">, con extensiones incrementales en </w:t>
      </w:r>
      <w:r>
        <w:rPr>
          <w:rFonts w:ascii="Arial" w:cs="Arial" w:eastAsia="Arial" w:hAnsi="Arial"/>
          <w:color w:val="B91C1C"/>
          <w:sz w:val="20"/>
          <w:szCs w:val="20"/>
        </w:rPr>
        <w:t xml:space="preserve">supabase/sprint2_functions.sql</w:t>
      </w:r>
      <w:r>
        <w:rPr>
          <w:rFonts w:ascii="Arial" w:cs="Arial" w:eastAsia="Arial" w:hAnsi="Arial"/>
          <w:sz w:val="22"/>
          <w:szCs w:val="22"/>
        </w:rPr>
        <w:t xml:space="preserve">, </w:t>
      </w:r>
      <w:r>
        <w:rPr>
          <w:rFonts w:ascii="Arial" w:cs="Arial" w:eastAsia="Arial" w:hAnsi="Arial"/>
          <w:color w:val="B91C1C"/>
          <w:sz w:val="20"/>
          <w:szCs w:val="20"/>
        </w:rPr>
        <w:t xml:space="preserve">supabase/sprint3_functions.sql</w:t>
      </w:r>
      <w:r>
        <w:rPr>
          <w:rFonts w:ascii="Arial" w:cs="Arial" w:eastAsia="Arial" w:hAnsi="Arial"/>
          <w:sz w:val="22"/>
          <w:szCs w:val="22"/>
        </w:rPr>
        <w:t xml:space="preserve"> y </w:t>
      </w:r>
      <w:r>
        <w:rPr>
          <w:rFonts w:ascii="Arial" w:cs="Arial" w:eastAsia="Arial" w:hAnsi="Arial"/>
          <w:color w:val="B91C1C"/>
          <w:sz w:val="20"/>
          <w:szCs w:val="20"/>
        </w:rPr>
        <w:t xml:space="preserve">supabase/fix_rls_setup.sql</w:t>
      </w:r>
      <w:r>
        <w:rPr>
          <w:rFonts w:ascii="Arial" w:cs="Arial" w:eastAsia="Arial" w:hAnsi="Arial"/>
          <w:sz w:val="22"/>
          <w:szCs w:val="22"/>
        </w:rPr>
        <w:t xml:space="preserve">.</w:t>
      </w:r>
    </w:p>
    <w:p>
      <w:pPr>
        <w:spacing w:after="80" w:before="200"/>
        <w:jc w:val="center"/>
      </w:pPr>
      <w:r>
        <w:drawing>
          <wp:inline distT="0" distB="0" distL="0" distR="0">
            <wp:extent cx="59436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181350"/>
                    </a:xfrm>
                    <a:prstGeom prst="rect">
                      <a:avLst/>
                    </a:prstGeom>
                  </pic:spPr>
                </pic:pic>
              </a:graphicData>
            </a:graphic>
          </wp:inline>
        </w:drawing>
      </w:r>
    </w:p>
    <w:p>
      <w:pPr>
        <w:spacing w:after="240"/>
        <w:jc w:val="center"/>
      </w:pPr>
      <w:r>
        <w:rPr>
          <w:rFonts w:ascii="Arial" w:cs="Arial" w:eastAsia="Arial" w:hAnsi="Arial"/>
          <w:i/>
          <w:iCs/>
          <w:color w:val="64748B"/>
          <w:sz w:val="19"/>
          <w:szCs w:val="19"/>
        </w:rPr>
        <w:t xml:space="preserve">Figura 3. Modelo de datos agrupado por dominio funcional.</w:t>
      </w:r>
    </w:p>
    <w:p>
      <w:pPr>
        <w:pStyle w:val="Heading2"/>
        <w:spacing w:after="150" w:before="300"/>
      </w:pPr>
      <w:r>
        <w:rPr>
          <w:rFonts w:ascii="Arial" w:cs="Arial" w:eastAsia="Arial" w:hAnsi="Arial"/>
          <w:b/>
          <w:bCs/>
          <w:color w:val="16A34A"/>
          <w:sz w:val="28"/>
          <w:szCs w:val="28"/>
        </w:rPr>
        <w:t xml:space="preserve">4.1 Identidad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33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Campos clave</w:t>
            </w:r>
          </w:p>
        </w:tc>
        <w:tc>
          <w:tcPr>
            <w:tcW w:type="dxa" w:w="42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profiles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id (= auth.users.id), full_name, pin, is_active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pin es el código de 4 dígitos para el cambio rápido de cajero</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roles</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id, name</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'superadmin' · 'admin' · 'cajero' · 'repositor'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user_roles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user_id, role_id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Un usuario puede tener varios roles (unique por par)</w:t>
            </w:r>
          </w:p>
        </w:tc>
      </w:tr>
    </w:tbl>
    <w:p>
      <w:pPr>
        <w:pStyle w:val="Heading2"/>
        <w:spacing w:after="150" w:before="300"/>
      </w:pPr>
      <w:r>
        <w:rPr>
          <w:rFonts w:ascii="Arial" w:cs="Arial" w:eastAsia="Arial" w:hAnsi="Arial"/>
          <w:b/>
          <w:bCs/>
          <w:color w:val="16A34A"/>
          <w:sz w:val="28"/>
          <w:szCs w:val="28"/>
        </w:rPr>
        <w:t xml:space="preserve">4.2 Catálogo y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33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Campos clave</w:t>
            </w:r>
          </w:p>
        </w:tc>
        <w:tc>
          <w:tcPr>
            <w:tcW w:type="dxa" w:w="42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categories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id, name, description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products</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sku, barcode, price_cost, price_sell, iva_rate, iva_included, min_stock, has_expiry</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iva_included define si price_sell ya trae el IVA adentro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locations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id, name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Fijas: 'Depósito' y 'En Estantería'</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stock</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product_id, location_id, quantity</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Unique por (product_id, location_id)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stock_movements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movement_type, from/to_location_id, reference_type/id, expiry_date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Tipos: venta · compra · ajuste · traslado · devolución · vencimiento</w:t>
            </w:r>
          </w:p>
        </w:tc>
      </w:tr>
    </w:tbl>
    <w:p>
      <w:pPr>
        <w:pStyle w:val="Heading2"/>
        <w:spacing w:after="150" w:before="300"/>
      </w:pPr>
      <w:r>
        <w:rPr>
          <w:rFonts w:ascii="Arial" w:cs="Arial" w:eastAsia="Arial" w:hAnsi="Arial"/>
          <w:b/>
          <w:bCs/>
          <w:color w:val="16A34A"/>
          <w:sz w:val="28"/>
          <w:szCs w:val="28"/>
        </w:rPr>
        <w:t xml:space="preserve">4.3 Ventas y caja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33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Campos clave</w:t>
            </w:r>
          </w:p>
        </w:tc>
        <w:tc>
          <w:tcPr>
            <w:tcW w:type="dxa" w:w="42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cash_registers / cash_sessions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opening_amount, closing_amount, status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status: 'open' · 'closed'. Cerrar caja no obliga a abrir una nueva</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sales</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sale_number (autoincremental), subtotal, discount_total, iva_total, total, receipt_type, status</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receipt_type: ticket · factura_a/b/c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sale_items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quantity, unit_price, iva_rate, discount_amount, subtotal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sale_payments</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method, amount, reference</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method: efectivo · debito · credito · qr · transferencia · cuenta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returns / return_items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reason, quantity, subtotal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Restauración de stock es opcional (checkbox) desde Sprint 5+</w:t>
            </w:r>
          </w:p>
        </w:tc>
      </w:tr>
    </w:tbl>
    <w:p>
      <w:pPr>
        <w:pStyle w:val="Heading2"/>
        <w:spacing w:after="150" w:before="300"/>
      </w:pPr>
      <w:r>
        <w:rPr>
          <w:rFonts w:ascii="Arial" w:cs="Arial" w:eastAsia="Arial" w:hAnsi="Arial"/>
          <w:b/>
          <w:bCs/>
          <w:color w:val="16A34A"/>
          <w:sz w:val="28"/>
          <w:szCs w:val="28"/>
        </w:rPr>
        <w:t xml:space="preserve">4.4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33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Campos clave</w:t>
            </w:r>
          </w:p>
        </w:tc>
        <w:tc>
          <w:tcPr>
            <w:tcW w:type="dxa" w:w="42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customers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credit_limit, current_balance, discount_percent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current_balance positivo = el cliente debe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customer_payments</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customer_id, amount, method, notes</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Ver nota de esquema no versionado más abajo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20"/>
              <w:left w:type="dxa" w:w="200"/>
              <w:bottom w:type="dxa" w:w="120"/>
              <w:right w:type="dxa" w:w="200"/>
            </w:tcMar>
          </w:tcPr>
          <w:p>
            <w:pPr>
              <w:spacing w:after="60"/>
            </w:pPr>
            <w:r>
              <w:rPr>
                <w:rFonts w:ascii="Arial" w:cs="Arial" w:eastAsia="Arial" w:hAnsi="Arial"/>
                <w:b/>
                <w:bCs/>
                <w:color w:val="0F172A"/>
                <w:sz w:val="22"/>
                <w:szCs w:val="22"/>
              </w:rPr>
              <w:t xml:space="preserve">⚠️ Importante</w:t>
            </w:r>
          </w:p>
          <w:p>
            <w:r>
              <w:rPr>
                <w:rFonts w:ascii="Arial" w:cs="Arial" w:eastAsia="Arial" w:hAnsi="Arial"/>
                <w:color w:val="64748B"/>
                <w:sz w:val="20"/>
                <w:szCs w:val="20"/>
              </w:rPr>
              <w:t xml:space="preserve">La tabla customer_payments existe y está en uso en producción (customerService.js: registerPayment, getAccountStatement) pero NO está definida en supabase/schema.sql — se creó directamente desde el dashboard de Supabase en algún momento posterior al Sprint 7. Si vas a recrear la base desde cero con los .sql versionados, esta tabla va a faltar. Se recomienda agregar su definición a un nuevo archivo de migración versionado.</w:t>
            </w:r>
          </w:p>
        </w:tc>
      </w:tr>
    </w:tbl>
    <w:p>
      <w:pPr>
        <w:pStyle w:val="Heading2"/>
        <w:spacing w:after="150" w:before="300"/>
      </w:pPr>
      <w:r>
        <w:rPr>
          <w:rFonts w:ascii="Arial" w:cs="Arial" w:eastAsia="Arial" w:hAnsi="Arial"/>
          <w:b/>
          <w:bCs/>
          <w:color w:val="16A34A"/>
          <w:sz w:val="28"/>
          <w:szCs w:val="28"/>
        </w:rPr>
        <w:t xml:space="preserve">4.5 Proveedores y compras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33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Campos clave</w:t>
            </w:r>
          </w:p>
        </w:tc>
        <w:tc>
          <w:tcPr>
            <w:tcW w:type="dxa" w:w="42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suppliers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razon_social, cuit, payment_condition, delivery_days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product_suppliers</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supplier_sku, purchase_price, is_preferred</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Relación producto ↔ proveedor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purchase_notes / _items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note_number, status, quantity_requested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status: draft · submitted · approved · rejected · converted</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purchase_orders / _items</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order_number, status, quantity_received</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status: pending · confirmed · received · cancelled</w:t>
            </w:r>
          </w:p>
        </w:tc>
      </w:tr>
    </w:tbl>
    <w:p>
      <w:pPr>
        <w:pStyle w:val="Heading2"/>
        <w:spacing w:after="150" w:before="300"/>
      </w:pPr>
      <w:r>
        <w:rPr>
          <w:rFonts w:ascii="Arial" w:cs="Arial" w:eastAsia="Arial" w:hAnsi="Arial"/>
          <w:b/>
          <w:bCs/>
          <w:color w:val="16A34A"/>
          <w:sz w:val="28"/>
          <w:szCs w:val="28"/>
        </w:rPr>
        <w:t xml:space="preserve">4.6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33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Campos clave</w:t>
            </w:r>
          </w:p>
        </w:tc>
        <w:tc>
          <w:tcPr>
            <w:tcW w:type="dxa" w:w="42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app_settings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key, value, description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Key/value libre — ver Sección 11.3 para las keys usadas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discounts</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type, value, min_quantity, free_quantity, product_id, category_id</w:t>
            </w:r>
          </w:p>
        </w:tc>
        <w:tc>
          <w:tcPr>
            <w:tcW w:type="dxa" w:w="4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type: percentage_total · fixed_total · product · category · quantity_rule</w:t>
            </w:r>
          </w:p>
        </w:tc>
      </w:tr>
    </w:tbl>
    <w:p>
      <w:pPr>
        <w:pStyle w:val="Heading2"/>
        <w:spacing w:after="150" w:before="300"/>
      </w:pPr>
      <w:r>
        <w:rPr>
          <w:rFonts w:ascii="Arial" w:cs="Arial" w:eastAsia="Arial" w:hAnsi="Arial"/>
          <w:b/>
          <w:bCs/>
          <w:color w:val="16A34A"/>
          <w:sz w:val="28"/>
          <w:szCs w:val="28"/>
        </w:rPr>
        <w:t xml:space="preserve">4.7 Cuentas corrientes por período</w:t>
      </w:r>
    </w:p>
    <w:p>
      <w:pPr>
        <w:spacing w:after="120"/>
      </w:pPr>
      <w:r>
        <w:rPr>
          <w:rFonts w:ascii="Arial" w:cs="Arial" w:eastAsia="Arial" w:hAnsi="Arial"/>
          <w:sz w:val="22"/>
          <w:szCs w:val="22"/>
        </w:rPr>
        <w:t xml:space="preserve">El estado de cuenta de un cliente (</w:t>
      </w:r>
      <w:r>
        <w:rPr>
          <w:rFonts w:ascii="Arial" w:cs="Arial" w:eastAsia="Arial" w:hAnsi="Arial"/>
          <w:color w:val="B91C1C"/>
          <w:sz w:val="20"/>
          <w:szCs w:val="20"/>
        </w:rPr>
        <w:t xml:space="preserve">customerService.getAccountStatement</w:t>
      </w:r>
      <w:r>
        <w:rPr>
          <w:rFonts w:ascii="Arial" w:cs="Arial" w:eastAsia="Arial" w:hAnsi="Arial"/>
          <w:sz w:val="22"/>
          <w:szCs w:val="22"/>
        </w:rPr>
        <w:t xml:space="preserve">) combina ventas pagadas con method='cuenta' (débitos) y filas de </w:t>
      </w:r>
      <w:r>
        <w:rPr>
          <w:rFonts w:ascii="Arial" w:cs="Arial" w:eastAsia="Arial" w:hAnsi="Arial"/>
          <w:color w:val="B91C1C"/>
          <w:sz w:val="20"/>
          <w:szCs w:val="20"/>
        </w:rPr>
        <w:t xml:space="preserve">customer_payments</w:t>
      </w:r>
      <w:r>
        <w:rPr>
          <w:rFonts w:ascii="Arial" w:cs="Arial" w:eastAsia="Arial" w:hAnsi="Arial"/>
          <w:sz w:val="22"/>
          <w:szCs w:val="22"/>
        </w:rPr>
        <w:t xml:space="preserve"> (créditos), las ordena cronológicamente y calcula un saldo acumulado. Por defecto (</w:t>
      </w:r>
      <w:r>
        <w:rPr>
          <w:rFonts w:ascii="Arial" w:cs="Arial" w:eastAsia="Arial" w:hAnsi="Arial"/>
          <w:color w:val="B91C1C"/>
          <w:sz w:val="20"/>
          <w:szCs w:val="20"/>
        </w:rPr>
        <w:t xml:space="preserve">showAll: false</w:t>
      </w:r>
      <w:r>
        <w:rPr>
          <w:rFonts w:ascii="Arial" w:cs="Arial" w:eastAsia="Arial" w:hAnsi="Arial"/>
          <w:sz w:val="22"/>
          <w:szCs w:val="22"/>
        </w:rPr>
        <w:t xml:space="preserve">) solo devuelve los movimientos </w:t>
      </w:r>
      <w:r>
        <w:rPr>
          <w:rFonts w:ascii="Arial" w:cs="Arial" w:eastAsia="Arial" w:hAnsi="Arial"/>
          <w:b/>
          <w:bCs/>
          <w:sz w:val="22"/>
          <w:szCs w:val="22"/>
        </w:rPr>
        <w:t xml:space="preserve">posteriores al último saldo en $0</w:t>
      </w:r>
      <w:r>
        <w:rPr>
          <w:rFonts w:ascii="Arial" w:cs="Arial" w:eastAsia="Arial" w:hAnsi="Arial"/>
          <w:sz w:val="22"/>
          <w:szCs w:val="22"/>
        </w:rPr>
        <w:t xml:space="preserve">, es decir, el período de deuda activo — no todo el historial. Esto evita que un cliente que ya saldó su deuda vieja siga viendo ese historial mezclado con la deuda nueva.</w:t>
      </w:r>
    </w:p>
    <w:p>
      <w:r>
        <w:br w:type="page"/>
      </w:r>
    </w:p>
    <w:p>
      <w:pPr>
        <w:pStyle w:val="Heading1"/>
        <w:spacing w:after="200" w:before="400"/>
      </w:pPr>
      <w:r>
        <w:rPr>
          <w:rFonts w:ascii="Arial" w:cs="Arial" w:eastAsia="Arial" w:hAnsi="Arial"/>
          <w:b/>
          <w:bCs/>
          <w:color w:val="0F172A"/>
          <w:sz w:val="32"/>
          <w:szCs w:val="32"/>
        </w:rPr>
        <w:t xml:space="preserve">5. Autenticación, Roles y Seguridad</w:t>
      </w:r>
    </w:p>
    <w:p>
      <w:pPr>
        <w:spacing w:after="80" w:before="200"/>
        <w:jc w:val="center"/>
      </w:pPr>
      <w:r>
        <w:drawing>
          <wp:inline distT="0" distB="0" distL="0" distR="0">
            <wp:extent cx="59436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5124450"/>
                    </a:xfrm>
                    <a:prstGeom prst="rect">
                      <a:avLst/>
                    </a:prstGeom>
                  </pic:spPr>
                </pic:pic>
              </a:graphicData>
            </a:graphic>
          </wp:inline>
        </w:drawing>
      </w:r>
    </w:p>
    <w:p>
      <w:pPr>
        <w:spacing w:after="240"/>
        <w:jc w:val="center"/>
      </w:pPr>
      <w:r>
        <w:rPr>
          <w:rFonts w:ascii="Arial" w:cs="Arial" w:eastAsia="Arial" w:hAnsi="Arial"/>
          <w:i/>
          <w:iCs/>
          <w:color w:val="64748B"/>
          <w:sz w:val="19"/>
          <w:szCs w:val="19"/>
        </w:rPr>
        <w:t xml:space="preserve">Figura 4. Flujo de autenticación y control de acceso por rol.</w:t>
      </w:r>
    </w:p>
    <w:p>
      <w:pPr>
        <w:pStyle w:val="Heading2"/>
        <w:spacing w:after="150" w:before="300"/>
      </w:pPr>
      <w:r>
        <w:rPr>
          <w:rFonts w:ascii="Arial" w:cs="Arial" w:eastAsia="Arial" w:hAnsi="Arial"/>
          <w:b/>
          <w:bCs/>
          <w:color w:val="16A34A"/>
          <w:sz w:val="28"/>
          <w:szCs w:val="28"/>
        </w:rPr>
        <w:t xml:space="preserve">5.1 Setup inicial</w:t>
      </w:r>
    </w:p>
    <w:p>
      <w:pPr>
        <w:spacing w:after="120"/>
      </w:pPr>
      <w:r>
        <w:rPr>
          <w:rFonts w:ascii="Arial" w:cs="Arial" w:eastAsia="Arial" w:hAnsi="Arial"/>
          <w:sz w:val="22"/>
          <w:szCs w:val="22"/>
        </w:rPr>
        <w:t xml:space="preserve">Si la base de datos no tiene ningún usuario, la app muestra el </w:t>
      </w:r>
      <w:r>
        <w:rPr>
          <w:rFonts w:ascii="Arial" w:cs="Arial" w:eastAsia="Arial" w:hAnsi="Arial"/>
          <w:b/>
          <w:bCs/>
          <w:sz w:val="22"/>
          <w:szCs w:val="22"/>
        </w:rPr>
        <w:t xml:space="preserve">SetupWizard</w:t>
      </w:r>
      <w:r>
        <w:rPr>
          <w:rFonts w:ascii="Arial" w:cs="Arial" w:eastAsia="Arial" w:hAnsi="Arial"/>
          <w:sz w:val="22"/>
          <w:szCs w:val="22"/>
        </w:rPr>
        <w:t xml:space="preserve"> (4 pasos: datos del negocio, cuenta del superadmin, PIN, confirmación). Como todavía no existe sesión, la creación se resuelve con:</w:t>
      </w:r>
    </w:p>
    <w:p>
      <w:pPr>
        <w:pStyle w:val="ListParagraph"/>
        <w:numPr>
          <w:ilvl w:val="0"/>
          <w:numId w:val="6"/>
        </w:numPr>
        <w:spacing w:after="80"/>
      </w:pPr>
      <w:r>
        <w:rPr>
          <w:rFonts w:ascii="Arial" w:cs="Arial" w:eastAsia="Arial" w:hAnsi="Arial"/>
          <w:sz w:val="22"/>
          <w:szCs w:val="22"/>
        </w:rPr>
        <w:t xml:space="preserve">supabase.auth.signUp() — crea el usuario en Supabase Auth sin requerir sesión previa.</w:t>
      </w:r>
    </w:p>
    <w:p>
      <w:pPr>
        <w:pStyle w:val="ListParagraph"/>
        <w:numPr>
          <w:ilvl w:val="0"/>
          <w:numId w:val="6"/>
        </w:numPr>
        <w:spacing w:after="80"/>
      </w:pPr>
      <w:r>
        <w:rPr>
          <w:rFonts w:ascii="Arial" w:cs="Arial" w:eastAsia="Arial" w:hAnsi="Arial"/>
          <w:sz w:val="22"/>
          <w:szCs w:val="22"/>
        </w:rPr>
        <w:t xml:space="preserve">RPC complete_initial_setup() — con SECURITY DEFINER, bypasea RLS para insertar el perfil, asignar el rol superadmin y guardar la configuración del negocio en app_settings, todo en una transacción.</w:t>
      </w:r>
    </w:p>
    <w:p>
      <w:pPr>
        <w:spacing w:after="120"/>
      </w:pPr>
      <w:r>
        <w:rPr>
          <w:rFonts w:ascii="Arial" w:cs="Arial" w:eastAsia="Arial" w:hAnsi="Arial"/>
          <w:sz w:val="22"/>
          <w:szCs w:val="22"/>
        </w:rPr>
        <w:t xml:space="preserve">Esta función RPC valida internamente que </w:t>
      </w:r>
      <w:r>
        <w:rPr>
          <w:rFonts w:ascii="Arial" w:cs="Arial" w:eastAsia="Arial" w:hAnsi="Arial"/>
          <w:color w:val="B91C1C"/>
          <w:sz w:val="20"/>
          <w:szCs w:val="20"/>
        </w:rPr>
        <w:t xml:space="preserve">setup_completed</w:t>
      </w:r>
      <w:r>
        <w:rPr>
          <w:rFonts w:ascii="Arial" w:cs="Arial" w:eastAsia="Arial" w:hAnsi="Arial"/>
          <w:sz w:val="22"/>
          <w:szCs w:val="22"/>
        </w:rPr>
        <w:t xml:space="preserve"> no esté ya en 'true' antes de proceder, para que no se pueda re-ejecutar el setup una vez configurado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60"/>
            </w:pPr>
            <w:r>
              <w:rPr>
                <w:rFonts w:ascii="Arial" w:cs="Arial" w:eastAsia="Arial" w:hAnsi="Arial"/>
                <w:b/>
                <w:bCs/>
                <w:color w:val="0F172A"/>
                <w:sz w:val="22"/>
                <w:szCs w:val="22"/>
              </w:rPr>
              <w:t xml:space="preserve">ℹ️ Nota técnica</w:t>
            </w:r>
          </w:p>
          <w:p>
            <w:r>
              <w:rPr>
                <w:rFonts w:ascii="Arial" w:cs="Arial" w:eastAsia="Arial" w:hAnsi="Arial"/>
                <w:color w:val="64748B"/>
                <w:sz w:val="20"/>
                <w:szCs w:val="20"/>
              </w:rPr>
              <w:t xml:space="preserve">authService.checkSetupCompleted() distingue un error "fila no encontrada" (PGRST116 → nunca se hizo el setup) de cualquier otro error (caída de red, RLS, etc. → se propaga la excepción). Antes de este fix, un error de red se interpretaba como "no configurado" y mandaba a un usuario ya configurado al wizard.</w:t>
            </w:r>
          </w:p>
        </w:tc>
      </w:tr>
    </w:tbl>
    <w:p>
      <w:pPr>
        <w:pStyle w:val="Heading2"/>
        <w:spacing w:after="150" w:before="300"/>
      </w:pPr>
      <w:r>
        <w:rPr>
          <w:rFonts w:ascii="Arial" w:cs="Arial" w:eastAsia="Arial" w:hAnsi="Arial"/>
          <w:b/>
          <w:bCs/>
          <w:color w:val="16A34A"/>
          <w:sz w:val="28"/>
          <w:szCs w:val="28"/>
        </w:rPr>
        <w:t xml:space="preserve">5.2 Roles y rutas protegidas</w:t>
      </w:r>
    </w:p>
    <w:p>
      <w:pPr>
        <w:spacing w:after="120"/>
      </w:pPr>
      <w:r>
        <w:rPr>
          <w:rFonts w:ascii="Arial" w:cs="Arial" w:eastAsia="Arial" w:hAnsi="Arial"/>
          <w:sz w:val="22"/>
          <w:szCs w:val="22"/>
        </w:rPr>
        <w:t xml:space="preserve">El mapeo de roles a rutas está centralizado en </w:t>
      </w:r>
      <w:r>
        <w:rPr>
          <w:rFonts w:ascii="Arial" w:cs="Arial" w:eastAsia="Arial" w:hAnsi="Arial"/>
          <w:color w:val="B91C1C"/>
          <w:sz w:val="20"/>
          <w:szCs w:val="20"/>
        </w:rPr>
        <w:t xml:space="preserve">src/routes/roleRoutes.js</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58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Roles permitidos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/admin/dashboard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superadmin, admin</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/pos</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superadmin, admin, cajero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/stock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superadmin, admin, cajero (lectura), repositor</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/suppliers</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superadmin, admin, repositor (solo notas)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/customers, /reports, /admin/users, /admin/discounts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superadmin, admin</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/admin/settings</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superadmin exclusivamente</w:t>
            </w:r>
          </w:p>
        </w:tc>
      </w:tr>
    </w:tbl>
    <w:p>
      <w:pPr>
        <w:spacing w:after="120"/>
      </w:pPr>
      <w:r>
        <w:rPr>
          <w:rFonts w:ascii="Arial" w:cs="Arial" w:eastAsia="Arial" w:hAnsi="Arial"/>
          <w:sz w:val="22"/>
          <w:szCs w:val="22"/>
        </w:rPr>
        <w:t xml:space="preserve">RoleGuard compara el rol activo contra esta tabla; si no coincide, redirige a </w:t>
      </w:r>
      <w:r>
        <w:rPr>
          <w:rFonts w:ascii="Arial" w:cs="Arial" w:eastAsia="Arial" w:hAnsi="Arial"/>
          <w:color w:val="B91C1C"/>
          <w:sz w:val="20"/>
          <w:szCs w:val="20"/>
        </w:rPr>
        <w:t xml:space="preserve">ROLE_HOME[activeRole]</w:t>
      </w:r>
      <w:r>
        <w:rPr>
          <w:rFonts w:ascii="Arial" w:cs="Arial" w:eastAsia="Arial" w:hAnsi="Arial"/>
          <w:sz w:val="22"/>
          <w:szCs w:val="22"/>
        </w:rPr>
        <w:t xml:space="preserve"> (dashboard para admin/superadmin, /pos para cajero, /stock para repositor) en vez de mostrar un error.</w:t>
      </w:r>
    </w:p>
    <w:p>
      <w:pPr>
        <w:pStyle w:val="Heading2"/>
        <w:spacing w:after="150" w:before="300"/>
      </w:pPr>
      <w:r>
        <w:rPr>
          <w:rFonts w:ascii="Arial" w:cs="Arial" w:eastAsia="Arial" w:hAnsi="Arial"/>
          <w:b/>
          <w:bCs/>
          <w:color w:val="16A34A"/>
          <w:sz w:val="28"/>
          <w:szCs w:val="28"/>
        </w:rPr>
        <w:t xml:space="preserve">5.3 Cambio rápido de cajero (PIN)</w:t>
      </w:r>
    </w:p>
    <w:p>
      <w:pPr>
        <w:spacing w:after="120"/>
      </w:pPr>
      <w:r>
        <w:rPr>
          <w:rFonts w:ascii="Arial" w:cs="Arial" w:eastAsia="Arial" w:hAnsi="Arial"/>
          <w:sz w:val="22"/>
          <w:szCs w:val="22"/>
        </w:rPr>
        <w:t xml:space="preserve">Desde el POS, un cajero puede ceder el turno a otro sin cerrar sesión: PinSwitchModal pide el PIN numérico (4 dígitos) del usuario entrante, </w:t>
      </w:r>
      <w:r>
        <w:rPr>
          <w:rFonts w:ascii="Arial" w:cs="Arial" w:eastAsia="Arial" w:hAnsi="Arial"/>
          <w:color w:val="B91C1C"/>
          <w:sz w:val="20"/>
          <w:szCs w:val="20"/>
        </w:rPr>
        <w:t xml:space="preserve">verifyPin()</w:t>
      </w:r>
      <w:r>
        <w:rPr>
          <w:rFonts w:ascii="Arial" w:cs="Arial" w:eastAsia="Arial" w:hAnsi="Arial"/>
          <w:sz w:val="22"/>
          <w:szCs w:val="22"/>
        </w:rPr>
        <w:t xml:space="preserve"> lo valida contra </w:t>
      </w:r>
      <w:r>
        <w:rPr>
          <w:rFonts w:ascii="Arial" w:cs="Arial" w:eastAsia="Arial" w:hAnsi="Arial"/>
          <w:color w:val="B91C1C"/>
          <w:sz w:val="20"/>
          <w:szCs w:val="20"/>
        </w:rPr>
        <w:t xml:space="preserve">profiles.pin</w:t>
      </w:r>
      <w:r>
        <w:rPr>
          <w:rFonts w:ascii="Arial" w:cs="Arial" w:eastAsia="Arial" w:hAnsi="Arial"/>
          <w:sz w:val="22"/>
          <w:szCs w:val="22"/>
        </w:rPr>
        <w:t xml:space="preserve"> y actualiza el cajero asociado a la sesión de caja activa.</w:t>
      </w:r>
    </w:p>
    <w:p>
      <w:pPr>
        <w:pStyle w:val="Heading2"/>
        <w:spacing w:after="150" w:before="300"/>
      </w:pPr>
      <w:r>
        <w:rPr>
          <w:rFonts w:ascii="Arial" w:cs="Arial" w:eastAsia="Arial" w:hAnsi="Arial"/>
          <w:b/>
          <w:bCs/>
          <w:color w:val="16A34A"/>
          <w:sz w:val="28"/>
          <w:szCs w:val="28"/>
        </w:rPr>
        <w:t xml:space="preserve">5.4 Estado real de Row Level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20"/>
              <w:left w:type="dxa" w:w="200"/>
              <w:bottom w:type="dxa" w:w="120"/>
              <w:right w:type="dxa" w:w="200"/>
            </w:tcMar>
          </w:tcPr>
          <w:p>
            <w:pPr>
              <w:spacing w:after="60"/>
            </w:pPr>
            <w:r>
              <w:rPr>
                <w:rFonts w:ascii="Arial" w:cs="Arial" w:eastAsia="Arial" w:hAnsi="Arial"/>
                <w:b/>
                <w:bCs/>
                <w:color w:val="0F172A"/>
                <w:sz w:val="22"/>
                <w:szCs w:val="22"/>
              </w:rPr>
              <w:t xml:space="preserve">⚠️ Importante</w:t>
            </w:r>
          </w:p>
          <w:p>
            <w:r>
              <w:rPr>
                <w:rFonts w:ascii="Arial" w:cs="Arial" w:eastAsia="Arial" w:hAnsi="Arial"/>
                <w:color w:val="64748B"/>
                <w:sz w:val="20"/>
                <w:szCs w:val="20"/>
              </w:rPr>
              <w:t xml:space="preserve">Las políticas RLS actuales (schema.sql + sprint2/3_functions.sql) son permisivas: cualquier usuario autenticado puede leer y escribir en prácticamente todas las tablas ("USING (auth.role() = 'authenticated')"). La base de datos NO distingue entre un cajero y un administrador — el control de acceso por rol ocurre enteramente en el cliente (RoleGuard + la UI que cada módulo expone). Esto significa que un usuario autenticado que llame a la API de Supabase directamente (sin pasar por la UI) podría, en teoría, escribir en tablas a las que su rol no debería tener acceso. Si se necesita seguridad a nivel de fila, hay que escribir políticas RLS granulares por rol — hoy no existen.</w:t>
            </w:r>
          </w:p>
        </w:tc>
      </w:tr>
    </w:tbl>
    <w:p>
      <w:pPr>
        <w:spacing w:after="120"/>
      </w:pPr>
      <w:r>
        <w:rPr>
          <w:rFonts w:ascii="Arial" w:cs="Arial" w:eastAsia="Arial" w:hAnsi="Arial"/>
          <w:sz w:val="22"/>
          <w:szCs w:val="22"/>
        </w:rPr>
        <w:t xml:space="preserve">Las únicas excepciones son las funciones con </w:t>
      </w:r>
      <w:r>
        <w:rPr>
          <w:rFonts w:ascii="Arial" w:cs="Arial" w:eastAsia="Arial" w:hAnsi="Arial"/>
          <w:b/>
          <w:bCs/>
          <w:sz w:val="22"/>
          <w:szCs w:val="22"/>
        </w:rPr>
        <w:t xml:space="preserve">SECURITY DEFINER</w:t>
      </w:r>
      <w:r>
        <w:rPr>
          <w:rFonts w:ascii="Arial" w:cs="Arial" w:eastAsia="Arial" w:hAnsi="Arial"/>
          <w:sz w:val="22"/>
          <w:szCs w:val="22"/>
        </w:rPr>
        <w:t xml:space="preserve"> (Sección 6), que corren con privilegios elevados de forma controlada, y la política especial que permite a </w:t>
      </w:r>
      <w:r>
        <w:rPr>
          <w:rFonts w:ascii="Arial" w:cs="Arial" w:eastAsia="Arial" w:hAnsi="Arial"/>
          <w:color w:val="B91C1C"/>
          <w:sz w:val="20"/>
          <w:szCs w:val="20"/>
        </w:rPr>
        <w:t xml:space="preserve">anon</w:t>
      </w:r>
      <w:r>
        <w:rPr>
          <w:rFonts w:ascii="Arial" w:cs="Arial" w:eastAsia="Arial" w:hAnsi="Arial"/>
          <w:sz w:val="22"/>
          <w:szCs w:val="22"/>
        </w:rPr>
        <w:t xml:space="preserve"> leer </w:t>
      </w:r>
      <w:r>
        <w:rPr>
          <w:rFonts w:ascii="Arial" w:cs="Arial" w:eastAsia="Arial" w:hAnsi="Arial"/>
          <w:color w:val="B91C1C"/>
          <w:sz w:val="20"/>
          <w:szCs w:val="20"/>
        </w:rPr>
        <w:t xml:space="preserve">app_settings</w:t>
      </w:r>
      <w:r>
        <w:rPr>
          <w:rFonts w:ascii="Arial" w:cs="Arial" w:eastAsia="Arial" w:hAnsi="Arial"/>
          <w:sz w:val="22"/>
          <w:szCs w:val="22"/>
        </w:rPr>
        <w:t xml:space="preserve"> (necesaria para que el chequeo de setup funcione sin sesión).</w:t>
      </w:r>
    </w:p>
    <w:p>
      <w:r>
        <w:br w:type="page"/>
      </w:r>
    </w:p>
    <w:p>
      <w:pPr>
        <w:pStyle w:val="Heading1"/>
        <w:spacing w:after="200" w:before="400"/>
      </w:pPr>
      <w:r>
        <w:rPr>
          <w:rFonts w:ascii="Arial" w:cs="Arial" w:eastAsia="Arial" w:hAnsi="Arial"/>
          <w:b/>
          <w:bCs/>
          <w:color w:val="0F172A"/>
          <w:sz w:val="32"/>
          <w:szCs w:val="32"/>
        </w:rPr>
        <w:t xml:space="preserve">6. Funciones de Base de Datos (RPC)</w:t>
      </w:r>
    </w:p>
    <w:p>
      <w:pPr>
        <w:spacing w:after="120"/>
      </w:pPr>
      <w:r>
        <w:rPr>
          <w:rFonts w:ascii="Arial" w:cs="Arial" w:eastAsia="Arial" w:hAnsi="Arial"/>
          <w:sz w:val="22"/>
          <w:szCs w:val="22"/>
        </w:rPr>
        <w:t xml:space="preserve">Todas las operaciones que necesitan atomicidad (leer-modificar-escribir sin condiciones de carrera) o permisos elevados están implementadas como funciones PostgreSQL con </w:t>
      </w:r>
      <w:r>
        <w:rPr>
          <w:rFonts w:ascii="Arial" w:cs="Arial" w:eastAsia="Arial" w:hAnsi="Arial"/>
          <w:b/>
          <w:bCs/>
          <w:sz w:val="22"/>
          <w:szCs w:val="22"/>
        </w:rPr>
        <w:t xml:space="preserve">SECURITY DEFINER</w:t>
      </w:r>
      <w:r>
        <w:rPr>
          <w:rFonts w:ascii="Arial" w:cs="Arial" w:eastAsia="Arial" w:hAnsi="Arial"/>
          <w:sz w:val="22"/>
          <w:szCs w:val="22"/>
        </w:rPr>
        <w:t xml:space="preserve">, invocadas desde el cliente vía </w:t>
      </w:r>
      <w:r>
        <w:rPr>
          <w:rFonts w:ascii="Arial" w:cs="Arial" w:eastAsia="Arial" w:hAnsi="Arial"/>
          <w:color w:val="B91C1C"/>
          <w:sz w:val="20"/>
          <w:szCs w:val="20"/>
        </w:rPr>
        <w:t xml:space="preserve">supabase.rpc(...)</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Función</w:t>
            </w:r>
          </w:p>
        </w:tc>
        <w:tc>
          <w:tcPr>
            <w:tcW w:type="dxa" w:w="22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Archivo SQL</w:t>
            </w:r>
          </w:p>
        </w:tc>
        <w:tc>
          <w:tcPr>
            <w:tcW w:type="dxa" w:w="37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decrement_stock(product_id, location_id, quantity)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sprint2_functions.sql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Baja stock al confirmar una venta (salesService.createSale)</w:t>
            </w:r>
          </w:p>
        </w:tc>
      </w:tr>
      <w:tr>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increment_stock(product_id, location_id, quantity)</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sprint3_functions.sql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Sube stock en recepción de OC, ajustes y devoluciones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transfer_stock(product_id, from, to, quantity)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sprint3_functions.sql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Traslado atómico entre ubicaciones; valida stock disponible en origen y lanza excepción si no alcanza</w:t>
            </w:r>
          </w:p>
        </w:tc>
      </w:tr>
      <w:tr>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increment_customer_balance(customer_id, amount)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sprint2_functions.sql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Suma o resta (monto negativo) el saldo de cuenta corriente; usada en ventas, devoluciones y pagos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complete_initial_setup(...)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fix_rls_setup.sql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Crea el primer superadmin durante el Setup Wizard, invocable por el rol anon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60"/>
            </w:pPr>
            <w:r>
              <w:rPr>
                <w:rFonts w:ascii="Arial" w:cs="Arial" w:eastAsia="Arial" w:hAnsi="Arial"/>
                <w:b/>
                <w:bCs/>
                <w:color w:val="0F172A"/>
                <w:sz w:val="22"/>
                <w:szCs w:val="22"/>
              </w:rPr>
              <w:t xml:space="preserve">ℹ️ Nota técnica</w:t>
            </w:r>
          </w:p>
          <w:p>
            <w:r>
              <w:rPr>
                <w:rFonts w:ascii="Arial" w:cs="Arial" w:eastAsia="Arial" w:hAnsi="Arial"/>
                <w:color w:val="64748B"/>
                <w:sz w:val="20"/>
                <w:szCs w:val="20"/>
              </w:rPr>
              <w:t xml:space="preserve">Todas usan INSERT ... ON CONFLICT DO NOTHING antes de UPDATE para garantizar que exista la fila de stock antes de modificarla, evitando fallos si un producto nunca tuvo movimientos en esa ubicación.</w:t>
            </w:r>
          </w:p>
        </w:tc>
      </w:tr>
    </w:tbl>
    <w:p>
      <w:r>
        <w:br w:type="page"/>
      </w:r>
    </w:p>
    <w:p>
      <w:pPr>
        <w:pStyle w:val="Heading1"/>
        <w:spacing w:after="200" w:before="400"/>
      </w:pPr>
      <w:r>
        <w:rPr>
          <w:rFonts w:ascii="Arial" w:cs="Arial" w:eastAsia="Arial" w:hAnsi="Arial"/>
          <w:b/>
          <w:bCs/>
          <w:color w:val="0F172A"/>
          <w:sz w:val="32"/>
          <w:szCs w:val="32"/>
        </w:rPr>
        <w:t xml:space="preserve">7. Módulos de la Aplicación</w:t>
      </w:r>
    </w:p>
    <w:p>
      <w:pPr>
        <w:pStyle w:val="Heading2"/>
        <w:spacing w:after="150" w:before="300"/>
      </w:pPr>
      <w:r>
        <w:rPr>
          <w:rFonts w:ascii="Arial" w:cs="Arial" w:eastAsia="Arial" w:hAnsi="Arial"/>
          <w:b/>
          <w:bCs/>
          <w:color w:val="16A34A"/>
          <w:sz w:val="28"/>
          <w:szCs w:val="28"/>
        </w:rPr>
        <w:t xml:space="preserve">7.1 auth</w:t>
      </w:r>
    </w:p>
    <w:p>
      <w:pPr>
        <w:spacing w:after="120"/>
      </w:pPr>
      <w:r>
        <w:rPr>
          <w:rFonts w:ascii="Arial" w:cs="Arial" w:eastAsia="Arial" w:hAnsi="Arial"/>
          <w:b/>
          <w:bCs/>
          <w:sz w:val="22"/>
          <w:szCs w:val="22"/>
        </w:rPr>
        <w:t xml:space="preserve">Componentes: </w:t>
      </w:r>
      <w:r>
        <w:rPr>
          <w:rFonts w:ascii="Arial" w:cs="Arial" w:eastAsia="Arial" w:hAnsi="Arial"/>
          <w:sz w:val="22"/>
          <w:szCs w:val="22"/>
        </w:rPr>
        <w:t xml:space="preserve">LoginForm, SetupWizard, RoleSelector.  </w:t>
      </w:r>
      <w:r>
        <w:rPr>
          <w:rFonts w:ascii="Arial" w:cs="Arial" w:eastAsia="Arial" w:hAnsi="Arial"/>
          <w:b/>
          <w:bCs/>
          <w:sz w:val="22"/>
          <w:szCs w:val="22"/>
        </w:rPr>
        <w:t xml:space="preserve">Hooks: </w:t>
      </w:r>
      <w:r>
        <w:rPr>
          <w:rFonts w:ascii="Arial" w:cs="Arial" w:eastAsia="Arial" w:hAnsi="Arial"/>
          <w:sz w:val="22"/>
          <w:szCs w:val="22"/>
        </w:rPr>
        <w:t xml:space="preserve">useAuth, useSession.  </w:t>
      </w:r>
      <w:r>
        <w:rPr>
          <w:rFonts w:ascii="Arial" w:cs="Arial" w:eastAsia="Arial" w:hAnsi="Arial"/>
          <w:b/>
          <w:bCs/>
          <w:sz w:val="22"/>
          <w:szCs w:val="22"/>
        </w:rPr>
        <w:t xml:space="preserve">Services: </w:t>
      </w:r>
      <w:r>
        <w:rPr>
          <w:rFonts w:ascii="Arial" w:cs="Arial" w:eastAsia="Arial" w:hAnsi="Arial"/>
          <w:sz w:val="22"/>
          <w:szCs w:val="22"/>
        </w:rPr>
        <w:t xml:space="preserve">authService.js (signIn, signOut, getSessionData, checkSetupCompleted, createFirstSuperadmin).</w:t>
      </w:r>
    </w:p>
    <w:p>
      <w:pPr>
        <w:pStyle w:val="Heading2"/>
        <w:spacing w:after="150" w:before="300"/>
      </w:pPr>
      <w:r>
        <w:rPr>
          <w:rFonts w:ascii="Arial" w:cs="Arial" w:eastAsia="Arial" w:hAnsi="Arial"/>
          <w:b/>
          <w:bCs/>
          <w:color w:val="16A34A"/>
          <w:sz w:val="28"/>
          <w:szCs w:val="28"/>
        </w:rPr>
        <w:t xml:space="preserve">7.2 pos</w:t>
      </w:r>
    </w:p>
    <w:p>
      <w:pPr>
        <w:spacing w:after="120"/>
      </w:pPr>
      <w:r>
        <w:rPr>
          <w:rFonts w:ascii="Arial" w:cs="Arial" w:eastAsia="Arial" w:hAnsi="Arial"/>
          <w:b/>
          <w:bCs/>
          <w:sz w:val="22"/>
          <w:szCs w:val="22"/>
        </w:rPr>
        <w:t xml:space="preserve">Componentes: </w:t>
      </w:r>
      <w:r>
        <w:rPr>
          <w:rFonts w:ascii="Arial" w:cs="Arial" w:eastAsia="Arial" w:hAnsi="Arial"/>
          <w:sz w:val="22"/>
          <w:szCs w:val="22"/>
        </w:rPr>
        <w:t xml:space="preserve">POSPage, ProductSearch, Cart, CartItem, CustomerSelector, PaymentModal, PinSwitchModal, CashSessionModal, SaleSuccessModal, ShiftSalesPage ("Mi turno").  </w:t>
      </w:r>
      <w:r>
        <w:rPr>
          <w:rFonts w:ascii="Arial" w:cs="Arial" w:eastAsia="Arial" w:hAnsi="Arial"/>
          <w:b/>
          <w:bCs/>
          <w:sz w:val="22"/>
          <w:szCs w:val="22"/>
        </w:rPr>
        <w:t xml:space="preserve">Hooks: </w:t>
      </w:r>
      <w:r>
        <w:rPr>
          <w:rFonts w:ascii="Arial" w:cs="Arial" w:eastAsia="Arial" w:hAnsi="Arial"/>
          <w:sz w:val="22"/>
          <w:szCs w:val="22"/>
        </w:rPr>
        <w:t xml:space="preserve">useCartStore (carrito, IVA, descuentos — Sección 8.1), useCashSession.  </w:t>
      </w:r>
      <w:r>
        <w:rPr>
          <w:rFonts w:ascii="Arial" w:cs="Arial" w:eastAsia="Arial" w:hAnsi="Arial"/>
          <w:b/>
          <w:bCs/>
          <w:sz w:val="22"/>
          <w:szCs w:val="22"/>
        </w:rPr>
        <w:t xml:space="preserve">Services: </w:t>
      </w:r>
      <w:r>
        <w:rPr>
          <w:rFonts w:ascii="Arial" w:cs="Arial" w:eastAsia="Arial" w:hAnsi="Arial"/>
          <w:sz w:val="22"/>
          <w:szCs w:val="22"/>
        </w:rPr>
        <w:t xml:space="preserve">salesService.js, cashSessionService.js, returnsService.js.  </w:t>
      </w:r>
      <w:r>
        <w:rPr>
          <w:rFonts w:ascii="Arial" w:cs="Arial" w:eastAsia="Arial" w:hAnsi="Arial"/>
          <w:b/>
          <w:bCs/>
          <w:sz w:val="22"/>
          <w:szCs w:val="22"/>
        </w:rPr>
        <w:t xml:space="preserve">Utils: </w:t>
      </w:r>
      <w:r>
        <w:rPr>
          <w:rFonts w:ascii="Arial" w:cs="Arial" w:eastAsia="Arial" w:hAnsi="Arial"/>
          <w:sz w:val="22"/>
          <w:szCs w:val="22"/>
        </w:rPr>
        <w:t xml:space="preserve">ticketPrinter.js (Sección 9.1).</w:t>
      </w:r>
    </w:p>
    <w:p>
      <w:pPr>
        <w:pStyle w:val="Heading2"/>
        <w:spacing w:after="150" w:before="300"/>
      </w:pPr>
      <w:r>
        <w:rPr>
          <w:rFonts w:ascii="Arial" w:cs="Arial" w:eastAsia="Arial" w:hAnsi="Arial"/>
          <w:b/>
          <w:bCs/>
          <w:color w:val="16A34A"/>
          <w:sz w:val="28"/>
          <w:szCs w:val="28"/>
        </w:rPr>
        <w:t xml:space="preserve">7.3 stock</w:t>
      </w:r>
    </w:p>
    <w:p>
      <w:pPr>
        <w:spacing w:after="120"/>
      </w:pPr>
      <w:r>
        <w:rPr>
          <w:rFonts w:ascii="Arial" w:cs="Arial" w:eastAsia="Arial" w:hAnsi="Arial"/>
          <w:b/>
          <w:bCs/>
          <w:sz w:val="22"/>
          <w:szCs w:val="22"/>
        </w:rPr>
        <w:t xml:space="preserve">Componentes: </w:t>
      </w:r>
      <w:r>
        <w:rPr>
          <w:rFonts w:ascii="Arial" w:cs="Arial" w:eastAsia="Arial" w:hAnsi="Arial"/>
          <w:sz w:val="22"/>
          <w:szCs w:val="22"/>
        </w:rPr>
        <w:t xml:space="preserve">StockPage (tabs: Productos, Categorías, Niveles, Movimientos, Vencimientos, Etiquetas), ProductFormModal, TransferModal, AdjustmentModal.  </w:t>
      </w:r>
      <w:r>
        <w:rPr>
          <w:rFonts w:ascii="Arial" w:cs="Arial" w:eastAsia="Arial" w:hAnsi="Arial"/>
          <w:b/>
          <w:bCs/>
          <w:sz w:val="22"/>
          <w:szCs w:val="22"/>
        </w:rPr>
        <w:t xml:space="preserve">Services: </w:t>
      </w:r>
      <w:r>
        <w:rPr>
          <w:rFonts w:ascii="Arial" w:cs="Arial" w:eastAsia="Arial" w:hAnsi="Arial"/>
          <w:sz w:val="22"/>
          <w:szCs w:val="22"/>
        </w:rPr>
        <w:t xml:space="preserve">productService.js (CRUD productos/categorías), movementService.js (niveles, traslados, ajustes, recepción, alertas de vencimiento).</w:t>
      </w:r>
    </w:p>
    <w:p>
      <w:pPr>
        <w:pStyle w:val="Heading2"/>
        <w:spacing w:after="150" w:before="300"/>
      </w:pPr>
      <w:r>
        <w:rPr>
          <w:rFonts w:ascii="Arial" w:cs="Arial" w:eastAsia="Arial" w:hAnsi="Arial"/>
          <w:b/>
          <w:bCs/>
          <w:color w:val="16A34A"/>
          <w:sz w:val="28"/>
          <w:szCs w:val="28"/>
        </w:rPr>
        <w:t xml:space="preserve">7.4 suppliers</w:t>
      </w:r>
    </w:p>
    <w:p>
      <w:pPr>
        <w:spacing w:after="120"/>
      </w:pPr>
      <w:r>
        <w:rPr>
          <w:rFonts w:ascii="Arial" w:cs="Arial" w:eastAsia="Arial" w:hAnsi="Arial"/>
          <w:b/>
          <w:bCs/>
          <w:sz w:val="22"/>
          <w:szCs w:val="22"/>
        </w:rPr>
        <w:t xml:space="preserve">Componentes: </w:t>
      </w:r>
      <w:r>
        <w:rPr>
          <w:rFonts w:ascii="Arial" w:cs="Arial" w:eastAsia="Arial" w:hAnsi="Arial"/>
          <w:sz w:val="22"/>
          <w:szCs w:val="22"/>
        </w:rPr>
        <w:t xml:space="preserve">SuppliersPage (tabs: Proveedores, Notas de Pedido, Órdenes de Compra), PurchaseNoteFormModal, PurchaseOrderFormModal, ReceiveOrderModal.  </w:t>
      </w:r>
      <w:r>
        <w:rPr>
          <w:rFonts w:ascii="Arial" w:cs="Arial" w:eastAsia="Arial" w:hAnsi="Arial"/>
          <w:b/>
          <w:bCs/>
          <w:sz w:val="22"/>
          <w:szCs w:val="22"/>
        </w:rPr>
        <w:t xml:space="preserve">Services: </w:t>
      </w:r>
      <w:r>
        <w:rPr>
          <w:rFonts w:ascii="Arial" w:cs="Arial" w:eastAsia="Arial" w:hAnsi="Arial"/>
          <w:sz w:val="22"/>
          <w:szCs w:val="22"/>
        </w:rPr>
        <w:t xml:space="preserve">supplierService.js, purchaseService.js (notas, OC, recepción — Sección 8.6).</w:t>
      </w:r>
    </w:p>
    <w:p>
      <w:pPr>
        <w:pStyle w:val="Heading2"/>
        <w:spacing w:after="150" w:before="300"/>
      </w:pPr>
      <w:r>
        <w:rPr>
          <w:rFonts w:ascii="Arial" w:cs="Arial" w:eastAsia="Arial" w:hAnsi="Arial"/>
          <w:b/>
          <w:bCs/>
          <w:color w:val="16A34A"/>
          <w:sz w:val="28"/>
          <w:szCs w:val="28"/>
        </w:rPr>
        <w:t xml:space="preserve">7.5 customers</w:t>
      </w:r>
    </w:p>
    <w:p>
      <w:pPr>
        <w:spacing w:after="120"/>
      </w:pPr>
      <w:r>
        <w:rPr>
          <w:rFonts w:ascii="Arial" w:cs="Arial" w:eastAsia="Arial" w:hAnsi="Arial"/>
          <w:b/>
          <w:bCs/>
          <w:sz w:val="22"/>
          <w:szCs w:val="22"/>
        </w:rPr>
        <w:t xml:space="preserve">Componentes: </w:t>
      </w:r>
      <w:r>
        <w:rPr>
          <w:rFonts w:ascii="Arial" w:cs="Arial" w:eastAsia="Arial" w:hAnsi="Arial"/>
          <w:sz w:val="22"/>
          <w:szCs w:val="22"/>
        </w:rPr>
        <w:t xml:space="preserve">CustomersPage, CustomerFormModal, PayDebtModal, CustomerHistoryModal.  </w:t>
      </w:r>
      <w:r>
        <w:rPr>
          <w:rFonts w:ascii="Arial" w:cs="Arial" w:eastAsia="Arial" w:hAnsi="Arial"/>
          <w:b/>
          <w:bCs/>
          <w:sz w:val="22"/>
          <w:szCs w:val="22"/>
        </w:rPr>
        <w:t xml:space="preserve">Services: </w:t>
      </w:r>
      <w:r>
        <w:rPr>
          <w:rFonts w:ascii="Arial" w:cs="Arial" w:eastAsia="Arial" w:hAnsi="Arial"/>
          <w:sz w:val="22"/>
          <w:szCs w:val="22"/>
        </w:rPr>
        <w:t xml:space="preserve">customerService.js (Sección 4.7 y 8.4).</w:t>
      </w:r>
    </w:p>
    <w:p>
      <w:pPr>
        <w:pStyle w:val="Heading2"/>
        <w:spacing w:after="150" w:before="300"/>
      </w:pPr>
      <w:r>
        <w:rPr>
          <w:rFonts w:ascii="Arial" w:cs="Arial" w:eastAsia="Arial" w:hAnsi="Arial"/>
          <w:b/>
          <w:bCs/>
          <w:color w:val="16A34A"/>
          <w:sz w:val="28"/>
          <w:szCs w:val="28"/>
        </w:rPr>
        <w:t xml:space="preserve">7.6 reports</w:t>
      </w:r>
    </w:p>
    <w:p>
      <w:pPr>
        <w:spacing w:after="120"/>
      </w:pPr>
      <w:r>
        <w:rPr>
          <w:rFonts w:ascii="Arial" w:cs="Arial" w:eastAsia="Arial" w:hAnsi="Arial"/>
          <w:b/>
          <w:bCs/>
          <w:sz w:val="22"/>
          <w:szCs w:val="22"/>
        </w:rPr>
        <w:t xml:space="preserve">Componentes: </w:t>
      </w:r>
      <w:r>
        <w:rPr>
          <w:rFonts w:ascii="Arial" w:cs="Arial" w:eastAsia="Arial" w:hAnsi="Arial"/>
          <w:sz w:val="22"/>
          <w:szCs w:val="22"/>
        </w:rPr>
        <w:t xml:space="preserve">ReportsPage (tabs: Ventas, Caja, Stock, Deudores, Devoluciones).  </w:t>
      </w:r>
      <w:r>
        <w:rPr>
          <w:rFonts w:ascii="Arial" w:cs="Arial" w:eastAsia="Arial" w:hAnsi="Arial"/>
          <w:b/>
          <w:bCs/>
          <w:sz w:val="22"/>
          <w:szCs w:val="22"/>
        </w:rPr>
        <w:t xml:space="preserve">Services: </w:t>
      </w:r>
      <w:r>
        <w:rPr>
          <w:rFonts w:ascii="Arial" w:cs="Arial" w:eastAsia="Arial" w:hAnsi="Arial"/>
          <w:sz w:val="22"/>
          <w:szCs w:val="22"/>
        </w:rPr>
        <w:t xml:space="preserve">reportsService.js (getSalesReport, getSalesSummary, getCashReport, getStockReport).</w:t>
      </w:r>
    </w:p>
    <w:p>
      <w:pPr>
        <w:pStyle w:val="Heading2"/>
        <w:spacing w:after="150" w:before="300"/>
      </w:pPr>
      <w:r>
        <w:rPr>
          <w:rFonts w:ascii="Arial" w:cs="Arial" w:eastAsia="Arial" w:hAnsi="Arial"/>
          <w:b/>
          <w:bCs/>
          <w:color w:val="16A34A"/>
          <w:sz w:val="28"/>
          <w:szCs w:val="28"/>
        </w:rPr>
        <w:t xml:space="preserve">7.7 admin</w:t>
      </w:r>
    </w:p>
    <w:p>
      <w:pPr>
        <w:spacing w:after="120"/>
      </w:pPr>
      <w:r>
        <w:rPr>
          <w:rFonts w:ascii="Arial" w:cs="Arial" w:eastAsia="Arial" w:hAnsi="Arial"/>
          <w:b/>
          <w:bCs/>
          <w:sz w:val="22"/>
          <w:szCs w:val="22"/>
        </w:rPr>
        <w:t xml:space="preserve">Componentes: </w:t>
      </w:r>
      <w:r>
        <w:rPr>
          <w:rFonts w:ascii="Arial" w:cs="Arial" w:eastAsia="Arial" w:hAnsi="Arial"/>
          <w:sz w:val="22"/>
          <w:szCs w:val="22"/>
        </w:rPr>
        <w:t xml:space="preserve">DashboardPage (KPIs + gráficos semanales), UsersPage, UserFormModal, DiscountsPage, DiscountFormModal, SettingsPage.  </w:t>
      </w:r>
      <w:r>
        <w:rPr>
          <w:rFonts w:ascii="Arial" w:cs="Arial" w:eastAsia="Arial" w:hAnsi="Arial"/>
          <w:b/>
          <w:bCs/>
          <w:sz w:val="22"/>
          <w:szCs w:val="22"/>
        </w:rPr>
        <w:t xml:space="preserve">Services: </w:t>
      </w:r>
      <w:r>
        <w:rPr>
          <w:rFonts w:ascii="Arial" w:cs="Arial" w:eastAsia="Arial" w:hAnsi="Arial"/>
          <w:sz w:val="22"/>
          <w:szCs w:val="22"/>
        </w:rPr>
        <w:t xml:space="preserve">adminService.js (usa adminClient.js con service key para crear usuarios), discountService.js.</w:t>
      </w:r>
    </w:p>
    <w:p>
      <w:r>
        <w:br w:type="page"/>
      </w:r>
    </w:p>
    <w:p>
      <w:pPr>
        <w:pStyle w:val="Heading1"/>
        <w:spacing w:after="200" w:before="400"/>
      </w:pPr>
      <w:r>
        <w:rPr>
          <w:rFonts w:ascii="Arial" w:cs="Arial" w:eastAsia="Arial" w:hAnsi="Arial"/>
          <w:b/>
          <w:bCs/>
          <w:color w:val="0F172A"/>
          <w:sz w:val="32"/>
          <w:szCs w:val="32"/>
        </w:rPr>
        <w:t xml:space="preserve">8. Lógica de Negocio Clave</w:t>
      </w:r>
    </w:p>
    <w:p>
      <w:pPr>
        <w:pStyle w:val="Heading2"/>
        <w:spacing w:after="150" w:before="300"/>
      </w:pPr>
      <w:r>
        <w:rPr>
          <w:rFonts w:ascii="Arial" w:cs="Arial" w:eastAsia="Arial" w:hAnsi="Arial"/>
          <w:b/>
          <w:bCs/>
          <w:color w:val="16A34A"/>
          <w:sz w:val="28"/>
          <w:szCs w:val="28"/>
        </w:rPr>
        <w:t xml:space="preserve">8.1 Carrito, descuentos e IVA</w:t>
      </w:r>
    </w:p>
    <w:p>
      <w:pPr>
        <w:spacing w:after="120"/>
      </w:pPr>
      <w:r>
        <w:rPr>
          <w:rFonts w:ascii="Arial" w:cs="Arial" w:eastAsia="Arial" w:hAnsi="Arial"/>
          <w:sz w:val="22"/>
          <w:szCs w:val="22"/>
        </w:rPr>
        <w:t xml:space="preserve">Toda la lógica del carrito vive en </w:t>
      </w:r>
      <w:r>
        <w:rPr>
          <w:rFonts w:ascii="Arial" w:cs="Arial" w:eastAsia="Arial" w:hAnsi="Arial"/>
          <w:color w:val="B91C1C"/>
          <w:sz w:val="20"/>
          <w:szCs w:val="20"/>
        </w:rPr>
        <w:t xml:space="preserve">useCartStore.js</w:t>
      </w:r>
      <w:r>
        <w:rPr>
          <w:rFonts w:ascii="Arial" w:cs="Arial" w:eastAsia="Arial" w:hAnsi="Arial"/>
          <w:sz w:val="22"/>
          <w:szCs w:val="22"/>
        </w:rPr>
        <w:t xml:space="preserve"> (Zustand), sin persistencia — se resetea con </w:t>
      </w:r>
      <w:r>
        <w:rPr>
          <w:rFonts w:ascii="Arial" w:cs="Arial" w:eastAsia="Arial" w:hAnsi="Arial"/>
          <w:color w:val="B91C1C"/>
          <w:sz w:val="20"/>
          <w:szCs w:val="20"/>
        </w:rPr>
        <w:t xml:space="preserve">clearCart()</w:t>
      </w:r>
      <w:r>
        <w:rPr>
          <w:rFonts w:ascii="Arial" w:cs="Arial" w:eastAsia="Arial" w:hAnsi="Arial"/>
          <w:sz w:val="22"/>
          <w:szCs w:val="22"/>
        </w:rPr>
        <w:t xml:space="preserve"> tras cada venta. Los descuentos automáticos se recalculan en cada </w:t>
      </w:r>
      <w:r>
        <w:rPr>
          <w:rFonts w:ascii="Arial" w:cs="Arial" w:eastAsia="Arial" w:hAnsi="Arial"/>
          <w:color w:val="B91C1C"/>
          <w:sz w:val="20"/>
          <w:szCs w:val="20"/>
        </w:rPr>
        <w:t xml:space="preserve">addItem</w:t>
      </w:r>
      <w:r>
        <w:rPr>
          <w:rFonts w:ascii="Arial" w:cs="Arial" w:eastAsia="Arial" w:hAnsi="Arial"/>
          <w:sz w:val="22"/>
          <w:szCs w:val="22"/>
        </w:rPr>
        <w:t xml:space="preserve"> / </w:t>
      </w:r>
      <w:r>
        <w:rPr>
          <w:rFonts w:ascii="Arial" w:cs="Arial" w:eastAsia="Arial" w:hAnsi="Arial"/>
          <w:color w:val="B91C1C"/>
          <w:sz w:val="20"/>
          <w:szCs w:val="20"/>
        </w:rPr>
        <w:t xml:space="preserve">updateQuantity</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Tipo de descuento</w:t>
            </w:r>
          </w:p>
        </w:tc>
        <w:tc>
          <w:tcPr>
            <w:tcW w:type="dxa" w:w="67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Cómo se calcula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product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sobre el total de ese ítem si discounts.product_id coincide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category</w:t>
            </w:r>
          </w:p>
        </w:tc>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 sobre el total de ese ítem si el producto pertenece a esa categoría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quantity_rule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Grupos completos de min_quantity → free_quantity unidades gratis (ej: 3x2). Nunca regala más de lo comprado</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percentage_total / fixed_total</w:t>
            </w:r>
          </w:p>
        </w:tc>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No se auto-aplican — se gestionan como globalDiscount, manual desde la UI del carrito</w:t>
            </w:r>
          </w:p>
        </w:tc>
      </w:tr>
    </w:tbl>
    <w:p>
      <w:pPr>
        <w:spacing w:after="120"/>
      </w:pPr>
      <w:r>
        <w:rPr>
          <w:rFonts w:ascii="Arial" w:cs="Arial" w:eastAsia="Arial" w:hAnsi="Arial"/>
          <w:sz w:val="22"/>
          <w:szCs w:val="22"/>
        </w:rPr>
        <w:t xml:space="preserve">Orden de aplicación de los totales:</w:t>
      </w:r>
    </w:p>
    <w:p>
      <w:pPr>
        <w:pStyle w:val="ListParagraph"/>
        <w:numPr>
          <w:ilvl w:val="0"/>
          <w:numId w:val="7"/>
        </w:numPr>
        <w:spacing w:after="80"/>
      </w:pPr>
      <w:r>
        <w:rPr>
          <w:rFonts w:ascii="Arial" w:cs="Arial" w:eastAsia="Arial" w:hAnsi="Arial"/>
          <w:sz w:val="22"/>
          <w:szCs w:val="22"/>
        </w:rPr>
        <w:t xml:space="preserve">Subtotal de cada ítem = (cantidad × precio unitario) − descuento automático del ítem.</w:t>
      </w:r>
    </w:p>
    <w:p>
      <w:pPr>
        <w:pStyle w:val="ListParagraph"/>
        <w:numPr>
          <w:ilvl w:val="0"/>
          <w:numId w:val="7"/>
        </w:numPr>
        <w:spacing w:after="80"/>
      </w:pPr>
      <w:r>
        <w:rPr>
          <w:rFonts w:ascii="Arial" w:cs="Arial" w:eastAsia="Arial" w:hAnsi="Arial"/>
          <w:sz w:val="22"/>
          <w:szCs w:val="22"/>
        </w:rPr>
        <w:t xml:space="preserve">Se aplica el % de descuento del cliente (customers.discount_percent) sobre la suma de subtotales.</w:t>
      </w:r>
    </w:p>
    <w:p>
      <w:pPr>
        <w:pStyle w:val="ListParagraph"/>
        <w:numPr>
          <w:ilvl w:val="0"/>
          <w:numId w:val="7"/>
        </w:numPr>
        <w:spacing w:after="80"/>
      </w:pPr>
      <w:r>
        <w:rPr>
          <w:rFonts w:ascii="Arial" w:cs="Arial" w:eastAsia="Arial" w:hAnsi="Arial"/>
          <w:sz w:val="22"/>
          <w:szCs w:val="22"/>
        </w:rPr>
        <w:t xml:space="preserve">Se aplica el descuento global manual (0-100%) sobre el resultado anterior.</w:t>
      </w:r>
    </w:p>
    <w:p>
      <w:pPr>
        <w:pStyle w:val="ListParagraph"/>
        <w:numPr>
          <w:ilvl w:val="0"/>
          <w:numId w:val="7"/>
        </w:numPr>
        <w:spacing w:after="80"/>
      </w:pPr>
      <w:r>
        <w:rPr>
          <w:rFonts w:ascii="Arial" w:cs="Arial" w:eastAsia="Arial" w:hAnsi="Arial"/>
          <w:sz w:val="22"/>
          <w:szCs w:val="22"/>
        </w:rPr>
        <w:t xml:space="preserve">Se calcula el IVA: si iva_included, se extrae del precio (IVA = bruto × tasa / (100 + tasa)); si no, se suma aparte (IVA = bruto × tasa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60"/>
            </w:pPr>
            <w:r>
              <w:rPr>
                <w:rFonts w:ascii="Arial" w:cs="Arial" w:eastAsia="Arial" w:hAnsi="Arial"/>
                <w:b/>
                <w:bCs/>
                <w:color w:val="0F172A"/>
                <w:sz w:val="22"/>
                <w:szCs w:val="22"/>
              </w:rPr>
              <w:t xml:space="preserve">ℹ️ Nota técnica</w:t>
            </w:r>
          </w:p>
          <w:p>
            <w:r>
              <w:rPr>
                <w:rFonts w:ascii="Arial" w:cs="Arial" w:eastAsia="Arial" w:hAnsi="Arial"/>
                <w:color w:val="64748B"/>
                <w:sz w:val="20"/>
                <w:szCs w:val="20"/>
              </w:rPr>
              <w:t xml:space="preserve">El total final nunca se ve afectado por errores de redondeo visual: getDiscountTotal() se deriva como (bruto original − total final + IVA extra), no se sostiene como un contador independiente que pueda desincronizarse.</w:t>
            </w:r>
          </w:p>
        </w:tc>
      </w:tr>
    </w:tbl>
    <w:p>
      <w:pPr>
        <w:pStyle w:val="Heading2"/>
        <w:spacing w:after="150" w:before="300"/>
      </w:pPr>
      <w:r>
        <w:rPr>
          <w:rFonts w:ascii="Arial" w:cs="Arial" w:eastAsia="Arial" w:hAnsi="Arial"/>
          <w:b/>
          <w:bCs/>
          <w:color w:val="16A34A"/>
          <w:sz w:val="28"/>
          <w:szCs w:val="28"/>
        </w:rPr>
        <w:t xml:space="preserve">8.2 Flujo de una venta</w:t>
      </w:r>
    </w:p>
    <w:p>
      <w:pPr>
        <w:spacing w:after="80" w:before="200"/>
        <w:jc w:val="center"/>
      </w:pPr>
      <w:r>
        <w:drawing>
          <wp:inline distT="0" distB="0" distL="0" distR="0">
            <wp:extent cx="59436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667000"/>
                    </a:xfrm>
                    <a:prstGeom prst="rect">
                      <a:avLst/>
                    </a:prstGeom>
                  </pic:spPr>
                </pic:pic>
              </a:graphicData>
            </a:graphic>
          </wp:inline>
        </w:drawing>
      </w:r>
    </w:p>
    <w:p>
      <w:pPr>
        <w:spacing w:after="240"/>
        <w:jc w:val="center"/>
      </w:pPr>
      <w:r>
        <w:rPr>
          <w:rFonts w:ascii="Arial" w:cs="Arial" w:eastAsia="Arial" w:hAnsi="Arial"/>
          <w:i/>
          <w:iCs/>
          <w:color w:val="64748B"/>
          <w:sz w:val="19"/>
          <w:szCs w:val="19"/>
        </w:rPr>
        <w:t xml:space="preserve">Figura 5. Flujo de una venta, del carrito al ticket.</w:t>
      </w:r>
    </w:p>
    <w:p>
      <w:pPr>
        <w:spacing w:after="120"/>
      </w:pPr>
      <w:r>
        <w:rPr>
          <w:rFonts w:ascii="Arial" w:cs="Arial" w:eastAsia="Arial" w:hAnsi="Arial"/>
          <w:sz w:val="22"/>
          <w:szCs w:val="22"/>
        </w:rPr>
        <w:t xml:space="preserve">El stock baja siempre de "En Estantería" — nunca del Depósito — sin importar cuánto stock quede (puede ir negativo; el sistema alerta pero no bloquea la venta). Si algún </w:t>
      </w:r>
      <w:r>
        <w:rPr>
          <w:rFonts w:ascii="Arial" w:cs="Arial" w:eastAsia="Arial" w:hAnsi="Arial"/>
          <w:color w:val="B91C1C"/>
          <w:sz w:val="20"/>
          <w:szCs w:val="20"/>
        </w:rPr>
        <w:t xml:space="preserve">sale_payment</w:t>
      </w:r>
      <w:r>
        <w:rPr>
          <w:rFonts w:ascii="Arial" w:cs="Arial" w:eastAsia="Arial" w:hAnsi="Arial"/>
          <w:sz w:val="22"/>
          <w:szCs w:val="22"/>
        </w:rPr>
        <w:t xml:space="preserve"> tiene </w:t>
      </w:r>
      <w:r>
        <w:rPr>
          <w:rFonts w:ascii="Arial" w:cs="Arial" w:eastAsia="Arial" w:hAnsi="Arial"/>
          <w:color w:val="B91C1C"/>
          <w:sz w:val="20"/>
          <w:szCs w:val="20"/>
        </w:rPr>
        <w:t xml:space="preserve">method: 'cuenta'</w:t>
      </w:r>
      <w:r>
        <w:rPr>
          <w:rFonts w:ascii="Arial" w:cs="Arial" w:eastAsia="Arial" w:hAnsi="Arial"/>
          <w:sz w:val="22"/>
          <w:szCs w:val="22"/>
        </w:rPr>
        <w:t xml:space="preserve">, se ejecuta además </w:t>
      </w:r>
      <w:r>
        <w:rPr>
          <w:rFonts w:ascii="Arial" w:cs="Arial" w:eastAsia="Arial" w:hAnsi="Arial"/>
          <w:color w:val="B91C1C"/>
          <w:sz w:val="20"/>
          <w:szCs w:val="20"/>
        </w:rPr>
        <w:t xml:space="preserve">increment_customer_balance</w:t>
      </w:r>
      <w:r>
        <w:rPr>
          <w:rFonts w:ascii="Arial" w:cs="Arial" w:eastAsia="Arial" w:hAnsi="Arial"/>
          <w:sz w:val="22"/>
          <w:szCs w:val="22"/>
        </w:rPr>
        <w:t xml:space="preserve"> por ese monto.</w:t>
      </w:r>
    </w:p>
    <w:p>
      <w:pPr>
        <w:pStyle w:val="Heading2"/>
        <w:spacing w:after="150" w:before="300"/>
      </w:pPr>
      <w:r>
        <w:rPr>
          <w:rFonts w:ascii="Arial" w:cs="Arial" w:eastAsia="Arial" w:hAnsi="Arial"/>
          <w:b/>
          <w:bCs/>
          <w:color w:val="16A34A"/>
          <w:sz w:val="28"/>
          <w:szCs w:val="28"/>
        </w:rPr>
        <w:t xml:space="preserve">8.3 Devoluciones</w:t>
      </w:r>
    </w:p>
    <w:p>
      <w:pPr>
        <w:spacing w:after="120"/>
      </w:pPr>
      <w:r>
        <w:rPr>
          <w:rFonts w:ascii="Arial" w:cs="Arial" w:eastAsia="Arial" w:hAnsi="Arial"/>
          <w:sz w:val="22"/>
          <w:szCs w:val="22"/>
        </w:rPr>
        <w:t xml:space="preserve">returnsService.createReturn() inserta en </w:t>
      </w:r>
      <w:r>
        <w:rPr>
          <w:rFonts w:ascii="Arial" w:cs="Arial" w:eastAsia="Arial" w:hAnsi="Arial"/>
          <w:color w:val="B91C1C"/>
          <w:sz w:val="20"/>
          <w:szCs w:val="20"/>
        </w:rPr>
        <w:t xml:space="preserve">returns</w:t>
      </w:r>
      <w:r>
        <w:rPr>
          <w:rFonts w:ascii="Arial" w:cs="Arial" w:eastAsia="Arial" w:hAnsi="Arial"/>
          <w:sz w:val="22"/>
          <w:szCs w:val="22"/>
        </w:rPr>
        <w:t xml:space="preserve"> + </w:t>
      </w:r>
      <w:r>
        <w:rPr>
          <w:rFonts w:ascii="Arial" w:cs="Arial" w:eastAsia="Arial" w:hAnsi="Arial"/>
          <w:color w:val="B91C1C"/>
          <w:sz w:val="20"/>
          <w:szCs w:val="20"/>
        </w:rPr>
        <w:t xml:space="preserve">return_items</w:t>
      </w:r>
      <w:r>
        <w:rPr>
          <w:rFonts w:ascii="Arial" w:cs="Arial" w:eastAsia="Arial" w:hAnsi="Arial"/>
          <w:sz w:val="22"/>
          <w:szCs w:val="22"/>
        </w:rPr>
        <w:t xml:space="preserve">. La restauración de stock es </w:t>
      </w:r>
      <w:r>
        <w:rPr>
          <w:rFonts w:ascii="Arial" w:cs="Arial" w:eastAsia="Arial" w:hAnsi="Arial"/>
          <w:b/>
          <w:bCs/>
          <w:sz w:val="22"/>
          <w:szCs w:val="22"/>
        </w:rPr>
        <w:t xml:space="preserve">opcional</w:t>
      </w:r>
      <w:r>
        <w:rPr>
          <w:rFonts w:ascii="Arial" w:cs="Arial" w:eastAsia="Arial" w:hAnsi="Arial"/>
          <w:sz w:val="22"/>
          <w:szCs w:val="22"/>
        </w:rPr>
        <w:t xml:space="preserve"> (checkbox en la UI, no automática desde Sprint 5) y, si corresponde, genera un stock_movement tipo 'devolucion'. Si la venta original tenía pago en cuenta corriente, se descuenta el monto de </w:t>
      </w:r>
      <w:r>
        <w:rPr>
          <w:rFonts w:ascii="Arial" w:cs="Arial" w:eastAsia="Arial" w:hAnsi="Arial"/>
          <w:color w:val="B91C1C"/>
          <w:sz w:val="20"/>
          <w:szCs w:val="20"/>
        </w:rPr>
        <w:t xml:space="preserve">current_balance</w:t>
      </w:r>
      <w:r>
        <w:rPr>
          <w:rFonts w:ascii="Arial" w:cs="Arial" w:eastAsia="Arial" w:hAnsi="Arial"/>
          <w:sz w:val="22"/>
          <w:szCs w:val="22"/>
        </w:rPr>
        <w:t xml:space="preserve">. Las devoluciones se reflejan como una línea aparte al cerrar el turno de caja.</w:t>
      </w:r>
    </w:p>
    <w:p>
      <w:pPr>
        <w:pStyle w:val="Heading2"/>
        <w:spacing w:after="150" w:before="300"/>
      </w:pPr>
      <w:r>
        <w:rPr>
          <w:rFonts w:ascii="Arial" w:cs="Arial" w:eastAsia="Arial" w:hAnsi="Arial"/>
          <w:b/>
          <w:bCs/>
          <w:color w:val="16A34A"/>
          <w:sz w:val="28"/>
          <w:szCs w:val="28"/>
        </w:rPr>
        <w:t xml:space="preserve">8.4 Cuenta corriente de clientes</w:t>
      </w:r>
    </w:p>
    <w:p>
      <w:pPr>
        <w:spacing w:after="120"/>
      </w:pPr>
      <w:r>
        <w:rPr>
          <w:rFonts w:ascii="Arial" w:cs="Arial" w:eastAsia="Arial" w:hAnsi="Arial"/>
          <w:color w:val="B91C1C"/>
          <w:sz w:val="20"/>
          <w:szCs w:val="20"/>
        </w:rPr>
        <w:t xml:space="preserve">registerPayment()</w:t>
      </w:r>
      <w:r>
        <w:rPr>
          <w:rFonts w:ascii="Arial" w:cs="Arial" w:eastAsia="Arial" w:hAnsi="Arial"/>
          <w:sz w:val="22"/>
          <w:szCs w:val="22"/>
        </w:rPr>
        <w:t xml:space="preserve"> intenta primero el RPC </w:t>
      </w:r>
      <w:r>
        <w:rPr>
          <w:rFonts w:ascii="Arial" w:cs="Arial" w:eastAsia="Arial" w:hAnsi="Arial"/>
          <w:color w:val="B91C1C"/>
          <w:sz w:val="20"/>
          <w:szCs w:val="20"/>
        </w:rPr>
        <w:t xml:space="preserve">increment_customer_balance</w:t>
      </w:r>
      <w:r>
        <w:rPr>
          <w:rFonts w:ascii="Arial" w:cs="Arial" w:eastAsia="Arial" w:hAnsi="Arial"/>
          <w:sz w:val="22"/>
          <w:szCs w:val="22"/>
        </w:rPr>
        <w:t xml:space="preserve"> con un monto negativo; si falla, calcula el nuevo saldo manualmente como fallback (nunca por debajo de 0) y lo actualiza con un UPDATE directo. Luego siempre inserta la fila en </w:t>
      </w:r>
      <w:r>
        <w:rPr>
          <w:rFonts w:ascii="Arial" w:cs="Arial" w:eastAsia="Arial" w:hAnsi="Arial"/>
          <w:color w:val="B91C1C"/>
          <w:sz w:val="20"/>
          <w:szCs w:val="20"/>
        </w:rPr>
        <w:t xml:space="preserve">customer_payments</w:t>
      </w:r>
      <w:r>
        <w:rPr>
          <w:rFonts w:ascii="Arial" w:cs="Arial" w:eastAsia="Arial" w:hAnsi="Arial"/>
          <w:sz w:val="22"/>
          <w:szCs w:val="22"/>
        </w:rPr>
        <w:t xml:space="preserve">, que es la que alimenta el estado de cuenta (Sección 4.7).</w:t>
      </w:r>
    </w:p>
    <w:p>
      <w:pPr>
        <w:pStyle w:val="Heading2"/>
        <w:spacing w:after="150" w:before="300"/>
      </w:pPr>
      <w:r>
        <w:rPr>
          <w:rFonts w:ascii="Arial" w:cs="Arial" w:eastAsia="Arial" w:hAnsi="Arial"/>
          <w:b/>
          <w:bCs/>
          <w:color w:val="16A34A"/>
          <w:sz w:val="28"/>
          <w:szCs w:val="28"/>
        </w:rPr>
        <w:t xml:space="preserve">8.5 Stock: traslados, ajustes y vencimientos</w:t>
      </w:r>
    </w:p>
    <w:p>
      <w:pPr>
        <w:pStyle w:val="ListParagraph"/>
        <w:numPr>
          <w:ilvl w:val="0"/>
          <w:numId w:val="8"/>
        </w:numPr>
        <w:spacing w:after="80"/>
      </w:pPr>
      <w:r>
        <w:rPr>
          <w:rFonts w:ascii="Arial" w:cs="Arial" w:eastAsia="Arial" w:hAnsi="Arial"/>
          <w:b/>
          <w:bCs/>
          <w:sz w:val="22"/>
          <w:szCs w:val="22"/>
        </w:rPr>
        <w:t xml:space="preserve">Traslados: </w:t>
      </w:r>
      <w:r>
        <w:rPr>
          <w:rFonts w:ascii="Arial" w:cs="Arial" w:eastAsia="Arial" w:hAnsi="Arial"/>
          <w:color w:val="B91C1C"/>
          <w:sz w:val="22"/>
          <w:szCs w:val="22"/>
        </w:rPr>
        <w:t xml:space="preserve">transfer_stock()</w:t>
      </w:r>
      <w:r>
        <w:rPr>
          <w:rFonts w:ascii="Arial" w:cs="Arial" w:eastAsia="Arial" w:hAnsi="Arial"/>
          <w:sz w:val="22"/>
          <w:szCs w:val="22"/>
        </w:rPr>
        <w:t xml:space="preserve"> valida que haya cantidad suficiente en origen y lanza una excepción SQL si no la hay — la UI la captura y la muestra como error.</w:t>
      </w:r>
    </w:p>
    <w:p>
      <w:pPr>
        <w:pStyle w:val="ListParagraph"/>
        <w:numPr>
          <w:ilvl w:val="0"/>
          <w:numId w:val="8"/>
        </w:numPr>
        <w:spacing w:after="80"/>
      </w:pPr>
      <w:r>
        <w:rPr>
          <w:rFonts w:ascii="Arial" w:cs="Arial" w:eastAsia="Arial" w:hAnsi="Arial"/>
          <w:b/>
          <w:bCs/>
          <w:sz w:val="22"/>
          <w:szCs w:val="22"/>
        </w:rPr>
        <w:t xml:space="preserve">Ajustes manuales: </w:t>
      </w:r>
      <w:r>
        <w:rPr>
          <w:rFonts w:ascii="Arial" w:cs="Arial" w:eastAsia="Arial" w:hAnsi="Arial"/>
          <w:sz w:val="22"/>
          <w:szCs w:val="22"/>
        </w:rPr>
        <w:t xml:space="preserve">AdjustmentModal permite sumar o restar stock con una nota obligatoria; usa increment_stock con cantidades negativas para restar.</w:t>
      </w:r>
    </w:p>
    <w:p>
      <w:pPr>
        <w:pStyle w:val="ListParagraph"/>
        <w:numPr>
          <w:ilvl w:val="0"/>
          <w:numId w:val="8"/>
        </w:numPr>
        <w:spacing w:after="80"/>
      </w:pPr>
      <w:r>
        <w:rPr>
          <w:rFonts w:ascii="Arial" w:cs="Arial" w:eastAsia="Arial" w:hAnsi="Arial"/>
          <w:b/>
          <w:bCs/>
          <w:sz w:val="22"/>
          <w:szCs w:val="22"/>
        </w:rPr>
        <w:t xml:space="preserve">Vencimientos: </w:t>
      </w:r>
      <w:r>
        <w:rPr>
          <w:rFonts w:ascii="Arial" w:cs="Arial" w:eastAsia="Arial" w:hAnsi="Arial"/>
          <w:sz w:val="22"/>
          <w:szCs w:val="22"/>
        </w:rPr>
        <w:t xml:space="preserve">movementService.getExpiryAlerts() filtra stock_movements tipo 'compra' con expiry_date y clasifica cada lote en 'expired' · 'critical' · 'warning' · 'ok' según los días restantes.</w:t>
      </w:r>
    </w:p>
    <w:p>
      <w:pPr>
        <w:pStyle w:val="Heading2"/>
        <w:spacing w:after="150" w:before="300"/>
      </w:pPr>
      <w:r>
        <w:rPr>
          <w:rFonts w:ascii="Arial" w:cs="Arial" w:eastAsia="Arial" w:hAnsi="Arial"/>
          <w:b/>
          <w:bCs/>
          <w:color w:val="16A34A"/>
          <w:sz w:val="28"/>
          <w:szCs w:val="28"/>
        </w:rPr>
        <w:t xml:space="preserve">8.6 Compras: nota de pedido → orden de compra → recepción</w:t>
      </w:r>
    </w:p>
    <w:p>
      <w:pPr>
        <w:spacing w:after="80" w:before="200"/>
        <w:jc w:val="center"/>
      </w:pPr>
      <w:r>
        <w:drawing>
          <wp:inline distT="0" distB="0" distL="0" distR="0">
            <wp:extent cx="59436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867025"/>
                    </a:xfrm>
                    <a:prstGeom prst="rect">
                      <a:avLst/>
                    </a:prstGeom>
                  </pic:spPr>
                </pic:pic>
              </a:graphicData>
            </a:graphic>
          </wp:inline>
        </w:drawing>
      </w:r>
    </w:p>
    <w:p>
      <w:pPr>
        <w:spacing w:after="240"/>
        <w:jc w:val="center"/>
      </w:pPr>
      <w:r>
        <w:rPr>
          <w:rFonts w:ascii="Arial" w:cs="Arial" w:eastAsia="Arial" w:hAnsi="Arial"/>
          <w:i/>
          <w:iCs/>
          <w:color w:val="64748B"/>
          <w:sz w:val="19"/>
          <w:szCs w:val="19"/>
        </w:rPr>
        <w:t xml:space="preserve">Figura 6. Flujo de compras — de la nota de pedido a la recepción de mercadería.</w:t>
      </w:r>
    </w:p>
    <w:p>
      <w:pPr>
        <w:spacing w:after="120"/>
      </w:pPr>
      <w:r>
        <w:rPr>
          <w:rFonts w:ascii="Arial" w:cs="Arial" w:eastAsia="Arial" w:hAnsi="Arial"/>
          <w:sz w:val="22"/>
          <w:szCs w:val="22"/>
        </w:rPr>
        <w:t xml:space="preserve">El repositor no ve el campo proveedor al crear una nota (</w:t>
      </w:r>
      <w:r>
        <w:rPr>
          <w:rFonts w:ascii="Arial" w:cs="Arial" w:eastAsia="Arial" w:hAnsi="Arial"/>
          <w:color w:val="B91C1C"/>
          <w:sz w:val="20"/>
          <w:szCs w:val="20"/>
        </w:rPr>
        <w:t xml:space="preserve">supplier_id</w:t>
      </w:r>
      <w:r>
        <w:rPr>
          <w:rFonts w:ascii="Arial" w:cs="Arial" w:eastAsia="Arial" w:hAnsi="Arial"/>
          <w:sz w:val="22"/>
          <w:szCs w:val="22"/>
        </w:rPr>
        <w:t xml:space="preserve"> es opcional en </w:t>
      </w:r>
      <w:r>
        <w:rPr>
          <w:rFonts w:ascii="Arial" w:cs="Arial" w:eastAsia="Arial" w:hAnsi="Arial"/>
          <w:color w:val="B91C1C"/>
          <w:sz w:val="20"/>
          <w:szCs w:val="20"/>
        </w:rPr>
        <w:t xml:space="preserve">purchase_notes</w:t>
      </w:r>
      <w:r>
        <w:rPr>
          <w:rFonts w:ascii="Arial" w:cs="Arial" w:eastAsia="Arial" w:hAnsi="Arial"/>
          <w:sz w:val="22"/>
          <w:szCs w:val="22"/>
        </w:rPr>
        <w:t xml:space="preserve">); es el Admin quien lo asigna al aprobar. La Orden de Compra puede nacer de una nota aprobada o crearse directamente. Al confirmar la recepción (ReceiveOrderModal), se puede indicar fecha de vencimiento por producto, que queda registrada en el stock_movement tipo 'compra' consumido por las alertas de vencimiento.</w:t>
      </w:r>
    </w:p>
    <w:p>
      <w:pPr>
        <w:pStyle w:val="Heading2"/>
        <w:spacing w:after="150" w:before="300"/>
      </w:pPr>
      <w:r>
        <w:rPr>
          <w:rFonts w:ascii="Arial" w:cs="Arial" w:eastAsia="Arial" w:hAnsi="Arial"/>
          <w:b/>
          <w:bCs/>
          <w:color w:val="16A34A"/>
          <w:sz w:val="28"/>
          <w:szCs w:val="28"/>
        </w:rPr>
        <w:t xml:space="preserve">8.7 Caja y turnos</w:t>
      </w:r>
    </w:p>
    <w:p>
      <w:pPr>
        <w:spacing w:after="120"/>
      </w:pPr>
      <w:r>
        <w:rPr>
          <w:rFonts w:ascii="Arial" w:cs="Arial" w:eastAsia="Arial" w:hAnsi="Arial"/>
          <w:sz w:val="22"/>
          <w:szCs w:val="22"/>
        </w:rPr>
        <w:t xml:space="preserve">Una cash_session queda 'open' desde que se abre hasta que se cierra; el cierre no obliga a abrir una nueva sesión de inmediato (pantalla "No hay caja abierta" con opción de abrir o volver al dashboard). Mientras la sesión está abierta, "Mi turno" (ShiftSalesPage) muestra todas las ventas del cajero activo con resumen por método de pago, incluyendo el neto de las devoluciones procesadas en el turno.</w:t>
      </w:r>
    </w:p>
    <w:p>
      <w:r>
        <w:br w:type="page"/>
      </w:r>
    </w:p>
    <w:p>
      <w:pPr>
        <w:pStyle w:val="Heading1"/>
        <w:spacing w:after="200" w:before="400"/>
      </w:pPr>
      <w:r>
        <w:rPr>
          <w:rFonts w:ascii="Arial" w:cs="Arial" w:eastAsia="Arial" w:hAnsi="Arial"/>
          <w:b/>
          <w:bCs/>
          <w:color w:val="0F172A"/>
          <w:sz w:val="32"/>
          <w:szCs w:val="32"/>
        </w:rPr>
        <w:t xml:space="preserve">9. Integraciones y Utilidades Compartidas</w:t>
      </w:r>
    </w:p>
    <w:p>
      <w:pPr>
        <w:pStyle w:val="Heading2"/>
        <w:spacing w:after="150" w:before="300"/>
      </w:pPr>
      <w:r>
        <w:rPr>
          <w:rFonts w:ascii="Arial" w:cs="Arial" w:eastAsia="Arial" w:hAnsi="Arial"/>
          <w:b/>
          <w:bCs/>
          <w:color w:val="16A34A"/>
          <w:sz w:val="28"/>
          <w:szCs w:val="28"/>
        </w:rPr>
        <w:t xml:space="preserve">9.1 Impresión de tickets</w:t>
      </w:r>
    </w:p>
    <w:p>
      <w:pPr>
        <w:spacing w:after="120"/>
      </w:pPr>
      <w:r>
        <w:rPr>
          <w:rFonts w:ascii="Arial" w:cs="Arial" w:eastAsia="Arial" w:hAnsi="Arial"/>
          <w:color w:val="B91C1C"/>
          <w:sz w:val="20"/>
          <w:szCs w:val="20"/>
        </w:rPr>
        <w:t xml:space="preserve">ticketPrinter.js</w:t>
      </w:r>
      <w:r>
        <w:rPr>
          <w:rFonts w:ascii="Arial" w:cs="Arial" w:eastAsia="Arial" w:hAnsi="Arial"/>
          <w:sz w:val="22"/>
          <w:szCs w:val="22"/>
        </w:rPr>
        <w:t xml:space="preserve"> genera el HTML del comprobante (</w:t>
      </w:r>
      <w:r>
        <w:rPr>
          <w:rFonts w:ascii="Arial" w:cs="Arial" w:eastAsia="Arial" w:hAnsi="Arial"/>
          <w:color w:val="B91C1C"/>
          <w:sz w:val="20"/>
          <w:szCs w:val="20"/>
        </w:rPr>
        <w:t xml:space="preserve">buildTicketHtml</w:t>
      </w:r>
      <w:r>
        <w:rPr>
          <w:rFonts w:ascii="Arial" w:cs="Arial" w:eastAsia="Arial" w:hAnsi="Arial"/>
          <w:sz w:val="22"/>
          <w:szCs w:val="22"/>
        </w:rPr>
        <w:t xml:space="preserve">) con CSS </w:t>
      </w:r>
      <w:r>
        <w:rPr>
          <w:rFonts w:ascii="Arial" w:cs="Arial" w:eastAsia="Arial" w:hAnsi="Arial"/>
          <w:color w:val="B91C1C"/>
          <w:sz w:val="20"/>
          <w:szCs w:val="20"/>
        </w:rPr>
        <w:t xml:space="preserve">@page</w:t>
      </w:r>
      <w:r>
        <w:rPr>
          <w:rFonts w:ascii="Arial" w:cs="Arial" w:eastAsia="Arial" w:hAnsi="Arial"/>
          <w:sz w:val="22"/>
          <w:szCs w:val="22"/>
        </w:rPr>
        <w:t xml:space="preserve"> ajustado a papel térmico de 58mm o 80mm (configurable en Ajustes), lo abre en una ventana emergente y llama a </w:t>
      </w:r>
      <w:r>
        <w:rPr>
          <w:rFonts w:ascii="Arial" w:cs="Arial" w:eastAsia="Arial" w:hAnsi="Arial"/>
          <w:color w:val="B91C1C"/>
          <w:sz w:val="20"/>
          <w:szCs w:val="20"/>
        </w:rPr>
        <w:t xml:space="preserve">window.print()</w:t>
      </w:r>
      <w:r>
        <w:rPr>
          <w:rFonts w:ascii="Arial" w:cs="Arial" w:eastAsia="Arial" w:hAnsi="Arial"/>
          <w:sz w:val="22"/>
          <w:szCs w:val="22"/>
        </w:rPr>
        <w:t xml:space="preserve"> tras un timeout de 400ms para dar tiempo al renderizado. No usa ninguna librería de impresión — es HTML + CSS puro.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120"/>
              <w:left w:type="dxa" w:w="200"/>
              <w:bottom w:type="dxa" w:w="120"/>
              <w:right w:type="dxa" w:w="200"/>
            </w:tcMar>
          </w:tcPr>
          <w:p>
            <w:pPr>
              <w:spacing w:after="60"/>
            </w:pPr>
            <w:r>
              <w:rPr>
                <w:rFonts w:ascii="Arial" w:cs="Arial" w:eastAsia="Arial" w:hAnsi="Arial"/>
                <w:b/>
                <w:bCs/>
                <w:color w:val="0F172A"/>
                <w:sz w:val="22"/>
                <w:szCs w:val="22"/>
              </w:rPr>
              <w:t xml:space="preserve">✅ Buenas prácticas</w:t>
            </w:r>
          </w:p>
          <w:p>
            <w:r>
              <w:rPr>
                <w:rFonts w:ascii="Arial" w:cs="Arial" w:eastAsia="Arial" w:hAnsi="Arial"/>
                <w:color w:val="64748B"/>
                <w:sz w:val="20"/>
                <w:szCs w:val="20"/>
              </w:rPr>
              <w:t xml:space="preserve">Para impresión silenciosa (sin el diálogo de impresión de Chrome), el acceso directo POS La Economia.bat abre Chrome con la flag --kiosk-printing. Requiere configurar la ticketera como impresora predeterminada de Windows.</w:t>
            </w:r>
          </w:p>
        </w:tc>
      </w:tr>
    </w:tbl>
    <w:p>
      <w:pPr>
        <w:pStyle w:val="Heading2"/>
        <w:spacing w:after="150" w:before="300"/>
      </w:pPr>
      <w:r>
        <w:rPr>
          <w:rFonts w:ascii="Arial" w:cs="Arial" w:eastAsia="Arial" w:hAnsi="Arial"/>
          <w:b/>
          <w:bCs/>
          <w:color w:val="16A34A"/>
          <w:sz w:val="28"/>
          <w:szCs w:val="28"/>
        </w:rPr>
        <w:t xml:space="preserve">9.2 Exportación a Excel y PDF</w:t>
      </w:r>
    </w:p>
    <w:p>
      <w:pPr>
        <w:spacing w:after="120"/>
      </w:pPr>
      <w:r>
        <w:rPr>
          <w:rFonts w:ascii="Arial" w:cs="Arial" w:eastAsia="Arial" w:hAnsi="Arial"/>
          <w:color w:val="B91C1C"/>
          <w:sz w:val="20"/>
          <w:szCs w:val="20"/>
        </w:rPr>
        <w:t xml:space="preserve">shared/utils/exporters.js</w:t>
      </w:r>
      <w:r>
        <w:rPr>
          <w:rFonts w:ascii="Arial" w:cs="Arial" w:eastAsia="Arial" w:hAnsi="Arial"/>
          <w:sz w:val="22"/>
          <w:szCs w:val="22"/>
        </w:rPr>
        <w:t xml:space="preserve"> expone dos funciones puramente client-side, sin llamadas a Supabase:</w:t>
      </w:r>
    </w:p>
    <w:p>
      <w:pPr>
        <w:pStyle w:val="ListParagraph"/>
        <w:numPr>
          <w:ilvl w:val="0"/>
          <w:numId w:val="9"/>
        </w:numPr>
        <w:spacing w:after="80"/>
      </w:pPr>
      <w:r>
        <w:rPr>
          <w:rFonts w:ascii="Arial" w:cs="Arial" w:eastAsia="Arial" w:hAnsi="Arial"/>
          <w:b/>
          <w:bCs/>
          <w:sz w:val="22"/>
          <w:szCs w:val="22"/>
        </w:rPr>
        <w:t xml:space="preserve">exportToExcel(rows, filename, sheetName)</w:t>
      </w:r>
      <w:r>
        <w:rPr>
          <w:rFonts w:ascii="Arial" w:cs="Arial" w:eastAsia="Arial" w:hAnsi="Arial"/>
          <w:sz w:val="22"/>
          <w:szCs w:val="22"/>
        </w:rPr>
        <w:t xml:space="preserve"> — arma la hoja con xlsx-js-style: fila de título + fecha generados, headers en verde con texto blanco, ancho de columna automático según el contenido más largo.</w:t>
      </w:r>
    </w:p>
    <w:p>
      <w:pPr>
        <w:pStyle w:val="ListParagraph"/>
        <w:numPr>
          <w:ilvl w:val="0"/>
          <w:numId w:val="9"/>
        </w:numPr>
        <w:spacing w:after="80"/>
      </w:pPr>
      <w:r>
        <w:rPr>
          <w:rFonts w:ascii="Arial" w:cs="Arial" w:eastAsia="Arial" w:hAnsi="Arial"/>
          <w:b/>
          <w:bCs/>
          <w:sz w:val="22"/>
          <w:szCs w:val="22"/>
        </w:rPr>
        <w:t xml:space="preserve">exportToPDF</w:t>
      </w:r>
      <w:r>
        <w:rPr>
          <w:rFonts w:ascii="Arial" w:cs="Arial" w:eastAsia="Arial" w:hAnsi="Arial"/>
          <w:sz w:val="22"/>
          <w:szCs w:val="22"/>
        </w:rPr>
        <w:t xml:space="preserve"> — usa jsPDF + jspdf-autotable para tablas paginadas, usado en reportes y en órdenes de compra / etiquetas de góndola / estados de cuenta.</w:t>
      </w:r>
    </w:p>
    <w:p>
      <w:pPr>
        <w:pStyle w:val="Heading2"/>
        <w:spacing w:after="150" w:before="300"/>
      </w:pPr>
      <w:r>
        <w:rPr>
          <w:rFonts w:ascii="Arial" w:cs="Arial" w:eastAsia="Arial" w:hAnsi="Arial"/>
          <w:b/>
          <w:bCs/>
          <w:color w:val="16A34A"/>
          <w:sz w:val="28"/>
          <w:szCs w:val="28"/>
        </w:rPr>
        <w:t xml:space="preserve">9.3 Dashboard y gráficos</w:t>
      </w:r>
    </w:p>
    <w:p>
      <w:pPr>
        <w:spacing w:after="120"/>
      </w:pPr>
      <w:r>
        <w:rPr>
          <w:rFonts w:ascii="Arial" w:cs="Arial" w:eastAsia="Arial" w:hAnsi="Arial"/>
          <w:sz w:val="22"/>
          <w:szCs w:val="22"/>
        </w:rPr>
        <w:t xml:space="preserve">adminService.getWeeklySales() agrupa ventas y monto recaudado de los últimos 7 días. DashboardPage los renderiza con Recharts: un AreaChart para lo recaudado y un BarChart para la cantidad de ventas, ambos con la paleta verde del sistema.</w:t>
      </w:r>
    </w:p>
    <w:p>
      <w:r>
        <w:br w:type="page"/>
      </w:r>
    </w:p>
    <w:p>
      <w:pPr>
        <w:pStyle w:val="Heading1"/>
        <w:spacing w:after="200" w:before="400"/>
      </w:pPr>
      <w:r>
        <w:rPr>
          <w:rFonts w:ascii="Arial" w:cs="Arial" w:eastAsia="Arial" w:hAnsi="Arial"/>
          <w:b/>
          <w:bCs/>
          <w:color w:val="0F172A"/>
          <w:sz w:val="32"/>
          <w:szCs w:val="32"/>
        </w:rPr>
        <w:t xml:space="preserve">10. Scripts de Mantenimiento</w:t>
      </w:r>
    </w:p>
    <w:p>
      <w:pPr>
        <w:spacing w:after="120"/>
      </w:pPr>
      <w:r>
        <w:rPr>
          <w:rFonts w:ascii="Arial" w:cs="Arial" w:eastAsia="Arial" w:hAnsi="Arial"/>
          <w:sz w:val="22"/>
          <w:szCs w:val="22"/>
        </w:rPr>
        <w:t xml:space="preserve">La carpeta </w:t>
      </w:r>
      <w:r>
        <w:rPr>
          <w:rFonts w:ascii="Arial" w:cs="Arial" w:eastAsia="Arial" w:hAnsi="Arial"/>
          <w:color w:val="B91C1C"/>
          <w:sz w:val="20"/>
          <w:szCs w:val="20"/>
        </w:rPr>
        <w:t xml:space="preserve">scripts/</w:t>
      </w:r>
      <w:r>
        <w:rPr>
          <w:rFonts w:ascii="Arial" w:cs="Arial" w:eastAsia="Arial" w:hAnsi="Arial"/>
          <w:sz w:val="22"/>
          <w:szCs w:val="22"/>
        </w:rPr>
        <w:t xml:space="preserve"> contiene utilidades de Node ejecutadas fuera de la app, pensadas para correrse por línea de comandos o con doble click en su .bat equivalente. Todas requieren </w:t>
      </w:r>
      <w:r>
        <w:rPr>
          <w:rFonts w:ascii="Arial" w:cs="Arial" w:eastAsia="Arial" w:hAnsi="Arial"/>
          <w:color w:val="B91C1C"/>
          <w:sz w:val="20"/>
          <w:szCs w:val="20"/>
        </w:rPr>
        <w:t xml:space="preserve">VITE_SUPABASE_SERVICE_KEY</w:t>
      </w:r>
      <w:r>
        <w:rPr>
          <w:rFonts w:ascii="Arial" w:cs="Arial" w:eastAsia="Arial" w:hAnsi="Arial"/>
          <w:sz w:val="22"/>
          <w:szCs w:val="22"/>
        </w:rPr>
        <w:t xml:space="preserve"> en </w:t>
      </w:r>
      <w:r>
        <w:rPr>
          <w:rFonts w:ascii="Arial" w:cs="Arial" w:eastAsia="Arial" w:hAnsi="Arial"/>
          <w:color w:val="B91C1C"/>
          <w:sz w:val="20"/>
          <w:szCs w:val="20"/>
        </w:rPr>
        <w:t xml:space="preserve">.env</w:t>
      </w:r>
      <w:r>
        <w:rPr>
          <w:rFonts w:ascii="Arial" w:cs="Arial" w:eastAsia="Arial" w:hAnsi="Arial"/>
          <w:sz w:val="22"/>
          <w:szCs w:val="22"/>
        </w:rPr>
        <w:t xml:space="preserve"> porque escriben en la base saltando 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22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.bat</w:t>
            </w:r>
          </w:p>
        </w:tc>
        <w:tc>
          <w:tcPr>
            <w:tcW w:type="dxa" w:w="49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Qué hace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seed.mjs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cargar-datos.bat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Carga datos de prueba realistas (requiere al menos un usuario ya creado por el Setup Wizard)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vaciar-db.mjs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vaciar-datos.bat</w:t>
            </w:r>
          </w:p>
        </w:tc>
        <w:tc>
          <w:tcPr>
            <w:tcW w:type="dxa" w:w="4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Borra datos transaccionales de prueba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reset-setup.mjs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reset-setup.bat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Revierte el flag setup_completed para volver a pasar por el Setup Wizard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20"/>
              <w:left w:type="dxa" w:w="200"/>
              <w:bottom w:type="dxa" w:w="120"/>
              <w:right w:type="dxa" w:w="200"/>
            </w:tcMar>
          </w:tcPr>
          <w:p>
            <w:pPr>
              <w:spacing w:after="60"/>
            </w:pPr>
            <w:r>
              <w:rPr>
                <w:rFonts w:ascii="Arial" w:cs="Arial" w:eastAsia="Arial" w:hAnsi="Arial"/>
                <w:b/>
                <w:bCs/>
                <w:color w:val="0F172A"/>
                <w:sz w:val="22"/>
                <w:szCs w:val="22"/>
              </w:rPr>
              <w:t xml:space="preserve">⚠️ Importante</w:t>
            </w:r>
          </w:p>
          <w:p>
            <w:r>
              <w:rPr>
                <w:rFonts w:ascii="Arial" w:cs="Arial" w:eastAsia="Arial" w:hAnsi="Arial"/>
                <w:color w:val="64748B"/>
                <w:sz w:val="20"/>
                <w:szCs w:val="20"/>
              </w:rPr>
              <w:t xml:space="preserve">Estos scripts son destructivos por diseño (vaciar-db.mjs borra datos) y usan la service key, que bypasea toda protección de RLS. No ejecutarlos nunca contra una base de datos de producción con datos reales sin backup previo.</w:t>
            </w:r>
          </w:p>
        </w:tc>
      </w:tr>
    </w:tbl>
    <w:p>
      <w:r>
        <w:br w:type="page"/>
      </w:r>
    </w:p>
    <w:p>
      <w:pPr>
        <w:pStyle w:val="Heading1"/>
        <w:spacing w:after="200" w:before="400"/>
      </w:pPr>
      <w:r>
        <w:rPr>
          <w:rFonts w:ascii="Arial" w:cs="Arial" w:eastAsia="Arial" w:hAnsi="Arial"/>
          <w:b/>
          <w:bCs/>
          <w:color w:val="0F172A"/>
          <w:sz w:val="32"/>
          <w:szCs w:val="32"/>
        </w:rPr>
        <w:t xml:space="preserve">11. Configuración y Despliegue</w:t>
      </w:r>
    </w:p>
    <w:p>
      <w:pPr>
        <w:pStyle w:val="Heading2"/>
        <w:spacing w:after="150" w:before="300"/>
      </w:pPr>
      <w:r>
        <w:rPr>
          <w:rFonts w:ascii="Arial" w:cs="Arial" w:eastAsia="Arial" w:hAnsi="Arial"/>
          <w:b/>
          <w:bCs/>
          <w:color w:val="16A34A"/>
          <w:sz w:val="28"/>
          <w:szCs w:val="28"/>
        </w:rPr>
        <w:t xml:space="preserve">11.1 Variables de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VITE_SUPABASE_URL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URL del proyecto Supabase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VITE_SUPABASE_ANON_KEY</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Clave pública, sujeta a RLS — usada por el cliente general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VITE_SUPABASE_SERVICE_KEY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Opcional. Bypasea RLS — solo para adminClient.js (crear usuarios) y los scripts de scripts/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20"/>
              <w:left w:type="dxa" w:w="200"/>
              <w:bottom w:type="dxa" w:w="120"/>
              <w:right w:type="dxa" w:w="200"/>
            </w:tcMar>
          </w:tcPr>
          <w:p>
            <w:pPr>
              <w:spacing w:after="60"/>
            </w:pPr>
            <w:r>
              <w:rPr>
                <w:rFonts w:ascii="Arial" w:cs="Arial" w:eastAsia="Arial" w:hAnsi="Arial"/>
                <w:b/>
                <w:bCs/>
                <w:color w:val="0F172A"/>
                <w:sz w:val="22"/>
                <w:szCs w:val="22"/>
              </w:rPr>
              <w:t xml:space="preserve">⚠️ Importante</w:t>
            </w:r>
          </w:p>
          <w:p>
            <w:r>
              <w:rPr>
                <w:rFonts w:ascii="Arial" w:cs="Arial" w:eastAsia="Arial" w:hAnsi="Arial"/>
                <w:color w:val="64748B"/>
                <w:sz w:val="20"/>
                <w:szCs w:val="20"/>
              </w:rPr>
              <w:t xml:space="preserve">Durante la preparación de este manual se detectó que el proyecto Supabase referenciado en el .env local del repositorio (dominio bajo *.supabase.co) no resuelve por DNS — ya no existe o fue reemplazado. El deploy productivo en Vercel (laeconomiapos.vercel.app) funciona correctamente porque usa sus propias variables de entorno, configuradas directamente en el dashboard de Vercel, apuntando a un proyecto Supabase distinto y activo. Quien clone el repo para desarrollar en local necesita pedir las credenciales vigentes — el .env versionado (si lo hubiera) o el .env.example no alcanzan por sí solos.</w:t>
            </w:r>
          </w:p>
        </w:tc>
      </w:tr>
    </w:tbl>
    <w:p>
      <w:pPr>
        <w:pStyle w:val="Heading2"/>
        <w:spacing w:after="150" w:before="300"/>
      </w:pPr>
      <w:r>
        <w:rPr>
          <w:rFonts w:ascii="Arial" w:cs="Arial" w:eastAsia="Arial" w:hAnsi="Arial"/>
          <w:b/>
          <w:bCs/>
          <w:color w:val="16A34A"/>
          <w:sz w:val="28"/>
          <w:szCs w:val="28"/>
        </w:rPr>
        <w:t xml:space="preserve">11.2 Despliegue (Vercel)</w:t>
      </w:r>
    </w:p>
    <w:p>
      <w:pPr>
        <w:spacing w:after="120"/>
      </w:pPr>
      <w:r>
        <w:rPr>
          <w:rFonts w:ascii="Arial" w:cs="Arial" w:eastAsia="Arial" w:hAnsi="Arial"/>
          <w:sz w:val="22"/>
          <w:szCs w:val="22"/>
        </w:rPr>
        <w:t xml:space="preserve">El proyecto se despliega como sitio estático: Vercel ejecuta </w:t>
      </w:r>
      <w:r>
        <w:rPr>
          <w:rFonts w:ascii="Arial" w:cs="Arial" w:eastAsia="Arial" w:hAnsi="Arial"/>
          <w:color w:val="B91C1C"/>
          <w:sz w:val="20"/>
          <w:szCs w:val="20"/>
        </w:rPr>
        <w:t xml:space="preserve">npm run build</w:t>
      </w:r>
      <w:r>
        <w:rPr>
          <w:rFonts w:ascii="Arial" w:cs="Arial" w:eastAsia="Arial" w:hAnsi="Arial"/>
          <w:sz w:val="22"/>
          <w:szCs w:val="22"/>
        </w:rPr>
        <w:t xml:space="preserve"> (Vite) y sirve el contenido de </w:t>
      </w:r>
      <w:r>
        <w:rPr>
          <w:rFonts w:ascii="Arial" w:cs="Arial" w:eastAsia="Arial" w:hAnsi="Arial"/>
          <w:color w:val="B91C1C"/>
          <w:sz w:val="20"/>
          <w:szCs w:val="20"/>
        </w:rPr>
        <w:t xml:space="preserve">dist/</w:t>
      </w:r>
      <w:r>
        <w:rPr>
          <w:rFonts w:ascii="Arial" w:cs="Arial" w:eastAsia="Arial" w:hAnsi="Arial"/>
          <w:sz w:val="22"/>
          <w:szCs w:val="22"/>
        </w:rPr>
        <w:t xml:space="preserve">. Como es una SPA con rutas del lado del cliente, </w:t>
      </w:r>
      <w:r>
        <w:rPr>
          <w:rFonts w:ascii="Arial" w:cs="Arial" w:eastAsia="Arial" w:hAnsi="Arial"/>
          <w:color w:val="B91C1C"/>
          <w:sz w:val="20"/>
          <w:szCs w:val="20"/>
        </w:rPr>
        <w:t xml:space="preserve">vercel.json</w:t>
      </w:r>
      <w:r>
        <w:rPr>
          <w:rFonts w:ascii="Arial" w:cs="Arial" w:eastAsia="Arial" w:hAnsi="Arial"/>
          <w:sz w:val="22"/>
          <w:szCs w:val="22"/>
        </w:rPr>
        <w:t xml:space="preserve"> define un rewrite que redirige cualquier ruta a </w:t>
      </w:r>
      <w:r>
        <w:rPr>
          <w:rFonts w:ascii="Arial" w:cs="Arial" w:eastAsia="Arial" w:hAnsi="Arial"/>
          <w:color w:val="B91C1C"/>
          <w:sz w:val="20"/>
          <w:szCs w:val="20"/>
        </w:rPr>
        <w:t xml:space="preserve">index.html</w:t>
      </w:r>
      <w:r>
        <w:rPr>
          <w:rFonts w:ascii="Arial" w:cs="Arial" w:eastAsia="Arial" w:hAnsi="Arial"/>
          <w:sz w:val="22"/>
          <w:szCs w:val="22"/>
        </w:rPr>
        <w:t xml:space="preserve"> para que React Router la resuelva:</w:t>
      </w:r>
    </w:p>
    <w:p>
      <w:pPr>
        <w:spacing w:after="120"/>
      </w:pPr>
      <w:r>
        <w:rPr>
          <w:rFonts w:ascii="Arial" w:cs="Arial" w:eastAsia="Arial" w:hAnsi="Arial"/>
          <w:color w:val="B91C1C"/>
          <w:sz w:val="20"/>
          <w:szCs w:val="20"/>
        </w:rPr>
        <w:t xml:space="preserve">{ "rewrites": [{ "source": "/(.*)", "destination": "/index.html" }] }</w:t>
      </w:r>
    </w:p>
    <w:p>
      <w:pPr>
        <w:pStyle w:val="Heading2"/>
        <w:spacing w:after="150" w:before="300"/>
      </w:pPr>
      <w:r>
        <w:rPr>
          <w:rFonts w:ascii="Arial" w:cs="Arial" w:eastAsia="Arial" w:hAnsi="Arial"/>
          <w:b/>
          <w:bCs/>
          <w:color w:val="16A34A"/>
          <w:sz w:val="28"/>
          <w:szCs w:val="28"/>
        </w:rPr>
        <w:t xml:space="preserve">11.3 Claves usadas en app_settings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60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business_name, cuit, fiscal_condition, address, phone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Datos del negocio, cargados en el Setup Wizard y editables en Ajustes</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iva_included_default</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Si los precios nuevos incluyen IVA por defecto</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receipt_footer</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Texto libre al pie del ticket</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paper_width</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'58' o '80' — ancho de papel térmico para ticketPrinter.js</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setup_completed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'true' una vez creado el primer superadmin — gatea el Setup Wizard</w:t>
            </w:r>
          </w:p>
        </w:tc>
      </w:tr>
    </w:tbl>
    <w:p>
      <w:r>
        <w:br w:type="page"/>
      </w:r>
    </w:p>
    <w:p>
      <w:pPr>
        <w:pStyle w:val="Heading1"/>
        <w:spacing w:after="200" w:before="400"/>
      </w:pPr>
      <w:r>
        <w:rPr>
          <w:rFonts w:ascii="Arial" w:cs="Arial" w:eastAsia="Arial" w:hAnsi="Arial"/>
          <w:b/>
          <w:bCs/>
          <w:color w:val="0F172A"/>
          <w:sz w:val="32"/>
          <w:szCs w:val="32"/>
        </w:rPr>
        <w:t xml:space="preserve">12. Convenciones de Código</w:t>
      </w:r>
    </w:p>
    <w:p>
      <w:pPr>
        <w:pStyle w:val="ListParagraph"/>
        <w:numPr>
          <w:ilvl w:val="0"/>
          <w:numId w:val="10"/>
        </w:numPr>
        <w:spacing w:after="80"/>
      </w:pPr>
      <w:r>
        <w:rPr>
          <w:rFonts w:ascii="Arial" w:cs="Arial" w:eastAsia="Arial" w:hAnsi="Arial"/>
          <w:b/>
          <w:bCs/>
          <w:sz w:val="22"/>
          <w:szCs w:val="22"/>
        </w:rPr>
        <w:t xml:space="preserve">Modularidad absoluta: </w:t>
      </w:r>
      <w:r>
        <w:rPr>
          <w:rFonts w:ascii="Arial" w:cs="Arial" w:eastAsia="Arial" w:hAnsi="Arial"/>
          <w:sz w:val="22"/>
          <w:szCs w:val="22"/>
        </w:rPr>
        <w:t xml:space="preserve">cada módulo nuevo va en src/modules/&lt;nombre&gt;/ con components/, hooks/ y services/. Código compartido entre módulos va a src/shared/, nunca duplicado.</w:t>
      </w:r>
    </w:p>
    <w:p>
      <w:pPr>
        <w:pStyle w:val="ListParagraph"/>
        <w:numPr>
          <w:ilvl w:val="0"/>
          <w:numId w:val="10"/>
        </w:numPr>
        <w:spacing w:after="80"/>
      </w:pPr>
      <w:r>
        <w:rPr>
          <w:rFonts w:ascii="Arial" w:cs="Arial" w:eastAsia="Arial" w:hAnsi="Arial"/>
          <w:b/>
          <w:bCs/>
          <w:sz w:val="22"/>
          <w:szCs w:val="22"/>
        </w:rPr>
        <w:t xml:space="preserve">Documentación de código: </w:t>
      </w:r>
      <w:r>
        <w:rPr>
          <w:rFonts w:ascii="Arial" w:cs="Arial" w:eastAsia="Arial" w:hAnsi="Arial"/>
          <w:sz w:val="22"/>
          <w:szCs w:val="22"/>
        </w:rPr>
        <w:t xml:space="preserve">todo componente, hook y service lleva un bloque de comentario al inicio con propósito, parámetros y retorno (ver cualquier archivo de services/ como referencia de estilo — están consistentemente documentados así en todo el proyecto).</w:t>
      </w:r>
    </w:p>
    <w:p>
      <w:pPr>
        <w:pStyle w:val="ListParagraph"/>
        <w:numPr>
          <w:ilvl w:val="0"/>
          <w:numId w:val="10"/>
        </w:numPr>
        <w:spacing w:after="80"/>
      </w:pPr>
      <w:r>
        <w:rPr>
          <w:rFonts w:ascii="Arial" w:cs="Arial" w:eastAsia="Arial" w:hAnsi="Arial"/>
          <w:b/>
          <w:bCs/>
          <w:sz w:val="22"/>
          <w:szCs w:val="22"/>
        </w:rPr>
        <w:t xml:space="preserve">Comentarios inline: </w:t>
      </w:r>
      <w:r>
        <w:rPr>
          <w:rFonts w:ascii="Arial" w:cs="Arial" w:eastAsia="Arial" w:hAnsi="Arial"/>
          <w:sz w:val="22"/>
          <w:szCs w:val="22"/>
        </w:rPr>
        <w:t xml:space="preserve">explican el POR QUÉ (una decisión no obvia, un workaround), no el QUÉ — el código ya dice qué hace.</w:t>
      </w:r>
    </w:p>
    <w:p>
      <w:pPr>
        <w:pStyle w:val="ListParagraph"/>
        <w:numPr>
          <w:ilvl w:val="0"/>
          <w:numId w:val="10"/>
        </w:numPr>
        <w:spacing w:after="80"/>
      </w:pPr>
      <w:r>
        <w:rPr>
          <w:rFonts w:ascii="Arial" w:cs="Arial" w:eastAsia="Arial" w:hAnsi="Arial"/>
          <w:b/>
          <w:bCs/>
          <w:sz w:val="22"/>
          <w:szCs w:val="22"/>
        </w:rPr>
        <w:t xml:space="preserve">Capa de servicios: </w:t>
      </w:r>
      <w:r>
        <w:rPr>
          <w:rFonts w:ascii="Arial" w:cs="Arial" w:eastAsia="Arial" w:hAnsi="Arial"/>
          <w:sz w:val="22"/>
          <w:szCs w:val="22"/>
        </w:rPr>
        <w:t xml:space="preserve">los componentes no llaman a supabase directamente — pasan siempre por un *Service.js, que es el único lugar que conoce la forma de las tablas.</w:t>
      </w:r>
    </w:p>
    <w:p>
      <w:r>
        <w:br w:type="page"/>
      </w:r>
    </w:p>
    <w:p>
      <w:pPr>
        <w:pStyle w:val="Heading1"/>
        <w:spacing w:after="200" w:before="400"/>
      </w:pPr>
      <w:r>
        <w:rPr>
          <w:rFonts w:ascii="Arial" w:cs="Arial" w:eastAsia="Arial" w:hAnsi="Arial"/>
          <w:b/>
          <w:bCs/>
          <w:color w:val="0F172A"/>
          <w:sz w:val="32"/>
          <w:szCs w:val="32"/>
        </w:rPr>
        <w:t xml:space="preserve">Anexo: Glosario de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0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20"/>
                <w:szCs w:val="20"/>
              </w:rPr>
              <w:t xml:space="preserve">Valores posibles</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sales.status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completed · cancelled</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sales.receipt_type</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ticket · factura_a · factura_b · factura_c</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sale_payments.method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efectivo · debito · credito · qr · transferencia · cuenta</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cash_sessions.status</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open · closed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stock_movements.movement_type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venta · compra · ajuste · traslado · devolucion · vencimiento</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purchase_notes.status</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draft · submitted · approved · rejected · converted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purchase_orders.status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pending · confirmed · received · cancelled</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discounts.type</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after="120"/>
            </w:pPr>
            <w:r>
              <w:rPr>
                <w:rFonts w:ascii="Arial" w:cs="Arial" w:eastAsia="Arial" w:hAnsi="Arial"/>
                <w:sz w:val="22"/>
                <w:szCs w:val="22"/>
              </w:rPr>
              <w:t xml:space="preserve">percentage_total · fixed_total · product · category · quantity_rule · customer_discount</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roles.name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superadmin · admin · cajero · repositor</w:t>
            </w:r>
          </w:p>
        </w:tc>
      </w:tr>
    </w:tbl>
    <w:p>
      <w:pPr>
        <w:spacing w:before="600"/>
        <w:jc w:val="center"/>
      </w:pPr>
      <w:r>
        <w:rPr>
          <w:rFonts w:ascii="Arial" w:cs="Arial" w:eastAsia="Arial" w:hAnsi="Arial"/>
          <w:i/>
          <w:iCs/>
          <w:color w:val="64748B"/>
          <w:sz w:val="22"/>
          <w:szCs w:val="22"/>
        </w:rPr>
        <w:t xml:space="preserve">— Fin del Manual Técnico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Página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64748B"/>
        <w:sz w:val="18"/>
        <w:szCs w:val="18"/>
      </w:rPr>
      <w:t xml:space="preserve">Sistema POS La Economía — Manual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2"/>
    <w:lvlOverride w:ilvl="0">
      <w:startOverride w:val="1"/>
    </w:lvlOverride>
  </w:num>
  <w:num w:numId="3">
    <w:abstractNumId w:val="33"/>
    <w:lvlOverride w:ilvl="0">
      <w:startOverride w:val="1"/>
    </w:lvlOverride>
  </w:num>
  <w:num w:numId="4">
    <w:abstractNumId w:val="34"/>
    <w:lvlOverride w:ilvl="0">
      <w:startOverride w:val="1"/>
    </w:lvlOverride>
  </w:num>
  <w:num w:numId="5">
    <w:abstractNumId w:val="35"/>
    <w:lvlOverride w:ilvl="0">
      <w:startOverride w:val="1"/>
    </w:lvlOverride>
  </w:num>
  <w:num w:numId="6">
    <w:abstractNumId w:val="2"/>
    <w:lvlOverride w:ilvl="0">
      <w:startOverride w:val="1"/>
    </w:lvlOverride>
  </w:num>
  <w:num w:numId="7">
    <w:abstractNumId w:val="3"/>
    <w:lvlOverride w:ilvl="0">
      <w:startOverride w:val="1"/>
    </w:lvlOverride>
  </w:num>
  <w:num w:numId="8">
    <w:abstractNumId w:val="36"/>
    <w:lvlOverride w:ilvl="0">
      <w:startOverride w:val="1"/>
    </w:lvlOverride>
  </w:num>
  <w:num w:numId="9">
    <w:abstractNumId w:val="37"/>
    <w:lvlOverride w:ilvl="0">
      <w:startOverride w:val="1"/>
    </w:lvlOverride>
  </w:num>
  <w:num w:numId="10">
    <w:abstractNumId w:val="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1ccb267a3c9b47a11f774c319307c081fe03f2.png"/><Relationship Id="rId10" Type="http://schemas.openxmlformats.org/officeDocument/2006/relationships/image" Target="media/482274498dc25f0cb44eca6d2b202da6cc8c590a.png"/><Relationship Id="rId11" Type="http://schemas.openxmlformats.org/officeDocument/2006/relationships/image" Target="media/c7d319d22802a2e0b0bdaf3e7322556c31f3b9d8.png"/><Relationship Id="rId12" Type="http://schemas.openxmlformats.org/officeDocument/2006/relationships/image" Target="media/924e8b97ac671ccadd0f843fd68eb65a2ccca000.png"/><Relationship Id="rId13" Type="http://schemas.openxmlformats.org/officeDocument/2006/relationships/image" Target="media/e9c26a8a56f586ce87fb534725541b90ed01cf8a.png"/><Relationship Id="rId14" Type="http://schemas.openxmlformats.org/officeDocument/2006/relationships/image" Target="media/bd4b6321cce1be94e0731022969c76b48001ea5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2026-08-12T19:40:25.087Z</dcterms:created>
  <dcterms:modified xsi:type="dcterms:W3CDTF">2026-08-12T19:40:25.088Z</dcterms:modified>
</cp:coreProperties>
</file>

<file path=docProps/custom.xml><?xml version="1.0" encoding="utf-8"?>
<Properties xmlns="http://schemas.openxmlformats.org/officeDocument/2006/custom-properties" xmlns:vt="http://schemas.openxmlformats.org/officeDocument/2006/docPropsVTypes"/>
</file>