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f09105"/>
        </w:rPr>
      </w:pPr>
      <w:r w:rsidDel="00000000" w:rsidR="00000000" w:rsidRPr="00000000">
        <w:rPr/>
        <w:drawing>
          <wp:inline distB="114300" distT="114300" distL="114300" distR="114300">
            <wp:extent cx="2520000" cy="9864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-54853" l="0" r="0" t="-40740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98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/>
        <w:drawing>
          <wp:inline distB="114300" distT="114300" distL="114300" distR="114300">
            <wp:extent cx="2560800" cy="1006349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14062" l="0" r="0" t="19047"/>
                    <a:stretch>
                      <a:fillRect/>
                    </a:stretch>
                  </pic:blipFill>
                  <pic:spPr>
                    <a:xfrm>
                      <a:off x="0" y="0"/>
                      <a:ext cx="2560800" cy="10063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keepNext w:val="0"/>
        <w:keepLines w:val="0"/>
        <w:widowControl w:val="0"/>
        <w:spacing w:line="276" w:lineRule="auto"/>
        <w:jc w:val="left"/>
        <w:rPr>
          <w:color w:val="0099e8"/>
        </w:rPr>
      </w:pPr>
      <w:bookmarkStart w:colFirst="0" w:colLast="0" w:name="_727vwis870cd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keepNext w:val="0"/>
        <w:keepLines w:val="0"/>
        <w:widowControl w:val="0"/>
        <w:spacing w:line="276" w:lineRule="auto"/>
        <w:rPr>
          <w:color w:val="0099e8"/>
        </w:rPr>
      </w:pPr>
      <w:bookmarkStart w:colFirst="0" w:colLast="0" w:name="_l0ft33g9wvow" w:id="1"/>
      <w:bookmarkEnd w:id="1"/>
      <w:r w:rsidDel="00000000" w:rsidR="00000000" w:rsidRPr="00000000">
        <w:rPr>
          <w:color w:val="0099e8"/>
          <w:rtl w:val="0"/>
        </w:rPr>
        <w:t xml:space="preserve">Entrega 3</w:t>
      </w:r>
    </w:p>
    <w:p w:rsidR="00000000" w:rsidDel="00000000" w:rsidP="00000000" w:rsidRDefault="00000000" w:rsidRPr="00000000" w14:paraId="00000007">
      <w:pPr>
        <w:pStyle w:val="Subtitle"/>
        <w:keepNext w:val="0"/>
        <w:keepLines w:val="0"/>
        <w:widowControl w:val="0"/>
        <w:spacing w:before="0" w:lineRule="auto"/>
        <w:rPr>
          <w:rFonts w:ascii="Arial" w:cs="Arial" w:eastAsia="Arial" w:hAnsi="Arial"/>
          <w:i w:val="0"/>
          <w:color w:val="666666"/>
          <w:sz w:val="30"/>
          <w:szCs w:val="30"/>
        </w:rPr>
      </w:pPr>
      <w:bookmarkStart w:colFirst="0" w:colLast="0" w:name="_7k5krhbax1j1" w:id="2"/>
      <w:bookmarkEnd w:id="2"/>
      <w:r w:rsidDel="00000000" w:rsidR="00000000" w:rsidRPr="00000000">
        <w:rPr>
          <w:rtl w:val="0"/>
        </w:rPr>
        <w:t xml:space="preserve">Grupo 263 - Subgrupo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Title"/>
        <w:widowControl w:val="0"/>
        <w:jc w:val="both"/>
        <w:rPr>
          <w:color w:val="0099e8"/>
          <w:sz w:val="32"/>
          <w:szCs w:val="32"/>
        </w:rPr>
      </w:pPr>
      <w:bookmarkStart w:colFirst="0" w:colLast="0" w:name="_mud5fpqm4ds1" w:id="3"/>
      <w:bookmarkEnd w:id="3"/>
      <w:r w:rsidDel="00000000" w:rsidR="00000000" w:rsidRPr="00000000">
        <w:rPr>
          <w:color w:val="0099e8"/>
          <w:sz w:val="32"/>
          <w:szCs w:val="32"/>
          <w:rtl w:val="0"/>
        </w:rPr>
        <w:t xml:space="preserve">PROYECTO FINAL TESTING - Jóvenes a Programar 2023</w:t>
      </w:r>
    </w:p>
    <w:p w:rsidR="00000000" w:rsidDel="00000000" w:rsidP="00000000" w:rsidRDefault="00000000" w:rsidRPr="00000000" w14:paraId="0000000E">
      <w:pPr>
        <w:spacing w:before="0" w:line="276" w:lineRule="auto"/>
        <w:rPr>
          <w:rFonts w:ascii="Roboto Slab" w:cs="Roboto Slab" w:eastAsia="Roboto Slab" w:hAnsi="Roboto Slab"/>
          <w:i w:val="1"/>
          <w:color w:val="999999"/>
        </w:rPr>
      </w:pPr>
      <w:r w:rsidDel="00000000" w:rsidR="00000000" w:rsidRPr="00000000">
        <w:rPr>
          <w:rFonts w:ascii="Roboto Slab" w:cs="Roboto Slab" w:eastAsia="Roboto Slab" w:hAnsi="Roboto Slab"/>
          <w:i w:val="1"/>
          <w:color w:val="999999"/>
          <w:rtl w:val="0"/>
        </w:rPr>
        <w:t xml:space="preserve">María Florencia Cardozo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before="0" w:line="276" w:lineRule="auto"/>
        <w:rPr>
          <w:b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Slab" w:cs="Roboto Slab" w:eastAsia="Roboto Slab" w:hAnsi="Roboto Slab"/>
          <w:b w:val="1"/>
          <w:color w:val="8bc34a"/>
          <w:sz w:val="36"/>
          <w:szCs w:val="36"/>
        </w:rPr>
      </w:pPr>
      <w:r w:rsidDel="00000000" w:rsidR="00000000" w:rsidRPr="00000000">
        <w:rPr>
          <w:rFonts w:ascii="Roboto Slab" w:cs="Roboto Slab" w:eastAsia="Roboto Slab" w:hAnsi="Roboto Slab"/>
          <w:b w:val="1"/>
          <w:color w:val="8bc34a"/>
          <w:sz w:val="36"/>
          <w:szCs w:val="36"/>
          <w:rtl w:val="0"/>
        </w:rPr>
        <w:t xml:space="preserve">Índice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12000"/>
            </w:tabs>
            <w:spacing w:before="60" w:line="240" w:lineRule="auto"/>
            <w:jc w:val="left"/>
            <w:rPr>
              <w:rFonts w:ascii="Arial" w:cs="Arial" w:eastAsia="Arial" w:hAnsi="Arial"/>
              <w:color w:val="1155cc"/>
              <w:sz w:val="22"/>
              <w:szCs w:val="22"/>
              <w:u w:val="singl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c3yklfr3tmfs">
            <w:r w:rsidDel="00000000" w:rsidR="00000000" w:rsidRPr="00000000">
              <w:rPr>
                <w:rFonts w:ascii="Arial" w:cs="Arial" w:eastAsia="Arial" w:hAnsi="Arial"/>
                <w:color w:val="1155cc"/>
                <w:sz w:val="22"/>
                <w:szCs w:val="22"/>
                <w:u w:val="single"/>
                <w:rtl w:val="0"/>
              </w:rPr>
              <w:t xml:space="preserve">Introducción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color w:val="1155cc"/>
              <w:sz w:val="22"/>
              <w:szCs w:val="22"/>
              <w:u w:val="single"/>
            </w:rPr>
          </w:pPr>
          <w:hyperlink w:anchor="_dszy19juyv36">
            <w:r w:rsidDel="00000000" w:rsidR="00000000" w:rsidRPr="00000000">
              <w:rPr>
                <w:rFonts w:ascii="Arial" w:cs="Arial" w:eastAsia="Arial" w:hAnsi="Arial"/>
                <w:color w:val="1155cc"/>
                <w:sz w:val="22"/>
                <w:szCs w:val="22"/>
                <w:u w:val="single"/>
                <w:rtl w:val="0"/>
              </w:rPr>
              <w:t xml:space="preserve">Definiciones, Acrónimos y Abreviaturas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12000"/>
            </w:tabs>
            <w:spacing w:before="60" w:line="240" w:lineRule="auto"/>
            <w:jc w:val="left"/>
            <w:rPr>
              <w:rFonts w:ascii="Arial" w:cs="Arial" w:eastAsia="Arial" w:hAnsi="Arial"/>
              <w:color w:val="1155cc"/>
              <w:sz w:val="22"/>
              <w:szCs w:val="22"/>
              <w:u w:val="single"/>
            </w:rPr>
          </w:pPr>
          <w:hyperlink w:anchor="_38jq9f7obw08">
            <w:r w:rsidDel="00000000" w:rsidR="00000000" w:rsidRPr="00000000">
              <w:rPr>
                <w:rFonts w:ascii="Arial" w:cs="Arial" w:eastAsia="Arial" w:hAnsi="Arial"/>
                <w:color w:val="1155cc"/>
                <w:sz w:val="22"/>
                <w:szCs w:val="22"/>
                <w:u w:val="single"/>
                <w:rtl w:val="0"/>
              </w:rPr>
              <w:t xml:space="preserve">Alcance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12000"/>
            </w:tabs>
            <w:spacing w:before="60" w:line="240" w:lineRule="auto"/>
            <w:jc w:val="left"/>
            <w:rPr>
              <w:rFonts w:ascii="Arial" w:cs="Arial" w:eastAsia="Arial" w:hAnsi="Arial"/>
              <w:color w:val="1155cc"/>
              <w:sz w:val="22"/>
              <w:szCs w:val="22"/>
              <w:u w:val="single"/>
            </w:rPr>
          </w:pPr>
          <w:hyperlink w:anchor="_oqz5c6gwwg1s">
            <w:r w:rsidDel="00000000" w:rsidR="00000000" w:rsidRPr="00000000">
              <w:rPr>
                <w:rFonts w:ascii="Arial" w:cs="Arial" w:eastAsia="Arial" w:hAnsi="Arial"/>
                <w:color w:val="1155cc"/>
                <w:sz w:val="22"/>
                <w:szCs w:val="22"/>
                <w:u w:val="single"/>
                <w:rtl w:val="0"/>
              </w:rPr>
              <w:t xml:space="preserve">Desarrollo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12000"/>
            </w:tabs>
            <w:spacing w:before="60" w:line="240" w:lineRule="auto"/>
            <w:jc w:val="left"/>
            <w:rPr>
              <w:rFonts w:ascii="Arial" w:cs="Arial" w:eastAsia="Arial" w:hAnsi="Arial"/>
              <w:color w:val="1155cc"/>
              <w:sz w:val="22"/>
              <w:szCs w:val="22"/>
              <w:u w:val="single"/>
            </w:rPr>
          </w:pPr>
          <w:hyperlink w:anchor="_6dizdxf8axme">
            <w:r w:rsidDel="00000000" w:rsidR="00000000" w:rsidRPr="00000000">
              <w:rPr>
                <w:rFonts w:ascii="Arial" w:cs="Arial" w:eastAsia="Arial" w:hAnsi="Arial"/>
                <w:color w:val="1155cc"/>
                <w:sz w:val="22"/>
                <w:szCs w:val="22"/>
                <w:u w:val="single"/>
                <w:rtl w:val="0"/>
              </w:rPr>
              <w:t xml:space="preserve">Pruebas de confirmación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color w:val="1155cc"/>
              <w:sz w:val="22"/>
              <w:szCs w:val="22"/>
              <w:u w:val="single"/>
            </w:rPr>
          </w:pPr>
          <w:hyperlink w:anchor="_tsskonc4h9ld">
            <w:r w:rsidDel="00000000" w:rsidR="00000000" w:rsidRPr="00000000">
              <w:rPr>
                <w:rFonts w:ascii="Arial" w:cs="Arial" w:eastAsia="Arial" w:hAnsi="Arial"/>
                <w:color w:val="1155cc"/>
                <w:sz w:val="22"/>
                <w:szCs w:val="22"/>
                <w:u w:val="single"/>
                <w:rtl w:val="0"/>
              </w:rPr>
              <w:t xml:space="preserve">Casos abstractos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color w:val="1155cc"/>
              <w:sz w:val="22"/>
              <w:szCs w:val="22"/>
              <w:u w:val="single"/>
            </w:rPr>
          </w:pPr>
          <w:hyperlink w:anchor="_yd8v6be5tivy">
            <w:r w:rsidDel="00000000" w:rsidR="00000000" w:rsidRPr="00000000">
              <w:rPr>
                <w:rFonts w:ascii="Arial" w:cs="Arial" w:eastAsia="Arial" w:hAnsi="Arial"/>
                <w:color w:val="1155cc"/>
                <w:sz w:val="22"/>
                <w:szCs w:val="22"/>
                <w:u w:val="single"/>
                <w:rtl w:val="0"/>
              </w:rPr>
              <w:t xml:space="preserve">Resultados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color w:val="1155cc"/>
              <w:sz w:val="22"/>
              <w:szCs w:val="22"/>
              <w:u w:val="single"/>
            </w:rPr>
          </w:pPr>
          <w:hyperlink w:anchor="_yvlizta6u2gf">
            <w:r w:rsidDel="00000000" w:rsidR="00000000" w:rsidRPr="00000000">
              <w:rPr>
                <w:rFonts w:ascii="Arial" w:cs="Arial" w:eastAsia="Arial" w:hAnsi="Arial"/>
                <w:color w:val="1155cc"/>
                <w:sz w:val="22"/>
                <w:szCs w:val="22"/>
                <w:u w:val="single"/>
                <w:rtl w:val="0"/>
              </w:rPr>
              <w:t xml:space="preserve">Métricas versión 1 vs Métricas versión 2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before="60" w:line="240" w:lineRule="auto"/>
            <w:jc w:val="left"/>
            <w:rPr>
              <w:rFonts w:ascii="Arial" w:cs="Arial" w:eastAsia="Arial" w:hAnsi="Arial"/>
              <w:color w:val="1155cc"/>
              <w:sz w:val="22"/>
              <w:szCs w:val="22"/>
              <w:u w:val="single"/>
            </w:rPr>
          </w:pPr>
          <w:hyperlink w:anchor="_xyl59em8govw">
            <w:r w:rsidDel="00000000" w:rsidR="00000000" w:rsidRPr="00000000">
              <w:rPr>
                <w:rFonts w:ascii="Arial" w:cs="Arial" w:eastAsia="Arial" w:hAnsi="Arial"/>
                <w:color w:val="1155cc"/>
                <w:sz w:val="22"/>
                <w:szCs w:val="22"/>
                <w:u w:val="single"/>
                <w:rtl w:val="0"/>
              </w:rPr>
              <w:t xml:space="preserve">Conclusión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C">
      <w:pPr>
        <w:pStyle w:val="Heading1"/>
        <w:keepNext w:val="0"/>
        <w:keepLines w:val="0"/>
        <w:widowControl w:val="0"/>
        <w:jc w:val="left"/>
        <w:rPr>
          <w:b w:val="0"/>
          <w:i w:val="1"/>
          <w:color w:val="999999"/>
          <w:sz w:val="24"/>
          <w:szCs w:val="24"/>
        </w:rPr>
      </w:pPr>
      <w:bookmarkStart w:colFirst="0" w:colLast="0" w:name="_2k6coxrp6d61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rPr/>
      </w:pPr>
      <w:bookmarkStart w:colFirst="0" w:colLast="0" w:name="_c3yklfr3tmfs" w:id="5"/>
      <w:bookmarkEnd w:id="5"/>
      <w:r w:rsidDel="00000000" w:rsidR="00000000" w:rsidRPr="00000000">
        <w:rPr>
          <w:rtl w:val="0"/>
        </w:rPr>
        <w:t xml:space="preserve">Introducción</w:t>
        <w:br w:type="textWrapping"/>
        <w:tab/>
      </w:r>
    </w:p>
    <w:p w:rsidR="00000000" w:rsidDel="00000000" w:rsidP="00000000" w:rsidRDefault="00000000" w:rsidRPr="00000000" w14:paraId="0000001E">
      <w:pPr>
        <w:spacing w:line="480" w:lineRule="auto"/>
        <w:ind w:firstLine="720"/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Este nuevo informe individual busca documentar los cambios encontrados entre la primera y la segunda versión de la página de E-Mercado, así como confirmar que los incidentes reportados en la etapa anterior fueron corregidos en esta versión.</w:t>
        <w:tab/>
        <w:t xml:space="preserve">El nuevo enlace al sistema web es el siguiente: </w:t>
      </w:r>
      <w:hyperlink r:id="rId8">
        <w:r w:rsidDel="00000000" w:rsidR="00000000" w:rsidRPr="00000000">
          <w:rPr>
            <w:rFonts w:ascii="Arial" w:cs="Arial" w:eastAsia="Arial" w:hAnsi="Arial"/>
            <w:color w:val="1155cc"/>
            <w:sz w:val="22"/>
            <w:szCs w:val="22"/>
            <w:u w:val="single"/>
            <w:rtl w:val="0"/>
          </w:rPr>
          <w:t xml:space="preserve">https://japceibal.github.io/proyecto-testing-retestingOF/</w:t>
        </w:r>
      </w:hyperlink>
      <w:r w:rsidDel="00000000" w:rsidR="00000000" w:rsidRPr="00000000">
        <w:rPr>
          <w:color w:val="00000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y más adelante se detallan los cambios encontrados.</w:t>
      </w:r>
    </w:p>
    <w:p w:rsidR="00000000" w:rsidDel="00000000" w:rsidP="00000000" w:rsidRDefault="00000000" w:rsidRPr="00000000" w14:paraId="0000001F">
      <w:pPr>
        <w:pStyle w:val="Heading2"/>
        <w:spacing w:line="480" w:lineRule="auto"/>
        <w:jc w:val="both"/>
        <w:rPr/>
      </w:pPr>
      <w:bookmarkStart w:colFirst="0" w:colLast="0" w:name="_dszy19juyv36" w:id="6"/>
      <w:bookmarkEnd w:id="6"/>
      <w:r w:rsidDel="00000000" w:rsidR="00000000" w:rsidRPr="00000000">
        <w:rPr>
          <w:rtl w:val="0"/>
        </w:rPr>
        <w:t xml:space="preserve">Definiciones, Acrónimos y Abreviaturas</w:t>
      </w:r>
    </w:p>
    <w:p w:rsidR="00000000" w:rsidDel="00000000" w:rsidP="00000000" w:rsidRDefault="00000000" w:rsidRPr="00000000" w14:paraId="00000020">
      <w:pPr>
        <w:spacing w:line="480" w:lineRule="auto"/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CU: Caso de Uso</w:t>
      </w:r>
    </w:p>
    <w:p w:rsidR="00000000" w:rsidDel="00000000" w:rsidP="00000000" w:rsidRDefault="00000000" w:rsidRPr="00000000" w14:paraId="00000021">
      <w:pPr>
        <w:spacing w:line="480" w:lineRule="auto"/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CPA: Casos de prueba abstractos</w:t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widowControl w:val="0"/>
        <w:spacing w:line="480" w:lineRule="auto"/>
        <w:rPr/>
      </w:pPr>
      <w:bookmarkStart w:colFirst="0" w:colLast="0" w:name="_38jq9f7obw08" w:id="7"/>
      <w:bookmarkEnd w:id="7"/>
      <w:r w:rsidDel="00000000" w:rsidR="00000000" w:rsidRPr="00000000">
        <w:rPr>
          <w:rtl w:val="0"/>
        </w:rPr>
        <w:t xml:space="preserve">Alcance</w:t>
      </w:r>
    </w:p>
    <w:p w:rsidR="00000000" w:rsidDel="00000000" w:rsidP="00000000" w:rsidRDefault="00000000" w:rsidRPr="00000000" w14:paraId="00000023">
      <w:pPr>
        <w:spacing w:line="480" w:lineRule="auto"/>
        <w:jc w:val="both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Con este informe también se pretende poner en práctica algunos de los conceptos y habilidades trabajados a lo largo del curso, buscando demostrar los conocimientos aprendidos durante el mismo. Las principales habilidades de Testing técnico que se pretenden demostrar son: el uso de herramientas de gestión, Trello y Google Sheets respectivamente, realizando pruebas de regresión y confirmación sobre aquellas desarrolladas en la etapa anterior. Al mismo tiempo, se reconoce que se pusieron en práctica algunas habilidades trabajadas con María, la Referente de grupo, las cuales son: trabajo en equipo, comunicación asertiva y resolución de conflictos.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spacing w:line="480" w:lineRule="auto"/>
        <w:rPr/>
      </w:pPr>
      <w:bookmarkStart w:colFirst="0" w:colLast="0" w:name="_oqz5c6gwwg1s" w:id="8"/>
      <w:bookmarkEnd w:id="8"/>
      <w:r w:rsidDel="00000000" w:rsidR="00000000" w:rsidRPr="00000000">
        <w:rPr>
          <w:rtl w:val="0"/>
        </w:rPr>
        <w:t xml:space="preserve">Desarrollo</w:t>
      </w:r>
    </w:p>
    <w:p w:rsidR="00000000" w:rsidDel="00000000" w:rsidP="00000000" w:rsidRDefault="00000000" w:rsidRPr="00000000" w14:paraId="00000025">
      <w:pPr>
        <w:spacing w:line="480" w:lineRule="auto"/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ab/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Tal como se indicó previamente, este informe detalla si los incidentes han sido corregidos en la presente versión o no, que en este caso ninguno ha sido corregido.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spacing w:line="480" w:lineRule="auto"/>
        <w:rPr/>
      </w:pPr>
      <w:bookmarkStart w:colFirst="0" w:colLast="0" w:name="_6dizdxf8axme" w:id="9"/>
      <w:bookmarkEnd w:id="9"/>
      <w:r w:rsidDel="00000000" w:rsidR="00000000" w:rsidRPr="00000000">
        <w:rPr>
          <w:rtl w:val="0"/>
        </w:rPr>
        <w:t xml:space="preserve">Pruebas de confirmación</w:t>
      </w:r>
    </w:p>
    <w:p w:rsidR="00000000" w:rsidDel="00000000" w:rsidP="00000000" w:rsidRDefault="00000000" w:rsidRPr="00000000" w14:paraId="00000027">
      <w:pPr>
        <w:pStyle w:val="Heading2"/>
        <w:rPr/>
      </w:pPr>
      <w:bookmarkStart w:colFirst="0" w:colLast="0" w:name="_tsskonc4h9ld" w:id="10"/>
      <w:bookmarkEnd w:id="10"/>
      <w:r w:rsidDel="00000000" w:rsidR="00000000" w:rsidRPr="00000000">
        <w:rPr>
          <w:rtl w:val="0"/>
        </w:rPr>
        <w:t xml:space="preserve">Casos abstractos</w:t>
      </w:r>
    </w:p>
    <w:p w:rsidR="00000000" w:rsidDel="00000000" w:rsidP="00000000" w:rsidRDefault="00000000" w:rsidRPr="00000000" w14:paraId="00000028">
      <w:pPr>
        <w:spacing w:line="480" w:lineRule="auto"/>
        <w:ind w:firstLine="720"/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Los casos de prueba que se realizaron y los incidentes reportados se encuentran documentados en los siguientes enlaces:</w:t>
      </w:r>
    </w:p>
    <w:p w:rsidR="00000000" w:rsidDel="00000000" w:rsidP="00000000" w:rsidRDefault="00000000" w:rsidRPr="00000000" w14:paraId="00000029">
      <w:pPr>
        <w:spacing w:line="480" w:lineRule="auto"/>
        <w:jc w:val="both"/>
        <w:rPr>
          <w:rFonts w:ascii="Arial" w:cs="Arial" w:eastAsia="Arial" w:hAnsi="Arial"/>
          <w:color w:val="000000"/>
          <w:sz w:val="22"/>
          <w:szCs w:val="22"/>
        </w:rPr>
      </w:pPr>
      <w:hyperlink r:id="rId9">
        <w:r w:rsidDel="00000000" w:rsidR="00000000" w:rsidRPr="00000000">
          <w:rPr>
            <w:rFonts w:ascii="Arial" w:cs="Arial" w:eastAsia="Arial" w:hAnsi="Arial"/>
            <w:color w:val="1155cc"/>
            <w:sz w:val="22"/>
            <w:szCs w:val="22"/>
            <w:u w:val="single"/>
            <w:rtl w:val="0"/>
          </w:rPr>
          <w:t xml:space="preserve">Datos de prueba - Casos de prueba -  Versión 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480" w:lineRule="auto"/>
        <w:jc w:val="both"/>
        <w:rPr>
          <w:rFonts w:ascii="Arial" w:cs="Arial" w:eastAsia="Arial" w:hAnsi="Arial"/>
          <w:color w:val="000000"/>
          <w:sz w:val="22"/>
          <w:szCs w:val="22"/>
        </w:rPr>
      </w:pPr>
      <w:hyperlink r:id="rId10">
        <w:r w:rsidDel="00000000" w:rsidR="00000000" w:rsidRPr="00000000">
          <w:rPr>
            <w:rFonts w:ascii="Arial" w:cs="Arial" w:eastAsia="Arial" w:hAnsi="Arial"/>
            <w:color w:val="1155cc"/>
            <w:sz w:val="22"/>
            <w:szCs w:val="22"/>
            <w:u w:val="single"/>
            <w:rtl w:val="0"/>
          </w:rPr>
          <w:t xml:space="preserve">Gestión de incidentes - Trello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480" w:lineRule="auto"/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Los CU que corresponden en este caso son lo siguientes:</w:t>
      </w:r>
    </w:p>
    <w:p w:rsidR="00000000" w:rsidDel="00000000" w:rsidP="00000000" w:rsidRDefault="00000000" w:rsidRPr="00000000" w14:paraId="0000002C">
      <w:pPr>
        <w:spacing w:line="480" w:lineRule="auto"/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CU13: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Agregar Artículos al Carrito de Compras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480" w:lineRule="auto"/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CU14: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Ver Detalles en el Carrito de Compras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480" w:lineRule="auto"/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CU15: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Seleccionar Forma de Pago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480" w:lineRule="auto"/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CU16: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Finalizar el Proceso de Compra</w:t>
      </w:r>
    </w:p>
    <w:p w:rsidR="00000000" w:rsidDel="00000000" w:rsidP="00000000" w:rsidRDefault="00000000" w:rsidRPr="00000000" w14:paraId="00000030">
      <w:pPr>
        <w:spacing w:line="480" w:lineRule="auto"/>
        <w:jc w:val="both"/>
        <w:rPr>
          <w:rFonts w:ascii="Arial" w:cs="Arial" w:eastAsia="Arial" w:hAnsi="Arial"/>
          <w:color w:val="783f0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spacing w:before="0" w:line="480" w:lineRule="auto"/>
        <w:jc w:val="both"/>
        <w:rPr/>
      </w:pPr>
      <w:bookmarkStart w:colFirst="0" w:colLast="0" w:name="_yd8v6be5tivy" w:id="11"/>
      <w:bookmarkEnd w:id="11"/>
      <w:r w:rsidDel="00000000" w:rsidR="00000000" w:rsidRPr="00000000">
        <w:rPr>
          <w:rtl w:val="0"/>
        </w:rPr>
        <w:t xml:space="preserve">Resultados </w:t>
      </w:r>
    </w:p>
    <w:p w:rsidR="00000000" w:rsidDel="00000000" w:rsidP="00000000" w:rsidRDefault="00000000" w:rsidRPr="00000000" w14:paraId="00000032">
      <w:pPr>
        <w:spacing w:line="240" w:lineRule="auto"/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ab/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En la nueva versión se puede ver que los incidentes que estaban anteriormente:  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line="480" w:lineRule="auto"/>
        <w:ind w:left="720" w:hanging="360"/>
        <w:jc w:val="both"/>
        <w:rPr>
          <w:rFonts w:ascii="Arial" w:cs="Arial" w:eastAsia="Arial" w:hAnsi="Arial"/>
          <w:color w:val="000000"/>
          <w:sz w:val="22"/>
          <w:szCs w:val="22"/>
        </w:rPr>
      </w:pPr>
      <w:hyperlink r:id="rId11">
        <w:r w:rsidDel="00000000" w:rsidR="00000000" w:rsidRPr="00000000">
          <w:rPr>
            <w:rFonts w:ascii="Arial" w:cs="Arial" w:eastAsia="Arial" w:hAnsi="Arial"/>
            <w:color w:val="1155cc"/>
            <w:sz w:val="22"/>
            <w:szCs w:val="22"/>
            <w:u w:val="single"/>
            <w:rtl w:val="0"/>
          </w:rPr>
          <w:t xml:space="preserve">Cálculo de cantidad en carrito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before="0" w:beforeAutospacing="0" w:line="480" w:lineRule="auto"/>
        <w:ind w:left="720" w:hanging="360"/>
        <w:jc w:val="both"/>
        <w:rPr>
          <w:rFonts w:ascii="Arial" w:cs="Arial" w:eastAsia="Arial" w:hAnsi="Arial"/>
          <w:color w:val="000000"/>
          <w:sz w:val="22"/>
          <w:szCs w:val="22"/>
        </w:rPr>
      </w:pPr>
      <w:hyperlink r:id="rId12">
        <w:r w:rsidDel="00000000" w:rsidR="00000000" w:rsidRPr="00000000">
          <w:rPr>
            <w:rFonts w:ascii="Arial" w:cs="Arial" w:eastAsia="Arial" w:hAnsi="Arial"/>
            <w:color w:val="1155cc"/>
            <w:sz w:val="22"/>
            <w:szCs w:val="22"/>
            <w:u w:val="single"/>
            <w:rtl w:val="0"/>
          </w:rPr>
          <w:t xml:space="preserve">Error en campos metodo de pago, vencimiento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480" w:lineRule="auto"/>
        <w:ind w:left="0" w:firstLine="0"/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Además hay un nuevo incidente que debe ser reportado: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line="480" w:lineRule="auto"/>
        <w:ind w:left="720" w:hanging="360"/>
        <w:jc w:val="both"/>
        <w:rPr>
          <w:rFonts w:ascii="Arial" w:cs="Arial" w:eastAsia="Arial" w:hAnsi="Arial"/>
          <w:color w:val="000000"/>
          <w:sz w:val="22"/>
          <w:szCs w:val="22"/>
        </w:rPr>
      </w:pPr>
      <w:hyperlink r:id="rId13">
        <w:r w:rsidDel="00000000" w:rsidR="00000000" w:rsidRPr="00000000">
          <w:rPr>
            <w:rFonts w:ascii="Arial" w:cs="Arial" w:eastAsia="Arial" w:hAnsi="Arial"/>
            <w:color w:val="1155cc"/>
            <w:sz w:val="22"/>
            <w:szCs w:val="22"/>
            <w:u w:val="single"/>
            <w:rtl w:val="0"/>
          </w:rPr>
          <w:t xml:space="preserve">Verificar que el usuario pueda agregar articulos al carrito y verificar que esté añadido.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rPr/>
      </w:pPr>
      <w:bookmarkStart w:colFirst="0" w:colLast="0" w:name="_yvlizta6u2gf" w:id="12"/>
      <w:bookmarkEnd w:id="12"/>
      <w:r w:rsidDel="00000000" w:rsidR="00000000" w:rsidRPr="00000000">
        <w:rPr>
          <w:rtl w:val="0"/>
        </w:rPr>
        <w:t xml:space="preserve">Métricas versión 1 vs Métricas versión 2</w:t>
        <w:tab/>
      </w:r>
    </w:p>
    <w:p w:rsidR="00000000" w:rsidDel="00000000" w:rsidP="00000000" w:rsidRDefault="00000000" w:rsidRPr="00000000" w14:paraId="00000038">
      <w:pPr>
        <w:spacing w:line="480" w:lineRule="auto"/>
        <w:ind w:firstLine="720"/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Después de realizar pruebas de confirmación, para descubrir si se solucionaron o no los incidentes reportados en la etapa anterior: se concluyó que no fueron resueltos los incidentes anteriores además de añadirse nuevos incidentes. Las métricas son: 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0" w:line="360" w:lineRule="auto"/>
        <w:ind w:left="720" w:hanging="360"/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Cobertura de Formularios = 100% - Se diseñaron y ejecutaron pruebas para cada cada campo en cada formulario del sistema.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0" w:beforeAutospacing="0"/>
        <w:ind w:left="720" w:hanging="360"/>
        <w:jc w:val="both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Porcentaje de casos de prueba aprobados =62,5%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0" w:beforeAutospacing="0"/>
        <w:ind w:left="720" w:hanging="360"/>
        <w:jc w:val="both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Porcentaje de casos de prueba fallidos = 37,5%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0" w:beforeAutospacing="0"/>
        <w:ind w:left="720" w:hanging="360"/>
        <w:jc w:val="both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Porcentaje de casos de prueba bloqueados = 0%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before="0" w:beforeAutospacing="0"/>
        <w:ind w:left="720" w:hanging="360"/>
        <w:jc w:val="both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Porcentaje de casos de prueba diferidos = 0%</w:t>
      </w:r>
    </w:p>
    <w:p w:rsidR="00000000" w:rsidDel="00000000" w:rsidP="00000000" w:rsidRDefault="00000000" w:rsidRPr="00000000" w14:paraId="0000003E">
      <w:pPr>
        <w:ind w:left="720" w:firstLine="0"/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0" w:firstLine="0"/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Las métricas de la versión anterior fueron: 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before="0" w:line="360" w:lineRule="auto"/>
        <w:ind w:left="720" w:hanging="360"/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Cobertura de Formularios = 100% - Se diseñaron y ejecutaron pruebas para cada cada campo en cada formulario del sistema.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before="0" w:beforeAutospacing="0"/>
        <w:ind w:left="720" w:hanging="360"/>
        <w:jc w:val="both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Porcentaje de casos de prueba aprobados =70%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before="0" w:beforeAutospacing="0"/>
        <w:ind w:left="720" w:hanging="360"/>
        <w:jc w:val="both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Porcentaje de casos de prueba fallidos = 30%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before="0" w:beforeAutospacing="0"/>
        <w:ind w:left="720" w:hanging="360"/>
        <w:jc w:val="both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Porcentaje de casos de prueba bloqueados = 0%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before="0" w:beforeAutospacing="0"/>
        <w:ind w:left="720" w:hanging="360"/>
        <w:jc w:val="both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Porcentaje de casos de prueba diferidos = 0%</w:t>
      </w:r>
    </w:p>
    <w:p w:rsidR="00000000" w:rsidDel="00000000" w:rsidP="00000000" w:rsidRDefault="00000000" w:rsidRPr="00000000" w14:paraId="00000045">
      <w:pPr>
        <w:ind w:left="720" w:firstLine="0"/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spacing w:line="480" w:lineRule="auto"/>
        <w:rPr/>
      </w:pPr>
      <w:bookmarkStart w:colFirst="0" w:colLast="0" w:name="_xyl59em8govw" w:id="13"/>
      <w:bookmarkEnd w:id="13"/>
      <w:r w:rsidDel="00000000" w:rsidR="00000000" w:rsidRPr="00000000">
        <w:rPr>
          <w:rtl w:val="0"/>
        </w:rPr>
        <w:t xml:space="preserve">Conclusión </w:t>
      </w:r>
    </w:p>
    <w:p w:rsidR="00000000" w:rsidDel="00000000" w:rsidP="00000000" w:rsidRDefault="00000000" w:rsidRPr="00000000" w14:paraId="00000047">
      <w:pPr>
        <w:spacing w:line="480" w:lineRule="auto"/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ab/>
        <w:t xml:space="preserve">Como forma de sintetizar lo presentado en el informe se puede decir que no se corrigieron los incidentes reportados anteriormente y pudimos ver otro más. Así que aún se encuentran errores que no permiten usar la p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lataforma de forma adecuada. Es necesario realizar correcciones en el software para resolver estos incidentes y de esta manera se alcancen los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requerimientos necesarios para poner en uso la página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480" w:lineRule="auto"/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480" w:lineRule="auto"/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4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480" w:lineRule="auto"/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sectPr>
      <w:headerReference r:id="rId14" w:type="default"/>
      <w:headerReference r:id="rId15" w:type="first"/>
      <w:footerReference r:id="rId16" w:type="default"/>
      <w:footerReference r:id="rId17" w:type="first"/>
      <w:pgSz w:h="15840" w:w="12240" w:orient="portrait"/>
      <w:pgMar w:bottom="1080" w:top="108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Trebuchet MS"/>
  <w:font w:name="Arial"/>
  <w:font w:name="Roboto Slab">
    <w:embedRegular w:fontKey="{00000000-0000-0000-0000-000000000000}" r:id="rId1" w:subsetted="0"/>
    <w:embedBold w:fontKey="{00000000-0000-0000-0000-000000000000}" r:id="rId2" w:subsetted="0"/>
  </w:font>
  <w:font w:name="Robot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F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50">
    <w:pPr>
      <w:spacing w:before="0" w:line="276" w:lineRule="auto"/>
      <w:rPr/>
    </w:pPr>
    <w:r w:rsidDel="00000000" w:rsidR="00000000" w:rsidRPr="00000000">
      <w:rPr>
        <w:rFonts w:ascii="Arial" w:cs="Arial" w:eastAsia="Arial" w:hAnsi="Arial"/>
        <w:color w:val="000000"/>
        <w:sz w:val="22"/>
        <w:szCs w:val="22"/>
      </w:rPr>
      <w:drawing>
        <wp:inline distB="114300" distT="114300" distL="114300" distR="114300">
          <wp:extent cx="2719388" cy="682106"/>
          <wp:effectExtent b="0" l="0" r="0" t="0"/>
          <wp:docPr id="3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1">
                    <a:alphaModFix amt="55000"/>
                  </a:blip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719388" cy="682106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C">
    <w:pPr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00" w:lineRule="auto"/>
      <w:ind w:right="180"/>
      <w:jc w:val="right"/>
      <w:rPr>
        <w:rFonts w:ascii="Roboto Slab" w:cs="Roboto Slab" w:eastAsia="Roboto Slab" w:hAnsi="Roboto Slab"/>
        <w:color w:val="ff5722"/>
      </w:rPr>
    </w:pPr>
    <w:r w:rsidDel="00000000" w:rsidR="00000000" w:rsidRPr="00000000">
      <w:rPr>
        <w:rFonts w:ascii="Roboto Slab" w:cs="Roboto Slab" w:eastAsia="Roboto Slab" w:hAnsi="Roboto Slab"/>
        <w:color w:val="ff5722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D">
    <w:pPr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="240" w:lineRule="auto"/>
      <w:ind w:left="-90" w:right="-90" w:firstLine="0"/>
      <w:jc w:val="left"/>
      <w:rPr/>
    </w:pPr>
    <w:r w:rsidDel="00000000" w:rsidR="00000000" w:rsidRPr="00000000">
      <w:rPr/>
      <w:drawing>
        <wp:inline distB="114300" distT="114300" distL="114300" distR="114300">
          <wp:extent cx="5943600" cy="50800"/>
          <wp:effectExtent b="0" l="0" r="0" t="0"/>
          <wp:docPr descr="Línea larga y fina para dividir las secciones del documento" id="1" name="image4.png"/>
          <a:graphic>
            <a:graphicData uri="http://schemas.openxmlformats.org/drawingml/2006/picture">
              <pic:pic>
                <pic:nvPicPr>
                  <pic:cNvPr descr="Línea larga y fina para dividir las secciones del documento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508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E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Roboto" w:cs="Roboto" w:eastAsia="Roboto" w:hAnsi="Roboto"/>
        <w:color w:val="666666"/>
        <w:sz w:val="24"/>
        <w:szCs w:val="24"/>
        <w:lang w:val="es"/>
      </w:rPr>
    </w:rPrDefault>
    <w:pPrDefault>
      <w:pPr>
        <w:spacing w:before="200" w:line="312" w:lineRule="auto"/>
        <w:jc w:val="center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320" w:line="240" w:lineRule="auto"/>
    </w:pPr>
    <w:rPr>
      <w:rFonts w:ascii="Roboto Slab" w:cs="Roboto Slab" w:eastAsia="Roboto Slab" w:hAnsi="Roboto Slab"/>
      <w:b w:val="1"/>
      <w:color w:val="8bc34a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320" w:lineRule="auto"/>
      <w:jc w:val="left"/>
    </w:pPr>
    <w:rPr>
      <w:rFonts w:ascii="Roboto Slab" w:cs="Roboto Slab" w:eastAsia="Roboto Slab" w:hAnsi="Roboto Slab"/>
      <w:color w:val="ff5722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  <w:jc w:val="left"/>
    </w:pPr>
    <w:rPr>
      <w:b w:val="1"/>
      <w:color w:val="000000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  <w:jc w:val="left"/>
    </w:pPr>
    <w:rPr>
      <w:i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  <w:jc w:val="left"/>
    </w:pPr>
    <w:rPr>
      <w:b w:val="1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720" w:lineRule="auto"/>
      <w:jc w:val="center"/>
    </w:pPr>
    <w:rPr>
      <w:rFonts w:ascii="Roboto Slab" w:cs="Roboto Slab" w:eastAsia="Roboto Slab" w:hAnsi="Roboto Slab"/>
      <w:b w:val="1"/>
      <w:color w:val="ff5722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line="240" w:lineRule="auto"/>
      <w:jc w:val="center"/>
    </w:pPr>
    <w:rPr>
      <w:rFonts w:ascii="Roboto Slab" w:cs="Roboto Slab" w:eastAsia="Roboto Slab" w:hAnsi="Roboto Slab"/>
      <w:i w:val="1"/>
      <w:color w:val="999999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trello.com/c/HJPsanSV/129-ria-803-c%C3%A1lculo-de-cantidad-en-carrito" TargetMode="External"/><Relationship Id="rId10" Type="http://schemas.openxmlformats.org/officeDocument/2006/relationships/hyperlink" Target="https://trello.com/b/DsbL66K8/jap-proyecto-testing-grupo-5" TargetMode="External"/><Relationship Id="rId13" Type="http://schemas.openxmlformats.org/officeDocument/2006/relationships/hyperlink" Target="https://trello.com/c/rtuDJTwc/137-ria-801-verificar-que-el-usuario-pueda-agregar-articulos-al-carrito-y-verificar-que-est%C3%A9-a%C3%B1adido" TargetMode="External"/><Relationship Id="rId12" Type="http://schemas.openxmlformats.org/officeDocument/2006/relationships/hyperlink" Target="https://trello.com/c/InOpoXAq/102-ria-804-error-en-campos-metodo-de-pago-vencimiento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spreadsheets/d/1d4hd9BhpPFLVZqZHRYoLe3jrPavEGfAszexGcRXeWBs/edit#gid=239735732" TargetMode="External"/><Relationship Id="rId15" Type="http://schemas.openxmlformats.org/officeDocument/2006/relationships/header" Target="header2.xml"/><Relationship Id="rId14" Type="http://schemas.openxmlformats.org/officeDocument/2006/relationships/header" Target="header1.xml"/><Relationship Id="rId17" Type="http://schemas.openxmlformats.org/officeDocument/2006/relationships/footer" Target="footer1.xml"/><Relationship Id="rId16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hyperlink" Target="https://japceibal.github.io/proyecto-testing-retestingOF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Slab-regular.ttf"/><Relationship Id="rId2" Type="http://schemas.openxmlformats.org/officeDocument/2006/relationships/font" Target="fonts/RobotoSlab-bold.ttf"/><Relationship Id="rId3" Type="http://schemas.openxmlformats.org/officeDocument/2006/relationships/font" Target="fonts/Roboto-regular.ttf"/><Relationship Id="rId4" Type="http://schemas.openxmlformats.org/officeDocument/2006/relationships/font" Target="fonts/Roboto-bold.ttf"/><Relationship Id="rId5" Type="http://schemas.openxmlformats.org/officeDocument/2006/relationships/font" Target="fonts/Roboto-italic.ttf"/><Relationship Id="rId6" Type="http://schemas.openxmlformats.org/officeDocument/2006/relationships/font" Target="fonts/Roboto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