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rial" w:hAnsi="Arial" w:cs="Arial"/>
          <w:sz w:val="34"/>
          <w:sz-cs w:val="34"/>
        </w:rPr>
        <w:t xml:space="preserve">ii1. Введение</w:t>
      </w:r>
    </w:p>
    <w:p>
      <w:pPr>
        <w:spacing w:before="240" w:after="240"/>
      </w:pPr>
      <w:r>
        <w:rPr>
          <w:rFonts w:ascii="Arial" w:hAnsi="Arial" w:cs="Arial"/>
          <w:sz w:val="22"/>
          <w:sz-cs w:val="22"/>
        </w:rPr>
        <w:t xml:space="preserve">Модуль предназначен для загрузки изображений, расстановки точек, вычисления расстояний и углов между ними, визуализации данных и формирования отчётов. Должен быть реализован с использованием React.</w:t>
      </w:r>
    </w:p>
    <w:p>
      <w:pPr/>
      <w:r>
        <w:rPr>
          <w:rFonts w:ascii="Arial" w:hAnsi="Arial" w:cs="Arial"/>
          <w:sz w:val="34"/>
          <w:sz-cs w:val="34"/>
        </w:rPr>
        <w:t xml:space="preserve">2. Функциональные требования</w:t>
      </w:r>
    </w:p>
    <w:p>
      <w:pPr/>
      <w:r>
        <w:rPr>
          <w:rFonts w:ascii="Arial" w:hAnsi="Arial" w:cs="Arial"/>
          <w:sz w:val="26"/>
          <w:sz-cs w:val="26"/>
        </w:rPr>
        <w:t xml:space="preserve">2.1 Загрузка изображения</w:t>
      </w:r>
    </w:p>
    <w:p>
      <w:pPr>
        <w:ind w:left="720"/>
        <w:spacing w:before="24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Поддерживаемые форматы: PNG, JPG</w:t>
      </w:r>
    </w:p>
    <w:p>
      <w:pPr>
        <w:ind w:left="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Возможность загрузки из БД</w:t>
      </w:r>
    </w:p>
    <w:p>
      <w:pPr>
        <w:ind w:left="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Возможность загрузки изображения с локального хранилища</w:t>
      </w:r>
    </w:p>
    <w:p>
      <w:pPr>
        <w:ind w:left="720"/>
        <w:spacing w:after="24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Отображение загруженного изображения в React</w:t>
      </w:r>
    </w:p>
    <w:p>
      <w:pPr/>
      <w:r>
        <w:rPr>
          <w:rFonts w:ascii="Arial" w:hAnsi="Arial" w:cs="Arial"/>
          <w:sz w:val="26"/>
          <w:sz-cs w:val="26"/>
        </w:rPr>
        <w:t xml:space="preserve">2.2 Расстановка точек</w:t>
      </w:r>
    </w:p>
    <w:p>
      <w:pPr>
        <w:ind w:left="720"/>
        <w:spacing w:before="24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Пользователь должен иметь возможность расставлять точки на загруженном изображении</w:t>
      </w:r>
    </w:p>
    <w:p>
      <w:pPr>
        <w:ind w:left="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Возможность перемещения и удаления точек</w:t>
      </w:r>
    </w:p>
    <w:p>
      <w:pPr>
        <w:ind w:left="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Нумерация точек для удобства восприятия</w:t>
      </w:r>
    </w:p>
    <w:p>
      <w:pPr>
        <w:ind w:left="720"/>
        <w:spacing w:after="24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Выбор типа точек</w:t>
      </w:r>
    </w:p>
    <w:p>
      <w:pPr/>
      <w:r>
        <w:rPr>
          <w:rFonts w:ascii="Arial" w:hAnsi="Arial" w:cs="Arial"/>
          <w:sz w:val="26"/>
          <w:sz-cs w:val="26"/>
        </w:rPr>
        <w:t xml:space="preserve">2.3 Вычисления</w:t>
      </w:r>
    </w:p>
    <w:p>
      <w:pPr>
        <w:ind w:left="720"/>
        <w:spacing w:before="24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Автоматический расчёт расстояний между точками (в пикселях или в условных единицах, если задан масштаб)</w:t>
      </w:r>
    </w:p>
    <w:p>
      <w:pPr>
        <w:ind w:left="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Вычисление углов между точками</w:t>
      </w:r>
    </w:p>
    <w:p>
      <w:pPr>
        <w:ind w:left="720"/>
        <w:spacing w:after="24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Определение соотношений между измеренными параметрами</w:t>
      </w:r>
    </w:p>
    <w:p>
      <w:pPr/>
      <w:r>
        <w:rPr>
          <w:rFonts w:ascii="Arial" w:hAnsi="Arial" w:cs="Arial"/>
          <w:sz w:val="26"/>
          <w:sz-cs w:val="26"/>
        </w:rPr>
        <w:t xml:space="preserve">2.4 Визуализация</w:t>
      </w:r>
    </w:p>
    <w:p>
      <w:pPr>
        <w:ind w:left="720"/>
        <w:spacing w:before="24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Отображение измеренных расстояний линиями с аннотациями</w:t>
      </w:r>
    </w:p>
    <w:p>
      <w:pPr>
        <w:ind w:left="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Отображение углов и плоскостей</w:t>
      </w:r>
    </w:p>
    <w:p>
      <w:pPr>
        <w:ind w:left="720"/>
        <w:spacing w:after="24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Возможность включения/отключения отдельных визуализаций</w:t>
      </w:r>
    </w:p>
    <w:p>
      <w:pPr/>
      <w:r>
        <w:rPr>
          <w:rFonts w:ascii="Arial" w:hAnsi="Arial" w:cs="Arial"/>
          <w:sz w:val="26"/>
          <w:sz-cs w:val="26"/>
        </w:rPr>
        <w:t xml:space="preserve">2.5 Формирование отчёта</w:t>
      </w:r>
    </w:p>
    <w:p>
      <w:pPr>
        <w:ind w:left="720"/>
        <w:spacing w:before="24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Кнопка "Сформировать отчёт"</w:t>
      </w:r>
    </w:p>
    <w:p>
      <w:pPr>
        <w:ind w:left="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Анализ данных и определение соответствия нормам</w:t>
      </w:r>
    </w:p>
    <w:p>
      <w:pPr>
        <w:ind w:left="720"/>
        <w:spacing w:after="24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Отображение заключения: "Попадает в норму" / "Не попадает в норму"</w:t>
      </w:r>
    </w:p>
    <w:p>
      <w:pPr/>
      <w:r>
        <w:rPr>
          <w:rFonts w:ascii="Arial" w:hAnsi="Arial" w:cs="Arial"/>
          <w:sz w:val="26"/>
          <w:sz-cs w:val="26"/>
        </w:rPr>
        <w:t xml:space="preserve">2.6 Сохранение и экспорт данных</w:t>
      </w:r>
    </w:p>
    <w:p>
      <w:pPr>
        <w:ind w:left="720"/>
        <w:spacing w:before="24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Сохранение данных (изображение, точки, расчёты) в базе данных</w:t>
      </w:r>
    </w:p>
    <w:p>
      <w:pPr>
        <w:ind w:left="720"/>
        <w:spacing w:after="24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Возможность экспорта отчёта в PDF или PPTX</w:t>
      </w:r>
    </w:p>
    <w:p>
      <w:pPr/>
      <w:r>
        <w:rPr>
          <w:rFonts w:ascii="Arial" w:hAnsi="Arial" w:cs="Arial"/>
          <w:sz w:val="34"/>
          <w:sz-cs w:val="34"/>
        </w:rPr>
        <w:t xml:space="preserve">3. Нефункциональные требования</w:t>
      </w:r>
    </w:p>
    <w:p>
      <w:pPr>
        <w:ind w:left="720"/>
        <w:spacing w:before="24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Использование FastAPI</w:t>
      </w:r>
      <w:r>
        <w:rPr>
          <w:rFonts w:ascii="Helvetica Neue" w:hAnsi="Helvetica Neue" w:cs="Helvetica Neue"/>
          <w:sz w:val="26"/>
          <w:sz-cs w:val="26"/>
          <w:color w:val="FFFFFF"/>
        </w:rPr>
        <w:t xml:space="preserve"> </w:t>
      </w:r>
      <w:r>
        <w:rPr>
          <w:rFonts w:ascii="Arial" w:hAnsi="Arial" w:cs="Arial"/>
          <w:sz w:val="22"/>
          <w:sz-cs w:val="22"/>
        </w:rPr>
        <w:t xml:space="preserve">и/или Blueprints в React</w:t>
      </w:r>
    </w:p>
    <w:p>
      <w:pPr>
        <w:ind w:left="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Интуитивно понятный интерфейс</w:t>
      </w:r>
    </w:p>
    <w:p>
      <w:pPr>
        <w:ind w:left="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Оптимизированная работа с изображениями</w:t>
      </w:r>
    </w:p>
    <w:p>
      <w:pPr>
        <w:ind w:left="720"/>
        <w:spacing w:after="24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Поддержка различных разрешений экрана</w:t>
      </w:r>
    </w:p>
    <w:p>
      <w:pPr/>
      <w:r>
        <w:rPr>
          <w:rFonts w:ascii="Arial" w:hAnsi="Arial" w:cs="Arial"/>
          <w:sz w:val="34"/>
          <w:sz-cs w:val="34"/>
        </w:rPr>
        <w:t xml:space="preserve">4. Архитектура</w:t>
      </w:r>
    </w:p>
    <w:p>
      <w:pPr/>
      <w:r>
        <w:rPr>
          <w:rFonts w:ascii="Arial" w:hAnsi="Arial" w:cs="Arial"/>
          <w:sz w:val="26"/>
          <w:sz-cs w:val="26"/>
        </w:rPr>
        <w:t xml:space="preserve">4.1 Бэкенд</w:t>
      </w:r>
    </w:p>
    <w:p>
      <w:pPr>
        <w:ind w:left="720"/>
        <w:spacing w:before="24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Обработчик изображений и вычислений (FastAPI)</w:t>
      </w:r>
    </w:p>
    <w:p>
      <w:pPr>
        <w:ind w:left="720"/>
        <w:spacing w:after="24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Система хранения данных (Файлы/SQLite, PostgreSQL или встроенные механизмы UE5)</w:t>
      </w:r>
    </w:p>
    <w:p>
      <w:pPr>
        <w:ind w:left="720"/>
        <w:spacing w:before="240" w:after="240"/>
      </w:pPr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34"/>
          <w:sz-cs w:val="34"/>
        </w:rPr>
        <w:t xml:space="preserve">5. Этапы разработки</w:t>
      </w:r>
    </w:p>
    <w:p>
      <w:pPr>
        <w:ind w:left="720"/>
        <w:spacing w:before="24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Разработка UI и загрузки изображений</w:t>
      </w:r>
    </w:p>
    <w:p>
      <w:pPr>
        <w:ind w:left="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Реализация механики расстановки точек</w:t>
      </w:r>
    </w:p>
    <w:p>
      <w:pPr>
        <w:ind w:left="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Создание системы вычислений</w:t>
      </w:r>
    </w:p>
    <w:p>
      <w:pPr>
        <w:ind w:left="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Визуализация данных</w:t>
      </w:r>
    </w:p>
    <w:p>
      <w:pPr>
        <w:ind w:left="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Формирование отчётов</w:t>
      </w:r>
    </w:p>
    <w:p>
      <w:pPr>
        <w:ind w:left="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Сохранение и экспорт данных</w:t>
      </w:r>
    </w:p>
    <w:p>
      <w:pPr>
        <w:ind w:left="720"/>
        <w:spacing w:after="24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Тестирование и отладка</w:t>
      </w:r>
    </w:p>
    <w:p>
      <w:pPr>
        <w:spacing w:before="240" w:after="240"/>
      </w:pPr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34"/>
          <w:sz-cs w:val="34"/>
        </w:rPr>
        <w:t xml:space="preserve">7. Тестирование</w:t>
      </w:r>
    </w:p>
    <w:p>
      <w:pPr>
        <w:ind w:left="720"/>
        <w:spacing w:before="24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Проверка корректности вычислений</w:t>
      </w:r>
    </w:p>
    <w:p>
      <w:pPr>
        <w:ind w:left="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Проверка корректности сохранения и экспорта данных</w:t>
      </w:r>
    </w:p>
    <w:p>
      <w:pPr>
        <w:ind w:left="720"/>
        <w:spacing w:after="24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Юзабилити-тестирование интерфейса</w:t>
      </w:r>
    </w:p>
    <w:p>
      <w:pPr/>
      <w:r>
        <w:rPr>
          <w:rFonts w:ascii="Arial" w:hAnsi="Arial" w:cs="Arial"/>
          <w:sz w:val="34"/>
          <w:sz-cs w:val="34"/>
        </w:rPr>
        <w:t xml:space="preserve">8. Итоговый результат</w:t>
      </w:r>
    </w:p>
    <w:p>
      <w:pPr>
        <w:spacing w:before="240" w:after="240"/>
      </w:pPr>
      <w:r>
        <w:rPr>
          <w:rFonts w:ascii="Arial" w:hAnsi="Arial" w:cs="Arial"/>
          <w:sz w:val="22"/>
          <w:sz-cs w:val="22"/>
        </w:rPr>
        <w:t xml:space="preserve">Готовый модуль в React, который позволяет загружать изображения, расставлять точки, производить вычисления, визуализировать данные и формировать отчёты.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34"/>
          <w:sz-cs w:val="34"/>
        </w:rPr>
        <w:t xml:space="preserve">9. Документация к модулю</w:t>
      </w:r>
    </w:p>
    <w:p>
      <w:pPr>
        <w:jc w:val="center"/>
      </w:pPr>
      <w:r>
        <w:rPr>
          <w:rFonts w:ascii="Arial" w:hAnsi="Arial" w:cs="Arial"/>
          <w:sz w:val="34"/>
          <w:sz-cs w:val="34"/>
        </w:rPr>
        <w:t xml:space="preserve"/>
      </w:r>
    </w:p>
    <w:p>
      <w:pPr>
        <w:jc w:val="center"/>
      </w:pPr>
      <w:r>
        <w:rPr>
          <w:rFonts w:ascii="Arial" w:hAnsi="Arial" w:cs="Arial"/>
          <w:sz w:val="34"/>
          <w:sz-cs w:val="34"/>
        </w:rPr>
        <w:t xml:space="preserve"/>
      </w:r>
    </w:p>
    <w:p>
      <w:pPr>
        <w:jc w:val="center"/>
      </w:pPr>
      <w:r>
        <w:rPr>
          <w:rFonts w:ascii="Times" w:hAnsi="Times" w:cs="Times"/>
          <w:sz w:val="40"/>
          <w:sz-cs w:val="40"/>
          <w:b/>
        </w:rPr>
        <w:t xml:space="preserve">Цефалометрия. </w:t>
      </w:r>
    </w:p>
    <w:p>
      <w:pPr>
        <w:jc w:val="center"/>
      </w:pPr>
      <w:r>
        <w:rPr>
          <w:rFonts w:ascii="Times" w:hAnsi="Times" w:cs="Times"/>
          <w:sz w:val="40"/>
          <w:sz-cs w:val="40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</w:rPr>
        <w:t xml:space="preserve">Даем врачу выбрать расчет прямой или боковой ТРГ пациента.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40"/>
          <w:sz-cs w:val="40"/>
          <w:b/>
          <w:color w:val="000000"/>
        </w:rPr>
        <w:t xml:space="preserve">Телерентгенограмма (ТРГ)</w:t>
      </w:r>
    </w:p>
    <w:p>
      <w:pPr>
        <w:jc w:val="center"/>
      </w:pPr>
      <w:r>
        <w:rPr>
          <w:rFonts w:ascii="Times" w:hAnsi="Times" w:cs="Times"/>
          <w:sz w:val="40"/>
          <w:sz-cs w:val="40"/>
          <w:b/>
          <w:color w:val="000000"/>
        </w:rPr>
        <w:t xml:space="preserve">Телерентгенограмма (ТРГ)</w:t>
      </w:r>
    </w:p>
    <w:p>
      <w:pPr/>
      <w:r>
        <w:rPr>
          <w:rFonts w:ascii="Times" w:hAnsi="Times" w:cs="Times"/>
          <w:sz w:val="40"/>
          <w:sz-cs w:val="40"/>
          <w:b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В прямой проекции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В прямой проекции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color w:val="000000"/>
        </w:rPr>
        <w:t xml:space="preserve">В боковой проекции</w:t>
      </w:r>
    </w:p>
    <w:p>
      <w:pPr>
        <w:jc w:val="center"/>
      </w:pPr>
      <w:r>
        <w:rPr>
          <w:rFonts w:ascii="Times" w:hAnsi="Times" w:cs="Times"/>
          <w:sz w:val="24"/>
          <w:sz-cs w:val="24"/>
          <w:color w:val="000000"/>
        </w:rPr>
        <w:t xml:space="preserve">В боковой проекции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right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right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8"/>
          <w:sz-cs w:val="28"/>
          <w:color w:val="FF0000"/>
        </w:rPr>
        <w:t xml:space="preserve">После загрузки ТРГ необходимо провести масштабирование (масштабирование в прямой ТРГ не всегда получается сделать, так как бывает, что нет линейки)</w:t>
      </w:r>
    </w:p>
    <w:p>
      <w:pPr/>
      <w:r>
        <w:rPr>
          <w:rFonts w:ascii="Times" w:hAnsi="Times" w:cs="Times"/>
          <w:sz w:val="28"/>
          <w:sz-cs w:val="28"/>
          <w:color w:val="FF0000"/>
        </w:rPr>
        <w:t xml:space="preserve"/>
      </w:r>
    </w:p>
    <w:p>
      <w:pPr/>
      <w:r>
        <w:rPr>
          <w:rFonts w:ascii="Times" w:hAnsi="Times" w:cs="Times"/>
          <w:sz w:val="22"/>
          <w:sz-cs w:val="22"/>
          <w:b/>
        </w:rPr>
        <w:t xml:space="preserve">ТРГ в прямой проекции.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На прямой ТРГ смотрим симметричность костных структур и на показатели левой и правой стороны (определяем длину в миллиметрах правой и левой сторон). В норме +- все костные структуры справа и слева равны, если нет –&gt; у пациента есть cкелетная ассиметрия.</w:t>
      </w:r>
    </w:p>
    <w:p>
      <w:pPr/>
      <w:r>
        <w:rPr>
          <w:rFonts w:ascii="Times" w:hAnsi="Times" w:cs="Times"/>
          <w:sz w:val="28"/>
          <w:sz-cs w:val="28"/>
          <w:b/>
        </w:rPr>
        <w:t xml:space="preserve"/>
        <w:br/>
        <w:t xml:space="preserve"/>
      </w:r>
      <w:r>
        <w:rPr>
          <w:rFonts w:ascii="Times New Roman" w:hAnsi="Times New Roman" w:cs="Times New Roman"/>
          <w:sz w:val="22"/>
          <w:sz-cs w:val="22"/>
          <w:color w:val="FF0000"/>
        </w:rPr>
        <w:t xml:space="preserve">1. Уточнить есть ли возможность поставить масштаб</w:t>
      </w:r>
    </w:p>
    <w:p>
      <w:pPr/>
      <w:r>
        <w:rPr>
          <w:rFonts w:ascii="Times New Roman" w:hAnsi="Times New Roman" w:cs="Times New Roman"/>
          <w:sz w:val="22"/>
          <w:sz-cs w:val="22"/>
          <w:color w:val="FF0000"/>
        </w:rPr>
        <w:t xml:space="preserve">2. Установить срединную линию, которая будет делить череп на две половины (левая и правая)</w:t>
        <w:br/>
        <w:t xml:space="preserve">3. Расставить, указанные точки ниже на схеме: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Cg  - верхушка петушинного гребня</w:t>
        <w:br/>
        <w:t xml:space="preserve">SO слева/ справа – верхняя точка орбиты слева/справа</w:t>
        <w:br/>
        <w:t xml:space="preserve">ZF слева/справа – лобно-скуловой шов, пересечение медиального края лобно-скулового шва с орбитой слева/справа</w:t>
        <w:br/>
        <w:t xml:space="preserve">Z слева/справа – скуловая дуга, центр основания скуловой дуги слева/справа</w:t>
        <w:br/>
        <w:t xml:space="preserve">NC слева/справа – носовая полость, точка на самом выступающем крае носовой полости слева</w:t>
        <w:br/>
        <w:t xml:space="preserve">MS слева/справа – нижняя точка сосцевидного отростка слева/справа</w:t>
        <w:br/>
        <w:t xml:space="preserve">J слева/справа – на скуловом отростке, пересечение бугра верхней челюсти и скулового контрфорса справа/слева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ANS – передняя носовая ость, вершина передней носовой ости выше твердого неба и точно вниз от носовой полости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Ag слева/справа – переднегониальная ямка, латерально-нижний край переднегониального выступа справа/слева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Co слева/справа – самая верхняя точка суставного отростка слева/справа</w:t>
        <w:br/>
        <w:t xml:space="preserve">Me – подбородок, наиболее нижняя точка на нижнечелюстном симфизе</w:t>
        <w:br/>
        <w:t xml:space="preserve">A – межзубной сосочек верхних центральных резцов в месте зубодесневого соединения</w:t>
        <w:br/>
        <w:t xml:space="preserve">B - межзв убной сосочек нижних центральных резцов в месте зубодесневого соединения</w:t>
        <w:br/>
        <w:t xml:space="preserve">U1 слева – режущий край верхних центральных резцов</w:t>
        <w:br/>
        <w:t xml:space="preserve">L1 справа – режущий край нижних центральных резцов</w:t>
        <w:br/>
        <w:t xml:space="preserve">U6 слева/справа – верхний первый моляр, точка на щечной поверхности коронки первого верхнего моляра слева/справа</w:t>
        <w:br/>
        <w:t xml:space="preserve">L6 слева/справа - нижний первый моляр, точка на щечной поверхности коронки первого верхнего моляра слева/справа</w:t>
        <w:br/>
        <w:t xml:space="preserve">Go слева/справа – гониальный угол слева/справа</w:t>
        <w:br/>
        <w:t xml:space="preserve">Ar слева/справа – наиболее высоко расположенная точка суставной головки справа</w:t>
        <w:br/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>Основные линии на прямой ТРГ, которые необходимо визуализировать:</w:t>
        <w:br/>
        <w:t xml:space="preserve"/>
      </w:r>
      <w:r>
        <w:rPr>
          <w:rFonts w:ascii="Times New Roman" w:hAnsi="Times New Roman" w:cs="Times New Roman"/>
          <w:sz w:val="22"/>
          <w:sz-cs w:val="22"/>
        </w:rPr>
        <w:t xml:space="preserve">Центральная линия</w:t>
        <w:br/>
        <w:t xml:space="preserve">SO-SO</w:t>
        <w:br/>
        <w:t xml:space="preserve">Z-Z</w:t>
        <w:br/>
        <w:t xml:space="preserve">Co-Co</w:t>
        <w:br/>
        <w:t xml:space="preserve">NC-NC</w:t>
        <w:br/>
        <w:t xml:space="preserve">J-J – Ширина апикального базиса верхней челюсти</w:t>
        <w:br/>
        <w:t xml:space="preserve">U6-U6 - ширина верхнего зубного ряда</w:t>
        <w:br/>
        <w:t xml:space="preserve">L6-L6 – ширина нижнего зубного ряда</w:t>
        <w:br/>
        <w:t xml:space="preserve">Ag-Ag – ширина апикального базиса нижней челюсти</w:t>
        <w:br/>
        <w:t xml:space="preserve">MS-MS</w:t>
        <w:br/>
        <w:t xml:space="preserve">Co-Go (L,P) левая/правая – длина ветви нижней челюсти слева/справа</w:t>
        <w:br/>
        <w:t xml:space="preserve">Go-Me (L,P) слева/справа – длина тела нижней челюсти слева/справа</w:t>
        <w:br/>
        <w:t xml:space="preserve">A-U1</w:t>
        <w:br/>
        <w:t xml:space="preserve">B-L1</w:t>
        <w:br/>
        <w:t xml:space="preserve">ArGoMe слева/справа</w:t>
        <w:br/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Данные, которые выносятся в отчет (наименование, размер, результат интерпретирует сам доктор: </w:t>
        <w:br/>
        <w:t xml:space="preserve"/>
      </w:r>
      <w:r>
        <w:rPr>
          <w:rFonts w:ascii="Times New Roman" w:hAnsi="Times New Roman" w:cs="Times New Roman"/>
          <w:sz w:val="22"/>
          <w:sz-cs w:val="22"/>
        </w:rPr>
        <w:t xml:space="preserve">J-J – Ширина апикального базиса верхней челюсти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U6-U6 - ширина верхнего зубного ряда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L6-L6 – ширина нижнего зубного ряда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Ag-Ag – ширина апикального базиса нижней челюсти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Co-Go (L,P) левая/правая – длина ветви нижней челюсти слева/справа</w:t>
        <w:br/>
        <w:t xml:space="preserve">Go-Me (L,P) слева/справа – длина тела нижней челюсти слева/справа</w:t>
        <w:br/>
        <w:t xml:space="preserve">Cg-Me – высота лица</w:t>
        <w:br/>
        <w:t xml:space="preserve">Cg-Ans - высота верхней части лица</w:t>
        <w:br/>
        <w:t xml:space="preserve">ANS-Me – высота нижней части лица</w:t>
        <w:br/>
        <w:t xml:space="preserve">ArGoMe слева/справа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Образец: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>
        <w:ind w:left="720"/>
      </w:pPr>
      <w:r>
        <w:rPr>
          <w:rFonts w:ascii="Times" w:hAnsi="Times" w:cs="Times"/>
          <w:sz w:val="28"/>
          <w:sz-cs w:val="28"/>
          <w:color w:val="000000"/>
        </w:rPr>
        <w:t xml:space="preserve"/>
      </w:r>
    </w:p>
    <w:p>
      <w:pPr/>
      <w:r>
        <w:rPr>
          <w:rFonts w:ascii="Times" w:hAnsi="Times" w:cs="Times"/>
          <w:sz w:val="28"/>
          <w:sz-cs w:val="28"/>
          <w:color w:val="000000"/>
        </w:rPr>
        <w:t xml:space="preserve"/>
      </w:r>
    </w:p>
    <w:p>
      <w:pPr>
        <w:ind w:left="360"/>
      </w:pPr>
      <w:r>
        <w:rPr>
          <w:rFonts w:ascii="Times" w:hAnsi="Times" w:cs="Times"/>
          <w:sz w:val="28"/>
          <w:sz-cs w:val="28"/>
        </w:rPr>
        <w:t xml:space="preserve"/>
      </w:r>
    </w:p>
    <w:p>
      <w:pPr>
        <w:ind w:left="360"/>
      </w:pPr>
      <w:r>
        <w:rPr>
          <w:rFonts w:ascii="Times" w:hAnsi="Times" w:cs="Times"/>
          <w:sz w:val="28"/>
          <w:sz-cs w:val="28"/>
        </w:rPr>
        <w:t xml:space="preserve"/>
      </w:r>
    </w:p>
    <w:p>
      <w:pPr>
        <w:ind w:left="360"/>
      </w:pPr>
      <w:r>
        <w:rPr>
          <w:rFonts w:ascii="Times New Roman" w:hAnsi="Times New Roman" w:cs="Times New Roman"/>
          <w:sz w:val="28"/>
          <w:sz-cs w:val="28"/>
        </w:rPr>
        <w:t xml:space="preserve">Шаблон для визуализации постановки точек для прямого ТРГ</w:t>
      </w:r>
    </w:p>
    <w:p>
      <w:pPr>
        <w:ind w:left="36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ind w:left="36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ind w:left="36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ind w:left="36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ind w:left="36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ind w:left="36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ind w:left="720"/>
      </w:pP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/>
        <w:tab/>
        <w:t xml:space="preserve">•</w:t>
        <w:tab/>
        <w:t xml:space="preserve">ТРГ в боковой проекции. </w:t>
        <w:br/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color w:val="FF0000"/>
        </w:rPr>
        <w:t xml:space="preserve">После загрузки бокового ТРГ необходимо провести масштабирование!</w:t>
      </w:r>
    </w:p>
    <w:p>
      <w:pPr/>
      <w:r>
        <w:rPr>
          <w:rFonts w:ascii="Times New Roman" w:hAnsi="Times New Roman" w:cs="Times New Roman"/>
          <w:sz w:val="28"/>
          <w:sz-cs w:val="28"/>
          <w:color w:val="FF0000"/>
        </w:rPr>
        <w:t xml:space="preserve"/>
        <w:br/>
        <w:t xml:space="preserve">Устанавливаем точки:</w:t>
        <w:br/>
        <w:t xml:space="preserve">1. S-центр турецкого седла</w:t>
        <w:br/>
        <w:t xml:space="preserve">2. Se – точка на середине входа в турецкое седло</w:t>
        <w:br/>
        <w:t xml:space="preserve">3. N – точка на передней поверхности носолобного шва</w:t>
        <w:br/>
        <w:t xml:space="preserve">4. Po – точка на вершине наружного слухового прохода</w:t>
        <w:br/>
        <w:t xml:space="preserve">5. Or – наиболее низко расположенная точка нижнего края орбиты</w:t>
        <w:br/>
        <w:t xml:space="preserve">6. Sna – передняя носовая ость</w:t>
        <w:br/>
        <w:t xml:space="preserve">7. Snp – задняя носовая ость</w:t>
        <w:br/>
        <w:t xml:space="preserve">8. Pg – наиболее передняя точка подбородочного выступа</w:t>
        <w:br/>
        <w:t xml:space="preserve">9. Me – нижняя точка симфиза нижней челюсти</w:t>
        <w:br/>
        <w:t xml:space="preserve">10. Ar – точка на заднем контуре головки нижней челюсти в месте пересечения ее с кливусом.</w:t>
        <w:br/>
        <w:t xml:space="preserve">11.Co – вершина суставной головки нижней челюсти</w:t>
        <w:br/>
        <w:t xml:space="preserve">12. Ba – наиболее нижняя точка переднего края большого затылочного отверстия</w:t>
        <w:br/>
        <w:t xml:space="preserve">13. Pt – точка на пересечении внутренней границы круглого отверстия с задней стенкой крыловидно-верхнечелюстной вырезки</w:t>
        <w:br/>
        <w:t xml:space="preserve">14. Gn – нижняя передняя точка симфиза нижней челюсти</w:t>
        <w:br/>
        <w:t xml:space="preserve">15. Go – точка пересечения касательных к ветви и телу нижней челюсти</w:t>
        <w:br/>
        <w:t xml:space="preserve">16. A - наиболее глубокая точка на апикальном базисе верхней челюсти</w:t>
        <w:br/>
        <w:t xml:space="preserve">17. B – наиболее глубокая точка на апикальном базисе нижней челюсти</w:t>
        <w:br/>
        <w:t xml:space="preserve">18. Is – режущий край верхнего центрального резца</w:t>
        <w:br/>
        <w:t xml:space="preserve">19. Ais – апикальная точка верхнего центрального резца</w:t>
        <w:br/>
        <w:t xml:space="preserve">20. ii – режущий край нижнего центрального резца</w:t>
        <w:br/>
        <w:t xml:space="preserve">21. aii - апикальная точка нижнего центрального резца</w:t>
        <w:br/>
        <w:t xml:space="preserve">22. P6 – точка на вершине дистального бугра первого постоянного моляра нижней челюсти</w:t>
        <w:br/>
        <w:t xml:space="preserve">23. C – центр суставной головки нижней челюсти</w:t>
      </w:r>
    </w:p>
    <w:p>
      <w:pPr/>
      <w:r>
        <w:rPr>
          <w:rFonts w:ascii="Times New Roman" w:hAnsi="Times New Roman" w:cs="Times New Roman"/>
          <w:sz w:val="28"/>
          <w:sz-cs w:val="28"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color w:val="FF0000"/>
        </w:rPr>
        <w:t xml:space="preserve">Демонстрация установленных точек и их названия.</w:t>
        <w:br/>
        <w:t xml:space="preserve"/>
      </w:r>
      <w:r>
        <w:rPr>
          <w:rFonts w:ascii="Times" w:hAnsi="Times" w:cs="Times"/>
          <w:sz w:val="28"/>
          <w:sz-cs w:val="28"/>
          <w:color w:val="FF0000"/>
        </w:rPr>
        <w:t xml:space="preserve"/>
      </w:r>
    </w:p>
    <w:p>
      <w:pPr/>
      <w:r>
        <w:rPr>
          <w:rFonts w:ascii="Times" w:hAnsi="Times" w:cs="Times"/>
          <w:sz w:val="28"/>
          <w:sz-cs w:val="28"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Готовые демонстрационные картинки для пользователей при постановке точек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>
        <w:ind w:left="360"/>
      </w:pPr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>Плоскости на боковом ТРГ</w:t>
      </w:r>
      <w:r>
        <w:rPr>
          <w:rFonts w:ascii="Times New Roman" w:hAnsi="Times New Roman" w:cs="Times New Roman"/>
          <w:sz w:val="22"/>
          <w:sz-cs w:val="22"/>
        </w:rPr>
        <w:t xml:space="preserve"/>
        <w:br/>
        <w:t xml:space="preserve">(показывать при необходимости, нажав на кнопку  в правом углу экрана)</w:t>
        <w:br/>
        <w:t xml:space="preserve">NSL – плоскость основания переднего отдела черепа</w:t>
        <w:br/>
        <w:t xml:space="preserve">FH – франкфурская горизонталь</w:t>
        <w:br/>
        <w:t xml:space="preserve">NL – плоскость основания верхней челюсти</w:t>
        <w:br/>
        <w:t xml:space="preserve">OcP – окклюзионная плоскость</w:t>
        <w:br/>
        <w:t xml:space="preserve">ML – плоскость основания нижней челюсти</w:t>
        <w:br/>
        <w:t xml:space="preserve">Go-Ar – плоскость ветви нижней челюсти</w:t>
        <w:br/>
        <w:t xml:space="preserve"/>
      </w:r>
      <w:r>
        <w:rPr>
          <w:rFonts w:ascii="Times" w:hAnsi="Times" w:cs="Times"/>
          <w:sz w:val="24"/>
          <w:sz-cs w:val="24"/>
          <w:color w:val="4472C4"/>
        </w:rPr>
        <w:t xml:space="preserve">P6</w:t>
      </w:r>
    </w:p>
    <w:p>
      <w:pPr/>
      <w:r>
        <w:rPr>
          <w:rFonts w:ascii="Times" w:hAnsi="Times" w:cs="Times"/>
          <w:sz w:val="24"/>
          <w:sz-cs w:val="24"/>
          <w:color w:val="4472C4"/>
        </w:rPr>
        <w:t xml:space="preserve">P6</w:t>
      </w:r>
    </w:p>
    <w:p>
      <w:pPr/>
      <w:r>
        <w:rPr>
          <w:rFonts w:ascii="Times" w:hAnsi="Times" w:cs="Times"/>
          <w:sz w:val="22"/>
          <w:sz-cs w:val="22"/>
          <w:color w:val="FF0000"/>
        </w:rPr>
        <w:t xml:space="preserve">Важно:</w:t>
      </w:r>
      <w:r>
        <w:rPr>
          <w:rFonts w:ascii="Times" w:hAnsi="Times" w:cs="Times"/>
          <w:sz w:val="22"/>
          <w:sz-cs w:val="22"/>
        </w:rPr>
        <w:t xml:space="preserve"> плоскость OcP (окклюзионная плоскость) проводится через точку P6 и через середину линии от ii - is</w:t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 New Roman" w:hAnsi="Times New Roman" w:cs="Times New Roman"/>
          <w:sz w:val="32"/>
          <w:sz-cs w:val="32"/>
          <w:color w:val="000000"/>
        </w:rPr>
        <w:t xml:space="preserve">Основные углы на боковом ТРГ</w:t>
        <w:br/>
        <w:t xml:space="preserve"/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(показывать при необходимости, нажав на кнопку  в правом углу экрана.</w:t>
        <w:br/>
        <w:t xml:space="preserve">SNA</w:t>
        <w:br/>
        <w:t xml:space="preserve">SNB</w:t>
        <w:br/>
        <w:t xml:space="preserve">ANB</w:t>
        <w:br/>
        <w:t xml:space="preserve">SN-Pg</w:t>
        <w:br/>
        <w:t xml:space="preserve">Beta</w:t>
        <w:br/>
        <w:t xml:space="preserve">N-S-Ba</w:t>
        <w:br/>
        <w:t xml:space="preserve">NL/NSL</w:t>
        <w:br/>
        <w:t xml:space="preserve">ML-NSL</w:t>
        <w:br/>
        <w:t xml:space="preserve">NL-ML</w:t>
        <w:br/>
        <w:t xml:space="preserve">NSAr</w:t>
        <w:br/>
        <w:t xml:space="preserve">SArGo</w:t>
        <w:br/>
        <w:t xml:space="preserve">ArGoMe</w:t>
        <w:br/>
        <w:t xml:space="preserve">U1/NL</w:t>
        <w:br/>
        <w:t xml:space="preserve">L1/ML</w:t>
        <w:br/>
        <w:t xml:space="preserve">U1/L1</w:t>
        <w:br/>
        <w:t xml:space="preserve"/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Важно: поставить отметку постоянный прикус или сменный прикус, так как показатель нормы размера нижней челюсти различается. </w:t>
        <w:br/>
        <w:t xml:space="preserve">Норма НЧ=Sen+6мм для постоянного прикуса</w:t>
        <w:br/>
        <w:t xml:space="preserve">Норма НЧ=Sen+3 мм для сменного прикуса</w:t>
      </w:r>
    </w:p>
    <w:p>
      <w:pPr>
        <w:ind w:left="720"/>
      </w:pPr>
      <w:r>
        <w:rPr>
          <w:rFonts w:ascii="Times New Roman" w:hAnsi="Times New Roman" w:cs="Times New Roman"/>
          <w:sz w:val="32"/>
          <w:sz-cs w:val="32"/>
          <w:color w:val="000000"/>
        </w:rPr>
        <w:t xml:space="preserve">Согласованные показатели углов:</w:t>
        <w:br/>
        <w:t xml:space="preserve"/>
      </w:r>
    </w:p>
    <w:p>
      <w:pPr>
        <w:jc w:val="both"/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1. SNA = L S*N*A  </w:t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/>
        <w:tab/>
        <w:t xml:space="preserve">&lt;80 -- ретрогнатия верхней челюсти</w:t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/>
        <w:tab/>
        <w:t xml:space="preserve">&gt;84 -- прогнатия верхней челюсти </w:t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2. SNB = L S*N*B</w:t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/>
        <w:tab/>
        <w:t xml:space="preserve">&lt;78 -- ретрогнатия нижней челюсти</w:t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/>
        <w:tab/>
        <w:t xml:space="preserve">&gt;82 -- прогнатия нижней челюсти</w:t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3. ANB = L A*N*B</w:t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/>
        <w:tab/>
        <w:t xml:space="preserve">&lt;0 -- мезиальное соотношение </w:t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/>
        <w:tab/>
        <w:t xml:space="preserve">&gt;4 -- дистальное соотношение</w:t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4. SN-Pg = L S*N*Pg</w:t>
        <w:tab/>
        <w:t xml:space="preserve"/>
        <w:tab/>
        <w:t xml:space="preserve"/>
        <w:tab/>
        <w:t xml:space="preserve"/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/>
        <w:tab/>
        <w:t xml:space="preserve">&lt;82 -- заднее положение подбородка</w:t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/>
        <w:tab/>
        <w:t xml:space="preserve">&gt;82 -- переднее положение подбородка</w:t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>    в норме равно значению угла SNB,т.е 80+- 2 градуса</w:t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5. Beta = L B*A*Точка перпендикуляра построенного из А на отрезок Е3-B</w:t>
        <w:tab/>
        <w:t xml:space="preserve"/>
        <w:tab/>
        <w:t xml:space="preserve"/>
        <w:tab/>
        <w:t xml:space="preserve"/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/>
        <w:tab/>
        <w:t xml:space="preserve">&lt;27 - II скелетный класс</w:t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/>
        <w:tab/>
        <w:t xml:space="preserve">&gt;35 -- III скелетный класс</w:t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                                27-35 I скелетный класс - норма </w:t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6. NSBa = L N*S*Ba</w:t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/>
        <w:tab/>
        <w:t xml:space="preserve"/>
        <w:tab/>
        <w:t xml:space="preserve">&lt;130 -- прогнатический тип профиля</w:t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/>
        <w:tab/>
        <w:t xml:space="preserve"/>
        <w:tab/>
        <w:t xml:space="preserve">&gt;133 -- ретрогнатический тип профиля</w:t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FF0000"/>
        </w:rPr>
        <w:t xml:space="preserve"/>
        <w:tab/>
        <w:t xml:space="preserve"/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7. NL-NSL = L NL-NSL</w:t>
        <w:tab/>
        <w:t xml:space="preserve"/>
        <w:tab/>
        <w:t xml:space="preserve"/>
        <w:tab/>
        <w:t xml:space="preserve"/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/>
        <w:tab/>
        <w:t xml:space="preserve">&lt;5 -- антеинклинация верхней челюсти </w:t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/>
        <w:tab/>
        <w:t xml:space="preserve">&gt;9 -- ретроинклинация верхней челюсти</w:t>
      </w:r>
    </w:p>
    <w:p>
      <w:pPr/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8. ML-NSL = L ML-NSL</w:t>
        <w:tab/>
        <w:t xml:space="preserve"/>
        <w:tab/>
        <w:t xml:space="preserve"/>
        <w:tab/>
        <w:t xml:space="preserve"/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/>
        <w:tab/>
        <w:t xml:space="preserve">&lt;30 -- антеинклинация нижней челюсти</w:t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/>
        <w:tab/>
        <w:t xml:space="preserve">&gt;34 -- ретроинклинация нижней челюсти</w:t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9. NL-ML = L NL-ML</w:t>
        <w:tab/>
        <w:t xml:space="preserve"/>
        <w:tab/>
        <w:t xml:space="preserve"/>
        <w:tab/>
        <w:t xml:space="preserve"/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/>
        <w:tab/>
        <w:t xml:space="preserve">&lt;22 -- гиподивергенция челюстей</w:t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/>
        <w:tab/>
        <w:t xml:space="preserve">&gt;26 -- гипердивергенция челюстей</w:t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10. Bjork = Sum(L N*S*Ar, L S*Ar*Go, L Ar*Go*Me)</w:t>
        <w:tab/>
        <w:t xml:space="preserve"/>
        <w:tab/>
        <w:t xml:space="preserve"/>
        <w:tab/>
        <w:t xml:space="preserve"/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/>
        <w:tab/>
        <w:t xml:space="preserve">&lt;396 -- горизонтальный тип роста</w:t>
      </w:r>
    </w:p>
    <w:p>
      <w:pPr/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br/>
        <w:t xml:space="preserve"/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/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13. SGo:NMe</w:t>
        <w:tab/>
        <w:t xml:space="preserve"/>
        <w:tab/>
        <w:t xml:space="preserve"/>
        <w:tab/>
        <w:t xml:space="preserve"/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/>
        <w:tab/>
        <w:t xml:space="preserve">&lt;62 -- горизонтальный тип роста</w:t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/>
        <w:tab/>
        <w:t xml:space="preserve">&gt;65 -- вертикальный тип роста</w:t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>    </w:t>
      </w:r>
    </w:p>
    <w:p>
      <w:pPr/>
      <w:r>
        <w:rPr>
          <w:rFonts w:ascii="Times New Roman" w:hAnsi="Times New Roman" w:cs="Times New Roman"/>
          <w:sz w:val="22"/>
          <w:sz-cs w:val="22"/>
          <w:color w:val="000000"/>
        </w:rPr>
        <w:t xml:space="preserve">Идёт сравнение длины SGo c длиной NMe? (Да, в процентном соотношении  SGo:NMe* 100%)</w:t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14. A'-Snp (mm)</w:t>
        <w:tab/>
        <w:t xml:space="preserve">= NSL*0.7</w:t>
        <w:tab/>
        <w:t xml:space="preserve"/>
        <w:tab/>
        <w:t xml:space="preserve"/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/>
        <w:tab/>
        <w:t xml:space="preserve"/>
        <w:tab/>
        <w:t xml:space="preserve">&lt;NSL*0.7 -- микрогнатия</w:t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/>
        <w:tab/>
        <w:t xml:space="preserve"/>
        <w:tab/>
        <w:t xml:space="preserve">&gt;NSL*0.7 -- макрогнатия</w:t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>      Норма длины этого отрезка - это NSL* 0,7) </w:t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15. GoGn (mm) = NS+6</w:t>
        <w:tab/>
        <w:t xml:space="preserve"/>
        <w:tab/>
        <w:t xml:space="preserve"/>
        <w:tab/>
        <w:t xml:space="preserve"/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/>
        <w:tab/>
        <w:t xml:space="preserve"/>
        <w:tab/>
        <w:t xml:space="preserve">&lt;NSL +6 -- микрогнатия</w:t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/>
        <w:tab/>
        <w:t xml:space="preserve"/>
        <w:tab/>
        <w:t xml:space="preserve">&gt;NSL +6 -- макрогнатия</w:t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16. Передняя верхняя высота лица (mm) = От точки N до точки А</w:t>
        <w:tab/>
        <w:t xml:space="preserve"/>
        <w:tab/>
        <w:t xml:space="preserve"/>
        <w:tab/>
        <w:t xml:space="preserve"/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/>
        <w:tab/>
        <w:t xml:space="preserve"/>
        <w:tab/>
        <w:t xml:space="preserve">&lt;47.5 -- </w:t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/>
        <w:tab/>
        <w:t xml:space="preserve"/>
        <w:tab/>
        <w:t xml:space="preserve">&gt;52.5 – </w:t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нет обозначения "отхода от нормы</w:t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17. Передняя нижняя высота лица (mm) = От точки A до точки Gn</w:t>
        <w:tab/>
        <w:t xml:space="preserve"/>
        <w:tab/>
        <w:t xml:space="preserve"/>
        <w:tab/>
        <w:t xml:space="preserve"/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/>
        <w:tab/>
        <w:t xml:space="preserve"/>
        <w:tab/>
        <w:t xml:space="preserve">&lt;60.5 -- </w:t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/>
        <w:tab/>
        <w:t xml:space="preserve"/>
        <w:tab/>
        <w:t xml:space="preserve">&gt;69.5 – </w:t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нет обозначения "отхода от нормы», сравниваем длину в миллиметрах передней верхней высоты и передней нижней высоты - в норме они +- равны) </w:t>
      </w:r>
    </w:p>
    <w:p>
      <w:pPr/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18. U1/NL = L NL-(ais-is)</w:t>
        <w:tab/>
        <w:t xml:space="preserve"/>
        <w:tab/>
        <w:t xml:space="preserve"/>
        <w:tab/>
        <w:t xml:space="preserve"/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/>
        <w:tab/>
        <w:t xml:space="preserve"/>
        <w:tab/>
        <w:t xml:space="preserve">&lt;105 -- протрузия верхних резцов</w:t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/>
        <w:tab/>
        <w:t xml:space="preserve"/>
        <w:tab/>
        <w:t xml:space="preserve">&gt;115 -- ретрузия верхних резцов</w:t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19. L1/ML = L ML-(aii-ii)</w:t>
        <w:tab/>
        <w:t xml:space="preserve"/>
        <w:tab/>
        <w:t xml:space="preserve"/>
        <w:tab/>
        <w:t xml:space="preserve"/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/>
        <w:tab/>
        <w:t xml:space="preserve"/>
        <w:tab/>
        <w:t xml:space="preserve">&lt;90 -- ретрузия нижних резцов</w:t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/>
        <w:tab/>
        <w:t xml:space="preserve"/>
        <w:tab/>
        <w:t xml:space="preserve">&gt;95 -- протрузия нижних резцов </w:t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20. U1/L1 = L (ais-is)-(ais-is)</w:t>
        <w:tab/>
        <w:t xml:space="preserve"/>
        <w:tab/>
        <w:t xml:space="preserve"/>
        <w:tab/>
        <w:t xml:space="preserve"/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/>
        <w:tab/>
        <w:t xml:space="preserve"/>
        <w:tab/>
        <w:t xml:space="preserve">&lt;130 -- бипротузия резцов</w:t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/>
        <w:tab/>
        <w:t xml:space="preserve"/>
        <w:tab/>
        <w:t xml:space="preserve">&gt;130 -- биретрузия резцов </w:t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21. Wits (mm) = Построить перепендикуляры от A и B на отрезок (ii-P6)</w:t>
        <w:tab/>
        <w:t xml:space="preserve"/>
        <w:tab/>
        <w:t xml:space="preserve"/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/>
        <w:tab/>
        <w:t xml:space="preserve"/>
        <w:tab/>
        <w:t xml:space="preserve">&lt;1 мм  -- 3 скелетный класс</w:t>
      </w:r>
    </w:p>
    <w:p>
      <w:pPr/>
      <w:r>
        <w:rPr>
          <w:rFonts w:ascii="Times New Roman" w:hAnsi="Times New Roman" w:cs="Times New Roman"/>
          <w:sz w:val="22"/>
          <w:sz-cs w:val="22"/>
          <w:color w:val="000000"/>
        </w:rPr>
        <w:t xml:space="preserve">                                                                  &gt;1 мм -- 2 скелетный класс</w:t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/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>
        <w:ind w:left="720"/>
      </w:pPr>
      <w:r>
        <w:rPr>
          <w:rFonts w:ascii="Times New Roman" w:hAnsi="Times New Roman" w:cs="Times New Roman"/>
          <w:sz w:val="20"/>
          <w:sz-cs w:val="20"/>
          <w:color w:val="000000"/>
        </w:rPr>
        <w:t xml:space="preserve">Демонстрация SNA, SNB, ANB</w:t>
        <w:br/>
        <w:t xml:space="preserve"/>
      </w:r>
      <w:r>
        <w:rPr>
          <w:rFonts w:ascii="Times" w:hAnsi="Times" w:cs="Times"/>
          <w:sz w:val="32"/>
          <w:sz-cs w:val="32"/>
          <w:color w:val="000000"/>
        </w:rPr>
        <w:t xml:space="preserve"/>
      </w:r>
    </w:p>
    <w:p>
      <w:pPr>
        <w:jc w:val="center"/>
        <w:ind w:left="720"/>
      </w:pPr>
      <w:r>
        <w:rPr>
          <w:rFonts w:ascii="Times" w:hAnsi="Times" w:cs="Times"/>
          <w:sz w:val="32"/>
          <w:sz-cs w:val="32"/>
          <w:color w:val="000000"/>
        </w:rPr>
        <w:t xml:space="preserve"/>
      </w:r>
    </w:p>
    <w:p>
      <w:pPr>
        <w:jc w:val="center"/>
        <w:ind w:left="720"/>
      </w:pPr>
      <w:r>
        <w:rPr>
          <w:rFonts w:ascii="Times New Roman" w:hAnsi="Times New Roman" w:cs="Times New Roman"/>
          <w:sz w:val="32"/>
          <w:sz-cs w:val="32"/>
          <w:color w:val="000000"/>
        </w:rPr>
        <w:t xml:space="preserve">В заключение выводим показатели всех углов и интепритация данные.</w:t>
      </w:r>
    </w:p>
    <w:p>
      <w:pPr>
        <w:jc w:val="center"/>
        <w:ind w:left="720"/>
      </w:pPr>
      <w:r>
        <w:rPr>
          <w:rFonts w:ascii="Times New Roman" w:hAnsi="Times New Roman" w:cs="Times New Roman"/>
          <w:sz w:val="32"/>
          <w:sz-cs w:val="32"/>
          <w:color w:val="000000"/>
        </w:rPr>
        <w:t xml:space="preserve"/>
      </w:r>
    </w:p>
    <w:p>
      <w:pPr>
        <w:jc w:val="center"/>
        <w:ind w:left="720"/>
      </w:pPr>
      <w:r>
        <w:rPr>
          <w:rFonts w:ascii="Times New Roman" w:hAnsi="Times New Roman" w:cs="Times New Roman"/>
          <w:sz w:val="32"/>
          <w:sz-cs w:val="32"/>
          <w:color w:val="000000"/>
        </w:rPr>
        <w:t xml:space="preserve"/>
      </w:r>
    </w:p>
    <w:p>
      <w:pPr>
        <w:jc w:val="center"/>
        <w:ind w:left="720"/>
      </w:pPr>
      <w:r>
        <w:rPr>
          <w:rFonts w:ascii="Times" w:hAnsi="Times" w:cs="Times"/>
          <w:sz w:val="32"/>
          <w:sz-cs w:val="32"/>
          <w:color w:val="000000"/>
        </w:rPr>
        <w:t xml:space="preserve"/>
      </w:r>
    </w:p>
    <w:p>
      <w:pPr>
        <w:ind w:left="108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Угол Бета</w:t>
      </w:r>
    </w:p>
    <w:p>
      <w:pPr>
        <w:jc w:val="center"/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>C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C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center"/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center"/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center"/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  <w:color w:val="FF0000"/>
        </w:rPr>
        <w:t xml:space="preserve">N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N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S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S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Ba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Ba</w:t>
      </w:r>
    </w:p>
    <w:p>
      <w:pPr>
        <w:ind w:left="360"/>
      </w:pPr>
      <w:r>
        <w:rPr>
          <w:rFonts w:ascii="Times" w:hAnsi="Times" w:cs="Times"/>
          <w:sz w:val="32"/>
          <w:sz-cs w:val="32"/>
        </w:rPr>
        <w:t xml:space="preserve"/>
      </w:r>
    </w:p>
    <w:p>
      <w:pPr>
        <w:ind w:left="360"/>
      </w:pPr>
      <w:r>
        <w:rPr>
          <w:rFonts w:ascii="Times" w:hAnsi="Times" w:cs="Times"/>
          <w:sz w:val="32"/>
          <w:sz-cs w:val="32"/>
        </w:rPr>
        <w:t xml:space="preserve"/>
      </w:r>
    </w:p>
    <w:p>
      <w:pPr>
        <w:ind w:left="360"/>
      </w:pPr>
      <w:r>
        <w:rPr>
          <w:rFonts w:ascii="Times New Roman" w:hAnsi="Times New Roman" w:cs="Times New Roman"/>
          <w:sz w:val="32"/>
          <w:sz-cs w:val="32"/>
        </w:rPr>
        <w:t xml:space="preserve">Суммарный угол Bjork</w:t>
      </w:r>
    </w:p>
    <w:p>
      <w:pPr>
        <w:ind w:left="360"/>
      </w:pPr>
      <w:r>
        <w:rPr>
          <w:rFonts w:ascii="Times" w:hAnsi="Times" w:cs="Times"/>
          <w:sz w:val="32"/>
          <w:sz-cs w:val="32"/>
        </w:rPr>
        <w:t xml:space="preserve"/>
      </w:r>
    </w:p>
    <w:p>
      <w:pPr>
        <w:ind w:left="360"/>
      </w:pPr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>
        <w:ind w:left="3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3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360"/>
      </w:pPr>
      <w:r>
        <w:rPr>
          <w:rFonts w:ascii="Times New Roman" w:hAnsi="Times New Roman" w:cs="Times New Roman"/>
          <w:sz w:val="22"/>
          <w:sz-cs w:val="22"/>
        </w:rPr>
        <w:t xml:space="preserve">Проводим линейные измерения задней (SGo) и передней высоты лица (NMe) в мм. </w:t>
        <w:br/>
        <w:t xml:space="preserve">SGo:NMe *100</w:t>
      </w:r>
    </w:p>
    <w:p>
      <w:pPr>
        <w:ind w:left="36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ind w:left="36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ind w:left="36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ind w:left="360"/>
      </w:pPr>
      <w:r>
        <w:rPr>
          <w:rFonts w:ascii="Times" w:hAnsi="Times" w:cs="Times"/>
          <w:sz w:val="32"/>
          <w:sz-cs w:val="32"/>
        </w:rPr>
        <w:t xml:space="preserve"/>
      </w:r>
    </w:p>
    <w:p>
      <w:pPr>
        <w:ind w:left="360"/>
      </w:pPr>
      <w:r>
        <w:rPr>
          <w:rFonts w:ascii="Times" w:hAnsi="Times" w:cs="Times"/>
          <w:sz w:val="32"/>
          <w:sz-cs w:val="32"/>
        </w:rPr>
        <w:t xml:space="preserve"/>
      </w:r>
    </w:p>
    <w:p>
      <w:pPr>
        <w:ind w:left="360"/>
      </w:pPr>
      <w:r>
        <w:rPr>
          <w:rFonts w:ascii="Times" w:hAnsi="Times" w:cs="Times"/>
          <w:sz w:val="32"/>
          <w:sz-cs w:val="32"/>
        </w:rPr>
        <w:t xml:space="preserve"/>
      </w:r>
    </w:p>
    <w:p>
      <w:pPr>
        <w:ind w:left="360"/>
      </w:pPr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</w:rPr>
        <w:t xml:space="preserve">Параметры наклона резцов</w:t>
      </w:r>
    </w:p>
    <w:p>
      <w:pPr>
        <w:ind w:left="720"/>
      </w:pPr>
      <w:r>
        <w:rPr>
          <w:rFonts w:ascii="Times" w:hAnsi="Times" w:cs="Times"/>
          <w:sz w:val="24"/>
          <w:sz-cs w:val="24"/>
          <w:color w:val="FF0000"/>
        </w:rPr>
        <w:t xml:space="preserve">N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N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S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S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/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Угол наклона верхних резцов можно измерить внутренний. В таком случае норма = 110 +- 5 </w:t>
      </w:r>
      <w:r>
        <w:rPr>
          <w:rFonts w:ascii="Times New Roman" w:hAnsi="Times New Roman" w:cs="Times New Roman"/>
          <w:sz w:val="22"/>
          <w:sz-cs w:val="22"/>
          <w:color w:val="040C28"/>
        </w:rPr>
        <w:t xml:space="preserve">° </w:t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&lt; 110- ретрузия верхних резцов</w:t>
      </w:r>
    </w:p>
    <w:p>
      <w:pPr>
        <w:ind w:left="72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>•</w:t>
        <w:tab/>
        <w:t xml:space="preserve">115 – протрузия верхних резцов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Угол наклона верхних резцов относительно переднего основания черепа (NS) = 102,5+- 5,5 </w:t>
      </w:r>
      <w:r>
        <w:rPr>
          <w:rFonts w:ascii="Times New Roman" w:hAnsi="Times New Roman" w:cs="Times New Roman"/>
          <w:sz w:val="22"/>
          <w:sz-cs w:val="22"/>
          <w:color w:val="040C28"/>
        </w:rPr>
        <w:t xml:space="preserve">° </w:t>
      </w:r>
    </w:p>
    <w:sectPr>
      <w:pgSz w:w="11900" w:h="16840"/>
      <w:pgMar w:top="1134" w:right="850" w:bottom="1134" w:left="1701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</dc:creator>
</cp:coreProperties>
</file>

<file path=docProps/meta.xml><?xml version="1.0" encoding="utf-8"?>
<meta xmlns="http://schemas.apple.com/cocoa/2006/metadata">
  <generator>CocoaOOXMLWriter/2487.6</generator>
</meta>
</file>