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Isabella</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Juan carlos</w:t>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Vanesa</w:t>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Juan Pablo</w:t>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Juan Sebastian Llano</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Valentín de la Rosa Rueda</w:t>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Estudio Legal</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Ante el problema de la exposición de los motociclistas al material participado presente en el aire, se ha propuesto como solución un casto antipolución.</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Sin embargo, es claro que se debe tener en cuenta una serie de normas, leyes y resoluciones que pueden afectar positiva o negativamente el desarrollo de dicho producto.</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 continuación, se resaltan las normas más importantes en el desarrollo del casco:</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NORMATIVA SOBRE CASCOS Y FILTROS</w:t>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Norma técnica Colombiana NTC 4533: Esta norma  se aplica a  cascos  protectores  para  conductores y acompañantes de motocicletas con o  sin  vehículo lateral (sidecar), motociclos  y  motocarros  no  cabinados, y a los  visores ajustados en  tales  cascos o aquellos  que son destinados  para ser agregados  a ellos.(...) Se excluyen  de  esta  norma  los cascos  protectores  que deban usarse para bicicletas  y  bicicletas con pedaleo asistido.</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ind w:left="720" w:firstLine="0"/>
        <w:jc w:val="both"/>
        <w:rPr>
          <w:b w:val="1"/>
          <w:sz w:val="24"/>
          <w:szCs w:val="24"/>
        </w:rPr>
      </w:pPr>
      <w:r w:rsidDel="00000000" w:rsidR="00000000" w:rsidRPr="00000000">
        <w:rPr>
          <w:b w:val="1"/>
          <w:sz w:val="24"/>
          <w:szCs w:val="24"/>
          <w:rtl w:val="0"/>
        </w:rPr>
        <w:t xml:space="preserve">EFECTO EN EL PROYECTO:</w:t>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 xml:space="preserve">Es la que dicta los parámetros de calidad y diseño mínimos permisibles, afecta la planeación y flexibilidad del diseño.</w:t>
      </w:r>
    </w:p>
    <w:p w:rsidR="00000000" w:rsidDel="00000000" w:rsidP="00000000" w:rsidRDefault="00000000" w:rsidRPr="00000000" w14:paraId="00000013">
      <w:pPr>
        <w:ind w:left="720" w:firstLine="0"/>
        <w:jc w:val="both"/>
        <w:rPr>
          <w:sz w:val="24"/>
          <w:szCs w:val="24"/>
        </w:rPr>
      </w:pPr>
      <w:r w:rsidDel="00000000" w:rsidR="00000000" w:rsidRPr="00000000">
        <w:rPr>
          <w:rtl w:val="0"/>
        </w:rPr>
      </w:r>
    </w:p>
    <w:p w:rsidR="00000000" w:rsidDel="00000000" w:rsidP="00000000" w:rsidRDefault="00000000" w:rsidRPr="00000000" w14:paraId="00000014">
      <w:pPr>
        <w:ind w:left="720" w:firstLine="0"/>
        <w:jc w:val="both"/>
        <w:rPr>
          <w:sz w:val="24"/>
          <w:szCs w:val="24"/>
        </w:rPr>
      </w:pPr>
      <w:r w:rsidDel="00000000" w:rsidR="00000000" w:rsidRPr="00000000">
        <w:rPr>
          <w:sz w:val="24"/>
          <w:szCs w:val="24"/>
          <w:rtl w:val="0"/>
        </w:rPr>
        <w:t xml:space="preserve">2. ISO8573-4:2001 y la ISO16890:2019: Esta norma indica las especificaciones      que deben poseer los filtros bajo estándares internacionales sobre las partículas sólidas.</w:t>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0"/>
        <w:jc w:val="both"/>
        <w:rPr>
          <w:b w:val="1"/>
          <w:sz w:val="24"/>
          <w:szCs w:val="24"/>
        </w:rPr>
      </w:pPr>
      <w:r w:rsidDel="00000000" w:rsidR="00000000" w:rsidRPr="00000000">
        <w:rPr>
          <w:b w:val="1"/>
          <w:sz w:val="24"/>
          <w:szCs w:val="24"/>
          <w:rtl w:val="0"/>
        </w:rPr>
        <w:t xml:space="preserve">EFECTO EN EL PROYECTO:</w:t>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Establece los parámetros y normativa que deben cumplir los filtros con respecto a las partículas sólidas y genera una restricción respecto al proveedor de filtros que se deba considerar para el proyecto (teniendo en cuenta el objetivo del filtro, pues estos difieren en cuanto al uso que se les da: minería, construcción).</w:t>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center"/>
        <w:rPr>
          <w:b w:val="1"/>
          <w:sz w:val="24"/>
          <w:szCs w:val="24"/>
        </w:rPr>
      </w:pPr>
      <w:r w:rsidDel="00000000" w:rsidR="00000000" w:rsidRPr="00000000">
        <w:rPr>
          <w:b w:val="1"/>
          <w:sz w:val="24"/>
          <w:szCs w:val="24"/>
          <w:rtl w:val="0"/>
        </w:rPr>
        <w:t xml:space="preserve">NORMATIVAS SOBRE CALIDAD DEL AIRE</w:t>
      </w:r>
    </w:p>
    <w:p w:rsidR="00000000" w:rsidDel="00000000" w:rsidP="00000000" w:rsidRDefault="00000000" w:rsidRPr="00000000" w14:paraId="0000001A">
      <w:pPr>
        <w:ind w:left="0" w:firstLine="0"/>
        <w:jc w:val="center"/>
        <w:rPr>
          <w:b w:val="1"/>
          <w:sz w:val="24"/>
          <w:szCs w:val="24"/>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 xml:space="preserve">      3. Resolución 0610:</w:t>
      </w:r>
    </w:p>
    <w:p w:rsidR="00000000" w:rsidDel="00000000" w:rsidP="00000000" w:rsidRDefault="00000000" w:rsidRPr="00000000" w14:paraId="0000001C">
      <w:pPr>
        <w:numPr>
          <w:ilvl w:val="0"/>
          <w:numId w:val="2"/>
        </w:numPr>
        <w:ind w:left="1440" w:hanging="360"/>
        <w:jc w:val="both"/>
        <w:rPr>
          <w:sz w:val="24"/>
          <w:szCs w:val="24"/>
          <w:u w:val="none"/>
        </w:rPr>
      </w:pPr>
      <w:r w:rsidDel="00000000" w:rsidR="00000000" w:rsidRPr="00000000">
        <w:rPr>
          <w:sz w:val="24"/>
          <w:szCs w:val="24"/>
          <w:rtl w:val="0"/>
        </w:rPr>
        <w:t xml:space="preserve">En el ARTÍCULO SEGUNDO, se expone la modificación del Artículo 4 de la Resolución 601 de 2006, sobre los Niveles Máximos Permisibles para Contaminantes Criterio.</w:t>
      </w:r>
    </w:p>
    <w:p w:rsidR="00000000" w:rsidDel="00000000" w:rsidP="00000000" w:rsidRDefault="00000000" w:rsidRPr="00000000" w14:paraId="0000001D">
      <w:pPr>
        <w:ind w:left="1440" w:firstLine="0"/>
        <w:jc w:val="both"/>
        <w:rPr>
          <w:sz w:val="24"/>
          <w:szCs w:val="24"/>
        </w:rPr>
      </w:pPr>
      <w:r w:rsidDel="00000000" w:rsidR="00000000" w:rsidRPr="00000000">
        <w:rPr>
          <w:sz w:val="24"/>
          <w:szCs w:val="24"/>
          <w:rtl w:val="0"/>
        </w:rPr>
        <w:t xml:space="preserve">A continuación se establecen los niveles máximos permisibles: </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ind w:left="720" w:firstLine="0"/>
        <w:jc w:val="center"/>
        <w:rPr>
          <w:sz w:val="24"/>
          <w:szCs w:val="24"/>
        </w:rPr>
      </w:pPr>
      <w:r w:rsidDel="00000000" w:rsidR="00000000" w:rsidRPr="00000000">
        <w:rPr>
          <w:sz w:val="24"/>
          <w:szCs w:val="24"/>
        </w:rPr>
        <w:drawing>
          <wp:inline distB="114300" distT="114300" distL="114300" distR="114300">
            <wp:extent cx="1495425" cy="10491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5425" cy="104914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jc w:val="center"/>
        <w:rPr>
          <w:b w:val="1"/>
          <w:sz w:val="24"/>
          <w:szCs w:val="24"/>
        </w:rPr>
      </w:pPr>
      <w:r w:rsidDel="00000000" w:rsidR="00000000" w:rsidRPr="00000000">
        <w:rPr>
          <w:i w:val="1"/>
          <w:sz w:val="20"/>
          <w:szCs w:val="20"/>
          <w:rtl w:val="0"/>
        </w:rPr>
        <w:t xml:space="preserve">Fuente: Ministerio de ambiente, vivienda y desarrollo territorial, resolución número (610), Gobierno de Colombia.</w:t>
      </w:r>
      <w:r w:rsidDel="00000000" w:rsidR="00000000" w:rsidRPr="00000000">
        <w:rPr>
          <w:rtl w:val="0"/>
        </w:rPr>
      </w:r>
    </w:p>
    <w:p w:rsidR="00000000" w:rsidDel="00000000" w:rsidP="00000000" w:rsidRDefault="00000000" w:rsidRPr="00000000" w14:paraId="00000021">
      <w:pPr>
        <w:ind w:left="720" w:firstLine="0"/>
        <w:jc w:val="both"/>
        <w:rPr>
          <w:b w:val="1"/>
          <w:sz w:val="24"/>
          <w:szCs w:val="24"/>
        </w:rPr>
      </w:pPr>
      <w:r w:rsidDel="00000000" w:rsidR="00000000" w:rsidRPr="00000000">
        <w:rPr>
          <w:rtl w:val="0"/>
        </w:rPr>
      </w:r>
    </w:p>
    <w:p w:rsidR="00000000" w:rsidDel="00000000" w:rsidP="00000000" w:rsidRDefault="00000000" w:rsidRPr="00000000" w14:paraId="00000022">
      <w:pPr>
        <w:numPr>
          <w:ilvl w:val="0"/>
          <w:numId w:val="3"/>
        </w:numPr>
        <w:ind w:left="1440" w:hanging="360"/>
        <w:jc w:val="both"/>
        <w:rPr>
          <w:sz w:val="24"/>
          <w:szCs w:val="24"/>
          <w:u w:val="none"/>
        </w:rPr>
      </w:pPr>
      <w:r w:rsidDel="00000000" w:rsidR="00000000" w:rsidRPr="00000000">
        <w:rPr>
          <w:sz w:val="24"/>
          <w:szCs w:val="24"/>
          <w:rtl w:val="0"/>
        </w:rPr>
        <w:t xml:space="preserve">ARTÍCULO QUINTO: Modificando el Artículo 8 de la Resolución 601 de 2006, el cual  informa sobre las Mediciones de Calidad del Aire por las Autoridades </w:t>
      </w:r>
    </w:p>
    <w:p w:rsidR="00000000" w:rsidDel="00000000" w:rsidP="00000000" w:rsidRDefault="00000000" w:rsidRPr="00000000" w14:paraId="00000023">
      <w:pPr>
        <w:ind w:left="1440" w:firstLine="0"/>
        <w:jc w:val="both"/>
        <w:rPr>
          <w:sz w:val="24"/>
          <w:szCs w:val="24"/>
        </w:rPr>
      </w:pPr>
      <w:r w:rsidDel="00000000" w:rsidR="00000000" w:rsidRPr="00000000">
        <w:rPr>
          <w:sz w:val="24"/>
          <w:szCs w:val="24"/>
          <w:rtl w:val="0"/>
        </w:rPr>
        <w:t xml:space="preserve">Ambientales:</w:t>
      </w:r>
    </w:p>
    <w:p w:rsidR="00000000" w:rsidDel="00000000" w:rsidP="00000000" w:rsidRDefault="00000000" w:rsidRPr="00000000" w14:paraId="00000024">
      <w:pPr>
        <w:ind w:left="1440" w:firstLine="0"/>
        <w:jc w:val="both"/>
        <w:rPr>
          <w:sz w:val="24"/>
          <w:szCs w:val="24"/>
        </w:rPr>
      </w:pPr>
      <w:r w:rsidDel="00000000" w:rsidR="00000000" w:rsidRPr="00000000">
        <w:rPr>
          <w:sz w:val="24"/>
          <w:szCs w:val="24"/>
          <w:rtl w:val="0"/>
        </w:rPr>
        <w:t xml:space="preserve">"Las autoridades ambientales competentes están obligadas a </w:t>
      </w:r>
    </w:p>
    <w:p w:rsidR="00000000" w:rsidDel="00000000" w:rsidP="00000000" w:rsidRDefault="00000000" w:rsidRPr="00000000" w14:paraId="00000025">
      <w:pPr>
        <w:ind w:left="1440" w:firstLine="0"/>
        <w:jc w:val="both"/>
        <w:rPr>
          <w:sz w:val="24"/>
          <w:szCs w:val="24"/>
        </w:rPr>
      </w:pPr>
      <w:r w:rsidDel="00000000" w:rsidR="00000000" w:rsidRPr="00000000">
        <w:rPr>
          <w:sz w:val="24"/>
          <w:szCs w:val="24"/>
          <w:rtl w:val="0"/>
        </w:rPr>
        <w:t xml:space="preserve">realizar mediciones de calidad del aire en el área de su jurisdicción(...)"</w:t>
      </w:r>
    </w:p>
    <w:p w:rsidR="00000000" w:rsidDel="00000000" w:rsidP="00000000" w:rsidRDefault="00000000" w:rsidRPr="00000000" w14:paraId="00000026">
      <w:pPr>
        <w:numPr>
          <w:ilvl w:val="0"/>
          <w:numId w:val="3"/>
        </w:numPr>
        <w:ind w:left="1440" w:hanging="360"/>
        <w:jc w:val="both"/>
        <w:rPr>
          <w:sz w:val="24"/>
          <w:szCs w:val="24"/>
          <w:u w:val="none"/>
        </w:rPr>
      </w:pPr>
      <w:r w:rsidDel="00000000" w:rsidR="00000000" w:rsidRPr="00000000">
        <w:rPr>
          <w:sz w:val="24"/>
          <w:szCs w:val="24"/>
          <w:rtl w:val="0"/>
        </w:rPr>
        <w:t xml:space="preserve">Parágrafo Primero: Cuando las concentraciones de contaminantes en el aire puedan generar problemas a la salud de la población, las autoridades ambientales competentes informarán a las autoridades de salud, para que tomen las medidas a que haya lugar. Igualmente, la autoridad ambiental competente deberá contar con los equipos, herramientas y personal necesarios para mantener un monitoreo permanente que le permita determinar el origen de los mismos, diseñar programas de reducción de la contaminación que incluyan las medidas a que haya lugar para minimizar el riesgo sobre la salud de la población expuesta. </w:t>
      </w:r>
    </w:p>
    <w:p w:rsidR="00000000" w:rsidDel="00000000" w:rsidP="00000000" w:rsidRDefault="00000000" w:rsidRPr="00000000" w14:paraId="00000027">
      <w:pPr>
        <w:numPr>
          <w:ilvl w:val="0"/>
          <w:numId w:val="3"/>
        </w:numPr>
        <w:ind w:left="1440" w:hanging="360"/>
        <w:jc w:val="both"/>
        <w:rPr>
          <w:sz w:val="24"/>
          <w:szCs w:val="24"/>
          <w:u w:val="none"/>
        </w:rPr>
      </w:pPr>
      <w:r w:rsidDel="00000000" w:rsidR="00000000" w:rsidRPr="00000000">
        <w:rPr>
          <w:sz w:val="24"/>
          <w:szCs w:val="24"/>
          <w:rtl w:val="0"/>
        </w:rPr>
        <w:t xml:space="preserve">Parágrafo Segundo: Las autoridades ambientales competentes están obligadas a informar al público sobre la calidad del aire de todos los parámetros e indicadores.</w:t>
      </w:r>
    </w:p>
    <w:p w:rsidR="00000000" w:rsidDel="00000000" w:rsidP="00000000" w:rsidRDefault="00000000" w:rsidRPr="00000000" w14:paraId="00000028">
      <w:pPr>
        <w:ind w:left="1440" w:firstLine="0"/>
        <w:jc w:val="both"/>
        <w:rPr>
          <w:sz w:val="24"/>
          <w:szCs w:val="24"/>
        </w:rPr>
      </w:pPr>
      <w:r w:rsidDel="00000000" w:rsidR="00000000" w:rsidRPr="00000000">
        <w:rPr>
          <w:rtl w:val="0"/>
        </w:rPr>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4. ISO8573-1:2010: Es la Norma Internacional para la Calidad del Aire comprimido,, indica el material particulado máximo presente para que no sea nocivo para la salud.</w:t>
      </w:r>
    </w:p>
    <w:p w:rsidR="00000000" w:rsidDel="00000000" w:rsidP="00000000" w:rsidRDefault="00000000" w:rsidRPr="00000000" w14:paraId="0000002A">
      <w:pPr>
        <w:ind w:left="1440" w:firstLine="0"/>
        <w:jc w:val="both"/>
        <w:rPr>
          <w:sz w:val="24"/>
          <w:szCs w:val="24"/>
        </w:rPr>
      </w:pPr>
      <w:r w:rsidDel="00000000" w:rsidR="00000000" w:rsidRPr="00000000">
        <w:rPr>
          <w:rtl w:val="0"/>
        </w:rPr>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5. CONPES 3344 y CONPES 3550: se encuentra gran cantidad de referencias de normativas y resoluciones en materia de calidad del aire.</w:t>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6. Normatividad de calidad del Aire del área metropolitana:</w:t>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tl w:val="0"/>
        </w:rPr>
        <w:t xml:space="preserve">RESOLUCIÓN NÚMERO (0910) 5 de Junio de 2008: Por la cual se reglamentan los niveles permisibles de emisión de contaminantes que deberán cumplir las fuentes móviles terrestres, se reglamenta el artículo 91 del Decreto 948 de 1995 y se adoptan otras disposiciones</w:t>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ind w:left="720" w:firstLine="0"/>
        <w:jc w:val="both"/>
        <w:rPr>
          <w:sz w:val="24"/>
          <w:szCs w:val="24"/>
        </w:rPr>
      </w:pPr>
      <w:r w:rsidDel="00000000" w:rsidR="00000000" w:rsidRPr="00000000">
        <w:rPr>
          <w:sz w:val="24"/>
          <w:szCs w:val="24"/>
          <w:rtl w:val="0"/>
        </w:rPr>
        <w:t xml:space="preserve">Resolución 2254/2017: Norma nacional de calidad del aire Por medio de la cual se adopta una decisión sobre la información de la conformación del Departamento de Gestión Ambiental</w:t>
      </w:r>
      <w:r w:rsidDel="00000000" w:rsidR="00000000" w:rsidRPr="00000000">
        <w:rPr>
          <w:rtl w:val="0"/>
        </w:rPr>
      </w:r>
    </w:p>
    <w:p w:rsidR="00000000" w:rsidDel="00000000" w:rsidP="00000000" w:rsidRDefault="00000000" w:rsidRPr="00000000" w14:paraId="00000031">
      <w:pPr>
        <w:ind w:left="720" w:firstLine="0"/>
        <w:jc w:val="both"/>
        <w:rPr>
          <w:sz w:val="24"/>
          <w:szCs w:val="24"/>
        </w:rPr>
      </w:pPr>
      <w:r w:rsidDel="00000000" w:rsidR="00000000" w:rsidRPr="00000000">
        <w:rPr>
          <w:rtl w:val="0"/>
        </w:rPr>
      </w:r>
    </w:p>
    <w:p w:rsidR="00000000" w:rsidDel="00000000" w:rsidP="00000000" w:rsidRDefault="00000000" w:rsidRPr="00000000" w14:paraId="00000032">
      <w:pPr>
        <w:ind w:left="720" w:firstLine="0"/>
        <w:jc w:val="both"/>
        <w:rPr>
          <w:sz w:val="24"/>
          <w:szCs w:val="24"/>
        </w:rPr>
      </w:pPr>
      <w:r w:rsidDel="00000000" w:rsidR="00000000" w:rsidRPr="00000000">
        <w:rPr>
          <w:sz w:val="24"/>
          <w:szCs w:val="24"/>
          <w:rtl w:val="0"/>
        </w:rPr>
        <w:t xml:space="preserve">Política de prevención y control de la contaminación del aire, Viceministerio de Ambiente 2010:  El 41% del total de las emisiones se generaba en ocho ciudades. Las mayores emisiones de material particulado menor a 10 micras (PM10), óxidos de nitrógeno (NOx) y monóxido de carbono (CO) estaban ocasionadas por las fuentes móviles, mientras que las de partículas suspendidas totales (PST) y óxidos de azufre (SOx) eran generadas por las fuentes fijas</w:t>
      </w:r>
    </w:p>
    <w:p w:rsidR="00000000" w:rsidDel="00000000" w:rsidP="00000000" w:rsidRDefault="00000000" w:rsidRPr="00000000" w14:paraId="00000033">
      <w:pPr>
        <w:ind w:left="720" w:firstLine="0"/>
        <w:jc w:val="both"/>
        <w:rPr>
          <w:sz w:val="24"/>
          <w:szCs w:val="24"/>
        </w:rPr>
      </w:pPr>
      <w:r w:rsidDel="00000000" w:rsidR="00000000" w:rsidRPr="00000000">
        <w:rPr>
          <w:rtl w:val="0"/>
        </w:rPr>
      </w:r>
    </w:p>
    <w:p w:rsidR="00000000" w:rsidDel="00000000" w:rsidP="00000000" w:rsidRDefault="00000000" w:rsidRPr="00000000" w14:paraId="00000034">
      <w:pPr>
        <w:ind w:left="720" w:firstLine="0"/>
        <w:jc w:val="both"/>
        <w:rPr>
          <w:sz w:val="24"/>
          <w:szCs w:val="24"/>
        </w:rPr>
      </w:pPr>
      <w:r w:rsidDel="00000000" w:rsidR="00000000" w:rsidRPr="00000000">
        <w:rPr>
          <w:sz w:val="24"/>
          <w:szCs w:val="24"/>
          <w:rtl w:val="0"/>
        </w:rPr>
        <w:t xml:space="preserve">Acuerdo Metropolitano 04/2018: Por el cual se adopta el Plan Integral de Gestión de la Calidad del Aire en el Valle de Aburrá (PIGECA) y se toman otras determinaciones.</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720" w:firstLine="0"/>
        <w:jc w:val="both"/>
        <w:rPr>
          <w:b w:val="1"/>
          <w:sz w:val="24"/>
          <w:szCs w:val="24"/>
        </w:rPr>
      </w:pPr>
      <w:r w:rsidDel="00000000" w:rsidR="00000000" w:rsidRPr="00000000">
        <w:rPr>
          <w:b w:val="1"/>
          <w:sz w:val="24"/>
          <w:szCs w:val="24"/>
          <w:rtl w:val="0"/>
        </w:rPr>
        <w:t xml:space="preserve">EFECTO EN EL PROYECTO:</w:t>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Estas normas referentes a la calidad del aire en el Área Metropolitana establecen un soporte para el proyecto pues ratifican las graves condiciones de este y la necesidad de tomar medidas preventivas y de control que eventualmente afectan la salud de la población.</w:t>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ind w:left="720" w:firstLine="0"/>
        <w:jc w:val="center"/>
        <w:rPr>
          <w:b w:val="1"/>
          <w:sz w:val="24"/>
          <w:szCs w:val="24"/>
        </w:rPr>
      </w:pPr>
      <w:r w:rsidDel="00000000" w:rsidR="00000000" w:rsidRPr="00000000">
        <w:rPr>
          <w:b w:val="1"/>
          <w:sz w:val="24"/>
          <w:szCs w:val="24"/>
          <w:rtl w:val="0"/>
        </w:rPr>
        <w:t xml:space="preserve">NORMATIVAS SOBRE LA SALUD</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6. Ley 100 de 1993: Indica el funcionamiento de  los sistemas de salud.</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7. Ley 1393 de 2010: Como funciona lo de los impuestos sobre las cervezas,     cigarrillos y otros en los aportes a salud.</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720" w:firstLine="0"/>
        <w:jc w:val="both"/>
        <w:rPr>
          <w:sz w:val="24"/>
          <w:szCs w:val="24"/>
        </w:rPr>
      </w:pPr>
      <w:r w:rsidDel="00000000" w:rsidR="00000000" w:rsidRPr="00000000">
        <w:rPr>
          <w:sz w:val="24"/>
          <w:szCs w:val="24"/>
          <w:rtl w:val="0"/>
        </w:rPr>
        <w:t xml:space="preserve">8.Resolución 1231 de 2018: por la cual se adopta el documento Guía para la Evaluación de los Planes Estratégicos de Seguridad Vial. Adoptando el documento Guía Metodológica para la emisión de observaciones y aval de los Planes Estratégicos de Seguridad Vial, instrumento que desarrolla parámetros técnicos orientados a estándares, para el uso de las autoridades y los organismos de tránsito, en la verificación del cumplimiento por parte de las entidades, empresas y organizaciones públicas y privadas, responsables de elaborar e implementar los </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sz w:val="24"/>
          <w:szCs w:val="24"/>
          <w:rtl w:val="0"/>
        </w:rPr>
        <w:t xml:space="preserve">Planes Estratégicos de Seguridad Vial.</w:t>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CONPES 3344: No creo sirva como regulación, pero en ella se encuentra gran cantidad de referencias de normativas y resoluciones en materia de calidad del aire.</w:t>
      </w:r>
    </w:p>
    <w:p w:rsidR="00000000" w:rsidDel="00000000" w:rsidP="00000000" w:rsidRDefault="00000000" w:rsidRPr="00000000" w14:paraId="00000044">
      <w:pPr>
        <w:ind w:left="720" w:firstLine="0"/>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CONPES 3550: </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jc w:val="center"/>
        <w:rPr>
          <w:sz w:val="24"/>
          <w:szCs w:val="24"/>
        </w:rPr>
      </w:pPr>
      <w:r w:rsidDel="00000000" w:rsidR="00000000" w:rsidRPr="00000000">
        <w:rPr>
          <w:b w:val="1"/>
          <w:sz w:val="24"/>
          <w:szCs w:val="24"/>
          <w:rtl w:val="0"/>
        </w:rPr>
        <w:t xml:space="preserve">NORMATIVAS SOBRE LA SEGURIDAD Y SALUD EN EL TRABAJO</w:t>
      </w:r>
      <w:r w:rsidDel="00000000" w:rsidR="00000000" w:rsidRPr="00000000">
        <w:rPr>
          <w:sz w:val="24"/>
          <w:szCs w:val="24"/>
          <w:rtl w:val="0"/>
        </w:rPr>
        <w:t xml:space="preserve">. </w:t>
      </w:r>
    </w:p>
    <w:p w:rsidR="00000000" w:rsidDel="00000000" w:rsidP="00000000" w:rsidRDefault="00000000" w:rsidRPr="00000000" w14:paraId="00000048">
      <w:pPr>
        <w:jc w:val="center"/>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DECRETO NÚMERO 1072 DE 2015 REPÚBLICA DE COLOMBIA (26 MAY 2015)</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Por medio del cual se expide el Decreto Único Reglamentario del Sector Trabajo</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Artículo 2.2.4.6.24. Medidas de prevención y control. </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el empleador deberá estar en la capacidad y obligación de suministrar  Equipos y Elementos de Protección Personal y Colectivo: </w:t>
      </w:r>
      <w:r w:rsidDel="00000000" w:rsidR="00000000" w:rsidRPr="00000000">
        <w:rPr>
          <w:sz w:val="24"/>
          <w:szCs w:val="24"/>
          <w:rtl w:val="0"/>
        </w:rPr>
        <w:t xml:space="preserve">Medidas basadas en el uso de dispositivos, accesorios y vestimentas por parte de los trabajadores, con el fin de protegerlos contra posibles daños a su salud o su integridad física derivados de la exposición a los peligros en el lugar de trabajo</w:t>
      </w:r>
      <w:r w:rsidDel="00000000" w:rsidR="00000000" w:rsidRPr="00000000">
        <w:rPr>
          <w:sz w:val="24"/>
          <w:szCs w:val="24"/>
          <w:rtl w:val="0"/>
        </w:rPr>
        <w:t xml:space="preserve">. El empleador deberá suministrar elementos y equipos de protección personal (EPP) que cumplan con las disposiciones legales vigentes. Los EPP deben usarse de manera complementaria a las anteriores medidas de control y nunca de manera aislada, y de acuerdo con la identificación de peligros y evaluación y valoración de los riesgos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b w:val="1"/>
          <w:sz w:val="24"/>
          <w:szCs w:val="24"/>
          <w:rtl w:val="0"/>
        </w:rPr>
        <w:t xml:space="preserve">Efecto en el proyecto</w:t>
      </w:r>
      <w:r w:rsidDel="00000000" w:rsidR="00000000" w:rsidRPr="00000000">
        <w:rPr>
          <w:sz w:val="24"/>
          <w:szCs w:val="24"/>
          <w:rtl w:val="0"/>
        </w:rPr>
        <w:t xml:space="preserve">: puede presentar un efecto positivo ya que en la ciudad hay trabajos que requieren un desplazamiento continuo en moto, en donde hay una alta exposición a contaminantes que al ser constante durante el día tiene una mayor acumulación de contaminantes en sus vías respiratorias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