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volet-rgpd-projet-ia-mecha"/>
    <w:p>
      <w:pPr>
        <w:pStyle w:val="Heading1"/>
      </w:pPr>
      <w:r>
        <w:t xml:space="preserve">Volet RGPD — Projet IA MECHA</w:t>
      </w:r>
    </w:p>
    <w:bookmarkStart w:id="20" w:name="contexte"/>
    <w:p>
      <w:pPr>
        <w:pStyle w:val="Heading2"/>
      </w:pPr>
      <w:r>
        <w:t xml:space="preserve">1. Contexte</w:t>
      </w:r>
    </w:p>
    <w:p>
      <w:pPr>
        <w:pStyle w:val="FirstParagraph"/>
      </w:pPr>
      <w:r>
        <w:t xml:space="preserve">Le prototype MECHA utilise</w:t>
      </w:r>
      <w:r>
        <w:t xml:space="preserve"> </w:t>
      </w:r>
      <w:r>
        <w:rPr>
          <w:bCs/>
          <w:b/>
        </w:rPr>
        <w:t xml:space="preserve">exclusivement des données publiques ou synthétiques</w:t>
      </w:r>
      <w:r>
        <w:t xml:space="preserve"> </w:t>
      </w:r>
      <w:r>
        <w:t xml:space="preserve">(contrainte cahier des charges, section V). Aucune donnée réelle d’entreprise ni personnelle n’est traitée dans cette phase.</w:t>
      </w:r>
    </w:p>
    <w:p>
      <w:pPr>
        <w:pStyle w:val="BodyText"/>
      </w:pPr>
      <w:r>
        <w:t xml:space="preserve">Le présent document décrit néanmoins</w:t>
      </w:r>
      <w:r>
        <w:t xml:space="preserve"> </w:t>
      </w:r>
      <w:r>
        <w:rPr>
          <w:bCs/>
          <w:b/>
        </w:rPr>
        <w:t xml:space="preserve">le dispositif RGPD qui devrait être appliqué</w:t>
      </w:r>
      <w:r>
        <w:t xml:space="preserve"> </w:t>
      </w:r>
      <w:r>
        <w:t xml:space="preserve">en cas de bascule sur données réelles (industrialisation).</w:t>
      </w:r>
    </w:p>
    <w:bookmarkEnd w:id="20"/>
    <w:bookmarkStart w:id="21" w:name="Xf87c32197bf7c285dae702d40fbc5eeef0f2ad3"/>
    <w:p>
      <w:pPr>
        <w:pStyle w:val="Heading2"/>
      </w:pPr>
      <w:r>
        <w:t xml:space="preserve">2. Typologie des données concernées (cas industrialisation)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Personnelle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Sensible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Télémétrie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Température, vibration, vitesse broche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défaut, marche/arrêt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Historique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Intervention, cause, 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(via ID opérateur)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Identifiant opérateur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Matricule, badge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SCADA/MES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 ayant validé un ordre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</w:tbl>
    <w:p>
      <w:pPr>
        <w:pStyle w:val="BodyText"/>
      </w:pPr>
      <w:r>
        <w:t xml:space="preserve">Les données</w:t>
      </w:r>
      <w:r>
        <w:t xml:space="preserve"> </w:t>
      </w:r>
      <w:r>
        <w:rPr>
          <w:bCs/>
          <w:b/>
        </w:rPr>
        <w:t xml:space="preserve">techniques</w:t>
      </w:r>
      <w:r>
        <w:t xml:space="preserve"> </w:t>
      </w:r>
      <w:r>
        <w:t xml:space="preserve">(capteurs, machines) ne relèvent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du RGPD. Les données</w:t>
      </w:r>
      <w:r>
        <w:t xml:space="preserve"> </w:t>
      </w:r>
      <w:r>
        <w:rPr>
          <w:bCs/>
          <w:b/>
        </w:rPr>
        <w:t xml:space="preserve">d’opérateurs</w:t>
      </w:r>
      <w:r>
        <w:t xml:space="preserve"> </w:t>
      </w:r>
      <w:r>
        <w:t xml:space="preserve">(matricule, intervention nominative) en relèvent.</w:t>
      </w:r>
    </w:p>
    <w:bookmarkEnd w:id="21"/>
    <w:bookmarkStart w:id="27" w:name="principes-appliqués"/>
    <w:p>
      <w:pPr>
        <w:pStyle w:val="Heading2"/>
      </w:pPr>
      <w:r>
        <w:t xml:space="preserve">3. Principes appliqués</w:t>
      </w:r>
    </w:p>
    <w:bookmarkStart w:id="22" w:name="minimisation"/>
    <w:p>
      <w:pPr>
        <w:pStyle w:val="Heading3"/>
      </w:pPr>
      <w:r>
        <w:t xml:space="preserve">3.1 Minimisation</w:t>
      </w:r>
    </w:p>
    <w:p>
      <w:pPr>
        <w:pStyle w:val="FirstParagraph"/>
      </w:pPr>
      <w:r>
        <w:t xml:space="preserve">Seules les variables utiles au modèle sont collectées. Les identifiants opérateurs ne sont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injectés dans les features ML.</w:t>
      </w:r>
    </w:p>
    <w:bookmarkEnd w:id="22"/>
    <w:bookmarkStart w:id="23" w:name="pseudonymisation"/>
    <w:p>
      <w:pPr>
        <w:pStyle w:val="Heading3"/>
      </w:pPr>
      <w:r>
        <w:t xml:space="preserve">3.2 Pseudonymisation</w:t>
      </w:r>
    </w:p>
    <w:p>
      <w:pPr>
        <w:pStyle w:val="FirstParagraph"/>
      </w:pPr>
      <w:r>
        <w:t xml:space="preserve">Les matricules opérateur sont remplacés par un hash SHA-256 salé avant stockage analytique. La table de correspondance reste dans le SI RH, non accessible à la plateforme IA.</w:t>
      </w:r>
    </w:p>
    <w:bookmarkEnd w:id="23"/>
    <w:bookmarkStart w:id="24" w:name="finalité"/>
    <w:p>
      <w:pPr>
        <w:pStyle w:val="Heading3"/>
      </w:pPr>
      <w:r>
        <w:t xml:space="preserve">3.3 Finalité</w:t>
      </w:r>
    </w:p>
    <w:p>
      <w:pPr>
        <w:pStyle w:val="FirstParagraph"/>
      </w:pPr>
      <w:r>
        <w:t xml:space="preserve">Usage limité à : maintenance prédictive, détection d’anomalies, pilotage industriel.</w:t>
      </w:r>
      <w:r>
        <w:t xml:space="preserve"> </w:t>
      </w:r>
      <w:r>
        <w:rPr>
          <w:bCs/>
          <w:b/>
        </w:rPr>
        <w:t xml:space="preserve">Interdiction</w:t>
      </w:r>
      <w:r>
        <w:t xml:space="preserve"> </w:t>
      </w:r>
      <w:r>
        <w:t xml:space="preserve">d’usage RH (évaluation individuelle, productivité par opérateur).</w:t>
      </w:r>
    </w:p>
    <w:bookmarkEnd w:id="24"/>
    <w:bookmarkStart w:id="25" w:name="conservation"/>
    <w:p>
      <w:pPr>
        <w:pStyle w:val="Heading3"/>
      </w:pPr>
      <w:r>
        <w:t xml:space="preserve">3.4 Conservation</w:t>
      </w:r>
    </w:p>
    <w:p>
      <w:pPr>
        <w:numPr>
          <w:ilvl w:val="0"/>
          <w:numId w:val="1001"/>
        </w:numPr>
        <w:pStyle w:val="Compact"/>
      </w:pPr>
      <w:r>
        <w:t xml:space="preserve">Télémétrie brute : 90 jours (InfluxDB)</w:t>
      </w:r>
    </w:p>
    <w:p>
      <w:pPr>
        <w:numPr>
          <w:ilvl w:val="0"/>
          <w:numId w:val="1001"/>
        </w:numPr>
        <w:pStyle w:val="Compact"/>
      </w:pPr>
      <w:r>
        <w:t xml:space="preserve">Données agrégées / features : 3 ans (PostgreSQL)</w:t>
      </w:r>
    </w:p>
    <w:p>
      <w:pPr>
        <w:numPr>
          <w:ilvl w:val="0"/>
          <w:numId w:val="1001"/>
        </w:numPr>
        <w:pStyle w:val="Compact"/>
      </w:pPr>
      <w:r>
        <w:t xml:space="preserve">Historique interventions : durée légale métier</w:t>
      </w:r>
    </w:p>
    <w:bookmarkEnd w:id="25"/>
    <w:bookmarkStart w:id="26" w:name="sécurité"/>
    <w:p>
      <w:pPr>
        <w:pStyle w:val="Heading3"/>
      </w:pPr>
      <w:r>
        <w:t xml:space="preserve">3.5 Sécurité</w:t>
      </w:r>
    </w:p>
    <w:p>
      <w:pPr>
        <w:numPr>
          <w:ilvl w:val="0"/>
          <w:numId w:val="1002"/>
        </w:numPr>
        <w:pStyle w:val="Compact"/>
      </w:pPr>
      <w:r>
        <w:t xml:space="preserve">Chiffrement au repos (Postgres, Influx) et en transit (TLS)</w:t>
      </w:r>
    </w:p>
    <w:p>
      <w:pPr>
        <w:numPr>
          <w:ilvl w:val="0"/>
          <w:numId w:val="1002"/>
        </w:numPr>
        <w:pStyle w:val="Compact"/>
      </w:pPr>
      <w:r>
        <w:t xml:space="preserve">Accès par rôle (RBAC) : ops, data scientist, direction, admin</w:t>
      </w:r>
    </w:p>
    <w:p>
      <w:pPr>
        <w:numPr>
          <w:ilvl w:val="0"/>
          <w:numId w:val="1002"/>
        </w:numPr>
        <w:pStyle w:val="Compact"/>
      </w:pPr>
      <w:r>
        <w:t xml:space="preserve">Journalisation des accès aux données pseudonymisées</w:t>
      </w:r>
    </w:p>
    <w:bookmarkEnd w:id="26"/>
    <w:bookmarkEnd w:id="27"/>
    <w:bookmarkStart w:id="28" w:name="rôle-du-dpo"/>
    <w:p>
      <w:pPr>
        <w:pStyle w:val="Heading2"/>
      </w:pPr>
      <w:r>
        <w:t xml:space="preserve">4. Rôle du DPO</w:t>
      </w:r>
    </w:p>
    <w:p>
      <w:pPr>
        <w:pStyle w:val="FirstParagraph"/>
      </w:pPr>
      <w:r>
        <w:t xml:space="preserve">Le DPO de MECHA doit :</w:t>
      </w:r>
      <w:r>
        <w:t xml:space="preserve"> </w:t>
      </w:r>
      <w:r>
        <w:t xml:space="preserve">- Valider le registre des traitements avant mise en production</w:t>
      </w:r>
      <w:r>
        <w:t xml:space="preserve"> </w:t>
      </w:r>
      <w:r>
        <w:t xml:space="preserve">- Auditer la table de correspondance (hash ↔ matricule)</w:t>
      </w:r>
      <w:r>
        <w:t xml:space="preserve"> </w:t>
      </w:r>
      <w:r>
        <w:t xml:space="preserve">- Valider les mentions d’information aux opérateurs (art. 13 RGPD)</w:t>
      </w:r>
      <w:r>
        <w:t xml:space="preserve"> </w:t>
      </w:r>
      <w:r>
        <w:t xml:space="preserve">- Être consulté avant tout usage secondaire des données</w:t>
      </w:r>
    </w:p>
    <w:bookmarkEnd w:id="28"/>
    <w:bookmarkStart w:id="29" w:name="analyse-dimpact-aipd"/>
    <w:p>
      <w:pPr>
        <w:pStyle w:val="Heading2"/>
      </w:pPr>
      <w:r>
        <w:t xml:space="preserve">5. Analyse d’impact (AIPD)</w:t>
      </w:r>
    </w:p>
    <w:p>
      <w:pPr>
        <w:pStyle w:val="FirstParagraph"/>
      </w:pPr>
      <w:r>
        <w:t xml:space="preserve">Une AIPD est</w:t>
      </w:r>
      <w:r>
        <w:t xml:space="preserve"> </w:t>
      </w:r>
      <w:r>
        <w:rPr>
          <w:bCs/>
          <w:b/>
        </w:rPr>
        <w:t xml:space="preserve">recommandée</w:t>
      </w:r>
      <w:r>
        <w:t xml:space="preserve"> </w:t>
      </w:r>
      <w:r>
        <w:t xml:space="preserve">avant industrialisation, car :</w:t>
      </w:r>
      <w:r>
        <w:t xml:space="preserve"> </w:t>
      </w:r>
      <w:r>
        <w:t xml:space="preserve">- Traitement à grande échelle (multi-sites)</w:t>
      </w:r>
      <w:r>
        <w:t xml:space="preserve"> </w:t>
      </w:r>
      <w:r>
        <w:t xml:space="preserve">- Croisement de sources (SCADA + RH + maintenance)</w:t>
      </w:r>
      <w:r>
        <w:t xml:space="preserve"> </w:t>
      </w:r>
      <w:r>
        <w:t xml:space="preserve">- Risque de dérive vers un usage de surveillance individuelle</w:t>
      </w:r>
    </w:p>
    <w:bookmarkEnd w:id="29"/>
    <w:bookmarkStart w:id="30" w:name="information-des-opérateurs"/>
    <w:p>
      <w:pPr>
        <w:pStyle w:val="Heading2"/>
      </w:pPr>
      <w:r>
        <w:t xml:space="preserve">6. Information des opérateurs</w:t>
      </w:r>
    </w:p>
    <w:p>
      <w:pPr>
        <w:pStyle w:val="FirstParagraph"/>
      </w:pPr>
      <w:r>
        <w:t xml:space="preserve">Note d’information à afficher en atelier + insertion dans le règlement intérieur :</w:t>
      </w:r>
      <w:r>
        <w:t xml:space="preserve"> </w:t>
      </w:r>
      <w:r>
        <w:t xml:space="preserve">- Nature des données collectées</w:t>
      </w:r>
      <w:r>
        <w:t xml:space="preserve"> </w:t>
      </w:r>
      <w:r>
        <w:t xml:space="preserve">- Finalité (maintenance prédictive,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de suivi individuel)</w:t>
      </w:r>
      <w:r>
        <w:t xml:space="preserve"> </w:t>
      </w:r>
      <w:r>
        <w:t xml:space="preserve">- Durées de conservation</w:t>
      </w:r>
      <w:r>
        <w:t xml:space="preserve"> </w:t>
      </w:r>
      <w:r>
        <w:t xml:space="preserve">- Droit d’accès, rectification, opposition</w:t>
      </w:r>
      <w:r>
        <w:t xml:space="preserve"> </w:t>
      </w:r>
      <w:r>
        <w:t xml:space="preserve">- Contact DPO</w:t>
      </w:r>
    </w:p>
    <w:bookmarkEnd w:id="30"/>
    <w:bookmarkStart w:id="31" w:name="limites-du-prototype-actuel"/>
    <w:p>
      <w:pPr>
        <w:pStyle w:val="Heading2"/>
      </w:pPr>
      <w:r>
        <w:t xml:space="preserve">7. Limites du prototype actuel</w:t>
      </w:r>
    </w:p>
    <w:p>
      <w:pPr>
        <w:pStyle w:val="FirstParagraph"/>
      </w:pPr>
      <w:r>
        <w:t xml:space="preserve">Comme les données sont synthétiques, aucune obligation RGPD ne s’applique</w:t>
      </w:r>
      <w:r>
        <w:t xml:space="preserve"> </w:t>
      </w:r>
      <w:r>
        <w:rPr>
          <w:bCs/>
          <w:b/>
        </w:rPr>
        <w:t xml:space="preserve">au prototype</w:t>
      </w:r>
      <w:r>
        <w:t xml:space="preserve">. Toutefois, le code est conçu pour supporter la pseudonymisation dès le premier passage sur données réelles (module</w:t>
      </w:r>
      <w:r>
        <w:t xml:space="preserve"> </w:t>
      </w:r>
      <w:r>
        <w:rPr>
          <w:rStyle w:val="VerbatimChar"/>
        </w:rPr>
        <w:t xml:space="preserve">cleaning/pseudonymize.py</w:t>
      </w:r>
      <w:r>
        <w:t xml:space="preserve"> </w:t>
      </w:r>
      <w:r>
        <w:t xml:space="preserve">prévu).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2026-08-19T12:05:09Z</dcterms:created>
  <dcterms:modified xsi:type="dcterms:W3CDTF">2026-08-19T12:05:09Z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