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ompte-rendu-dentretien-client-mecha"/>
    <w:p>
      <w:pPr>
        <w:pStyle w:val="Heading1"/>
      </w:pPr>
      <w:r>
        <w:t xml:space="preserve">Compte-rendu d’entretien client — MECHA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 </w:t>
      </w:r>
      <w:r>
        <w:t xml:space="preserve">: Entretien simulé (encadrant pédagogique jouant le rôle du client)</w:t>
      </w:r>
      <w:r>
        <w:t xml:space="preserve"> </w:t>
      </w:r>
      <w:r>
        <w:rPr>
          <w:bCs/>
          <w:b/>
        </w:rPr>
        <w:t xml:space="preserve">Interlocuteurs côté MECHA</w:t>
      </w:r>
      <w:r>
        <w:t xml:space="preserve"> </w:t>
      </w:r>
      <w:r>
        <w:t xml:space="preserve">: Directeur industriel, Responsable maintenance, DSI</w:t>
      </w:r>
      <w:r>
        <w:t xml:space="preserve"> </w:t>
      </w:r>
      <w:r>
        <w:rPr>
          <w:bCs/>
          <w:b/>
        </w:rPr>
        <w:t xml:space="preserve">Interlocuteurs équipe projet</w:t>
      </w:r>
      <w:r>
        <w:t xml:space="preserve"> </w:t>
      </w:r>
      <w:r>
        <w:t xml:space="preserve">: Chef de projet IA, Data scientist, Data engineer</w:t>
      </w:r>
      <w:r>
        <w:t xml:space="preserve"> </w:t>
      </w:r>
      <w:r>
        <w:rPr>
          <w:bCs/>
          <w:b/>
        </w:rPr>
        <w:t xml:space="preserve">Durée</w:t>
      </w:r>
      <w:r>
        <w:t xml:space="preserve"> </w:t>
      </w:r>
      <w:r>
        <w:t xml:space="preserve">: 1h</w:t>
      </w:r>
    </w:p>
    <w:p>
      <w:r>
        <w:pict>
          <v:rect style="width:0;height:1.5pt" o:hralign="center" o:hrstd="t" o:hr="t"/>
        </w:pict>
      </w:r>
    </w:p>
    <w:bookmarkStart w:id="24" w:name="guide-dentretien-utilisé"/>
    <w:p>
      <w:pPr>
        <w:pStyle w:val="Heading2"/>
      </w:pPr>
      <w:r>
        <w:t xml:space="preserve">1. Guide d’entretien utilisé</w:t>
      </w:r>
    </w:p>
    <w:bookmarkStart w:id="20" w:name="thème-1-contexte-et-enjeux"/>
    <w:p>
      <w:pPr>
        <w:pStyle w:val="Heading3"/>
      </w:pPr>
      <w:r>
        <w:t xml:space="preserve">Thème 1 — Contexte et enjeux</w:t>
      </w:r>
    </w:p>
    <w:p>
      <w:pPr>
        <w:numPr>
          <w:ilvl w:val="0"/>
          <w:numId w:val="1001"/>
        </w:numPr>
        <w:pStyle w:val="Compact"/>
      </w:pPr>
      <w:r>
        <w:t xml:space="preserve">Quels sont les 3 principaux irritants opérationnels actuels sur les lignes de production ?</w:t>
      </w:r>
    </w:p>
    <w:p>
      <w:pPr>
        <w:numPr>
          <w:ilvl w:val="0"/>
          <w:numId w:val="1001"/>
        </w:numPr>
        <w:pStyle w:val="Compact"/>
      </w:pPr>
      <w:r>
        <w:t xml:space="preserve">Quel est le coût moyen d’un arrêt non planifié (heure ou journée) ?</w:t>
      </w:r>
    </w:p>
    <w:p>
      <w:pPr>
        <w:numPr>
          <w:ilvl w:val="0"/>
          <w:numId w:val="1001"/>
        </w:numPr>
        <w:pStyle w:val="Compact"/>
      </w:pPr>
      <w:r>
        <w:t xml:space="preserve">Quelles sont les machines les plus critiques ? Combien y en a-t-il par site ?</w:t>
      </w:r>
    </w:p>
    <w:p>
      <w:pPr>
        <w:numPr>
          <w:ilvl w:val="0"/>
          <w:numId w:val="1001"/>
        </w:numPr>
        <w:pStyle w:val="Compact"/>
      </w:pPr>
      <w:r>
        <w:t xml:space="preserve">Existe-t-il un historique structuré des pannes ?</w:t>
      </w:r>
    </w:p>
    <w:bookmarkEnd w:id="20"/>
    <w:bookmarkStart w:id="21" w:name="thème-2-données-disponibles"/>
    <w:p>
      <w:pPr>
        <w:pStyle w:val="Heading3"/>
      </w:pPr>
      <w:r>
        <w:t xml:space="preserve">Thème 2 — Données disponibles</w:t>
      </w:r>
    </w:p>
    <w:p>
      <w:pPr>
        <w:numPr>
          <w:ilvl w:val="0"/>
          <w:numId w:val="1002"/>
        </w:numPr>
        <w:pStyle w:val="Compact"/>
      </w:pPr>
      <w:r>
        <w:t xml:space="preserve">Quels capteurs sont déjà déployés ? Sur quelles machines ?</w:t>
      </w:r>
    </w:p>
    <w:p>
      <w:pPr>
        <w:numPr>
          <w:ilvl w:val="0"/>
          <w:numId w:val="1002"/>
        </w:numPr>
        <w:pStyle w:val="Compact"/>
      </w:pPr>
      <w:r>
        <w:t xml:space="preserve">À quelle fréquence les données remontent-elles ?</w:t>
      </w:r>
    </w:p>
    <w:p>
      <w:pPr>
        <w:numPr>
          <w:ilvl w:val="0"/>
          <w:numId w:val="1002"/>
        </w:numPr>
        <w:pStyle w:val="Compact"/>
      </w:pPr>
      <w:r>
        <w:t xml:space="preserve">Quel est le taux de disponibilité réel des capteurs (pannes capteur, réseau) ?</w:t>
      </w:r>
    </w:p>
    <w:p>
      <w:pPr>
        <w:numPr>
          <w:ilvl w:val="0"/>
          <w:numId w:val="1002"/>
        </w:numPr>
        <w:pStyle w:val="Compact"/>
      </w:pPr>
      <w:r>
        <w:t xml:space="preserve">Les données de maintenance sont-elles saisies dans un outil unique (GMAO) ou dispersées ?</w:t>
      </w:r>
    </w:p>
    <w:bookmarkEnd w:id="21"/>
    <w:bookmarkStart w:id="22" w:name="thème-3-utilisateurs-et-usages"/>
    <w:p>
      <w:pPr>
        <w:pStyle w:val="Heading3"/>
      </w:pPr>
      <w:r>
        <w:t xml:space="preserve">Thème 3 — Utilisateurs et usages</w:t>
      </w:r>
    </w:p>
    <w:p>
      <w:pPr>
        <w:numPr>
          <w:ilvl w:val="0"/>
          <w:numId w:val="1003"/>
        </w:numPr>
        <w:pStyle w:val="Compact"/>
      </w:pPr>
      <w:r>
        <w:t xml:space="preserve">Qui utilisera la solution au quotidien ? Sur quel support (poste fixe, tablette atelier) ?</w:t>
      </w:r>
    </w:p>
    <w:p>
      <w:pPr>
        <w:numPr>
          <w:ilvl w:val="0"/>
          <w:numId w:val="1003"/>
        </w:numPr>
        <w:pStyle w:val="Compact"/>
      </w:pPr>
      <w:r>
        <w:t xml:space="preserve">Quel est le niveau technique moyen des équipes maintenance ?</w:t>
      </w:r>
    </w:p>
    <w:p>
      <w:pPr>
        <w:numPr>
          <w:ilvl w:val="0"/>
          <w:numId w:val="1003"/>
        </w:numPr>
        <w:pStyle w:val="Compact"/>
      </w:pPr>
      <w:r>
        <w:t xml:space="preserve">Quel délai d’anticipation d’une panne serait utile (24h, 7j, 30j) ?</w:t>
      </w:r>
    </w:p>
    <w:p>
      <w:pPr>
        <w:numPr>
          <w:ilvl w:val="0"/>
          <w:numId w:val="1003"/>
        </w:numPr>
        <w:pStyle w:val="Compact"/>
      </w:pPr>
      <w:r>
        <w:t xml:space="preserve">Comment les alertes sont-elles gérées aujourd’hui ?</w:t>
      </w:r>
    </w:p>
    <w:bookmarkEnd w:id="22"/>
    <w:bookmarkStart w:id="23" w:name="thème-4-contraintes"/>
    <w:p>
      <w:pPr>
        <w:pStyle w:val="Heading3"/>
      </w:pPr>
      <w:r>
        <w:t xml:space="preserve">Thème 4 — Contraintes</w:t>
      </w:r>
    </w:p>
    <w:p>
      <w:pPr>
        <w:numPr>
          <w:ilvl w:val="0"/>
          <w:numId w:val="1004"/>
        </w:numPr>
        <w:pStyle w:val="Compact"/>
      </w:pPr>
      <w:r>
        <w:t xml:space="preserve">Contraintes de sécurité IT (réseau OT/IT segmenté ?)</w:t>
      </w:r>
    </w:p>
    <w:p>
      <w:pPr>
        <w:numPr>
          <w:ilvl w:val="0"/>
          <w:numId w:val="1004"/>
        </w:numPr>
        <w:pStyle w:val="Compact"/>
      </w:pPr>
      <w:r>
        <w:t xml:space="preserve">Contraintes RGPD (données opérateurs) ?</w:t>
      </w:r>
    </w:p>
    <w:p>
      <w:pPr>
        <w:numPr>
          <w:ilvl w:val="0"/>
          <w:numId w:val="1004"/>
        </w:numPr>
        <w:pStyle w:val="Compact"/>
      </w:pPr>
      <w:r>
        <w:t xml:space="preserve">Budget cible et calendrier attendu ?</w:t>
      </w:r>
    </w:p>
    <w:p>
      <w:pPr>
        <w:numPr>
          <w:ilvl w:val="0"/>
          <w:numId w:val="1004"/>
        </w:numPr>
        <w:pStyle w:val="Compact"/>
      </w:pPr>
      <w:r>
        <w:t xml:space="preserve">Intégration avec l’existant (SCADA, MES, GMAO) ?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synthèse-des-besoins-collectés"/>
    <w:p>
      <w:pPr>
        <w:pStyle w:val="Heading2"/>
      </w:pPr>
      <w:r>
        <w:t xml:space="preserve">2. Synthèse des besoins collectés</w:t>
      </w:r>
    </w:p>
    <w:bookmarkStart w:id="25" w:name="besoins-métier-prioritaires"/>
    <w:p>
      <w:pPr>
        <w:pStyle w:val="Heading3"/>
      </w:pPr>
      <w:r>
        <w:t xml:space="preserve">2.1 Besoins métier prioritaires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Détecter les dérives machine</w:t>
            </w:r>
            <w:r>
              <w:t xml:space="preserve"> </w:t>
            </w:r>
            <w:r>
              <w:rPr>
                <w:bCs/>
                <w:b/>
              </w:rPr>
              <w:t xml:space="preserve">avant</w:t>
            </w:r>
            <w:r>
              <w:t xml:space="preserve"> </w:t>
            </w:r>
            <w:r>
              <w:t xml:space="preserve">panne (fenêtre 24-72h)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Alerter les équipes terrain en temps réel (&lt; 5 min)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Consolider un TRS multi-sites pour la direction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Prioriser les interventions par criticité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Historiser les décisions pour audit qualité (aéronautique)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Comparer la performance entre les 5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</w:tr>
    </w:tbl>
    <w:bookmarkEnd w:id="25"/>
    <w:bookmarkStart w:id="26" w:name="contraintes-techniques"/>
    <w:p>
      <w:pPr>
        <w:pStyle w:val="Heading3"/>
      </w:pPr>
      <w:r>
        <w:t xml:space="preserve">2.2 Contraintes techniques</w:t>
      </w:r>
    </w:p>
    <w:p>
      <w:pPr>
        <w:numPr>
          <w:ilvl w:val="0"/>
          <w:numId w:val="1005"/>
        </w:numPr>
        <w:pStyle w:val="Compact"/>
      </w:pPr>
      <w:r>
        <w:t xml:space="preserve">Réseau OT/IT segmenté : la solution IA vit côté IT, les capteurs côté OT communiquent via un broker MQTT sécurisé</w:t>
      </w:r>
    </w:p>
    <w:p>
      <w:pPr>
        <w:numPr>
          <w:ilvl w:val="0"/>
          <w:numId w:val="1005"/>
        </w:numPr>
        <w:pStyle w:val="Compact"/>
      </w:pPr>
      <w:r>
        <w:t xml:space="preserve">Sites hétérogènes : 3 sites France équipés IoT complet, 2 sites Espagne partiellement équipés</w:t>
      </w:r>
    </w:p>
    <w:p>
      <w:pPr>
        <w:numPr>
          <w:ilvl w:val="0"/>
          <w:numId w:val="1005"/>
        </w:numPr>
        <w:pStyle w:val="Compact"/>
      </w:pPr>
      <w:r>
        <w:t xml:space="preserve">Volume attendu : ~10 000 points/min tous sites confondus</w:t>
      </w:r>
    </w:p>
    <w:p>
      <w:pPr>
        <w:numPr>
          <w:ilvl w:val="0"/>
          <w:numId w:val="1005"/>
        </w:numPr>
        <w:pStyle w:val="Compact"/>
      </w:pPr>
      <w:r>
        <w:t xml:space="preserve">Aucun contact direct avec les opérateurs pour cette phase (démarche descendante)</w:t>
      </w:r>
    </w:p>
    <w:bookmarkEnd w:id="26"/>
    <w:bookmarkStart w:id="27" w:name="contraintes-organisationnelles"/>
    <w:p>
      <w:pPr>
        <w:pStyle w:val="Heading3"/>
      </w:pPr>
      <w:r>
        <w:t xml:space="preserve">2.3 Contraintes organisationnelles</w:t>
      </w:r>
    </w:p>
    <w:p>
      <w:pPr>
        <w:numPr>
          <w:ilvl w:val="0"/>
          <w:numId w:val="1006"/>
        </w:numPr>
        <w:pStyle w:val="Compact"/>
      </w:pPr>
      <w:r>
        <w:t xml:space="preserve">Équipes maintenance formées aux outils papier + SCADA basique,</w:t>
      </w:r>
      <w:r>
        <w:t xml:space="preserve"> </w:t>
      </w:r>
      <w:r>
        <w:rPr>
          <w:bCs/>
          <w:b/>
        </w:rPr>
        <w:t xml:space="preserve">peu à l’analytique</w:t>
      </w:r>
    </w:p>
    <w:p>
      <w:pPr>
        <w:numPr>
          <w:ilvl w:val="0"/>
          <w:numId w:val="1006"/>
        </w:numPr>
        <w:pStyle w:val="Compact"/>
      </w:pPr>
      <w:r>
        <w:t xml:space="preserve">Turn-over faible → formation utile long terme</w:t>
      </w:r>
    </w:p>
    <w:p>
      <w:pPr>
        <w:numPr>
          <w:ilvl w:val="0"/>
          <w:numId w:val="1006"/>
        </w:numPr>
        <w:pStyle w:val="Compact"/>
      </w:pPr>
      <w:r>
        <w:t xml:space="preserve">Direction demande un ROI démontrable sous 6 mois (phase pilote sur 1 site)</w:t>
      </w:r>
    </w:p>
    <w:bookmarkEnd w:id="27"/>
    <w:bookmarkStart w:id="28" w:name="points-dattention-soulevés"/>
    <w:p>
      <w:pPr>
        <w:pStyle w:val="Heading3"/>
      </w:pPr>
      <w:r>
        <w:t xml:space="preserve">2.4 Points d’attention soulevés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Refus explicite</w:t>
      </w:r>
      <w:r>
        <w:t xml:space="preserve"> </w:t>
      </w:r>
      <w:r>
        <w:t xml:space="preserve">de tout usage RH des données (suivi individuel)</w:t>
      </w:r>
    </w:p>
    <w:p>
      <w:pPr>
        <w:numPr>
          <w:ilvl w:val="0"/>
          <w:numId w:val="1007"/>
        </w:numPr>
        <w:pStyle w:val="Compact"/>
      </w:pPr>
      <w:r>
        <w:t xml:space="preserve">Crainte des équipes terrain d’être « remplacées » par l’IA → nécessité d’un accompagnement</w:t>
      </w:r>
    </w:p>
    <w:p>
      <w:pPr>
        <w:numPr>
          <w:ilvl w:val="0"/>
          <w:numId w:val="1007"/>
        </w:numPr>
        <w:pStyle w:val="Compact"/>
      </w:pPr>
      <w:r>
        <w:t xml:space="preserve">DSI insiste sur la</w:t>
      </w:r>
      <w:r>
        <w:t xml:space="preserve"> </w:t>
      </w:r>
      <w:r>
        <w:rPr>
          <w:bCs/>
          <w:b/>
        </w:rPr>
        <w:t xml:space="preserve">portabilité</w:t>
      </w:r>
      <w:r>
        <w:t xml:space="preserve"> </w:t>
      </w:r>
      <w:r>
        <w:t xml:space="preserve">(Docker, pas de dépendance cloud propriétaire)</w:t>
      </w:r>
    </w:p>
    <w:p>
      <w:pPr>
        <w:numPr>
          <w:ilvl w:val="0"/>
          <w:numId w:val="1007"/>
        </w:numPr>
        <w:pStyle w:val="Compact"/>
      </w:pPr>
      <w:r>
        <w:t xml:space="preserve">Qualité insiste sur la</w:t>
      </w:r>
      <w:r>
        <w:t xml:space="preserve"> </w:t>
      </w:r>
      <w:r>
        <w:rPr>
          <w:bCs/>
          <w:b/>
        </w:rPr>
        <w:t xml:space="preserve">traçabilité</w:t>
      </w:r>
      <w:r>
        <w:t xml:space="preserve"> </w:t>
      </w:r>
      <w:r>
        <w:t xml:space="preserve">de chaque prédiction (auditabilité)</w:t>
      </w:r>
    </w:p>
    <w:bookmarkEnd w:id="28"/>
    <w:bookmarkEnd w:id="29"/>
    <w:bookmarkStart w:id="30" w:name="décisions-issues-de-lentretien"/>
    <w:p>
      <w:pPr>
        <w:pStyle w:val="Heading2"/>
      </w:pPr>
      <w:r>
        <w:t xml:space="preserve">3. Décisions issues de l’entretien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Cas d’usage retenu pour le prototype</w:t>
      </w:r>
      <w:r>
        <w:t xml:space="preserve"> </w:t>
      </w:r>
      <w:r>
        <w:t xml:space="preserve">: détection d’anomalies + prédiction dégradation sur un type de machine critique (centre d’usinage)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Périmètre pilote</w:t>
      </w:r>
      <w:r>
        <w:t xml:space="preserve"> </w:t>
      </w:r>
      <w:r>
        <w:t xml:space="preserve">: 1 site France, 3 machines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Métriques de succès</w:t>
      </w:r>
      <w:r>
        <w:t xml:space="preserve"> </w:t>
      </w:r>
      <w:r>
        <w:t xml:space="preserve">: rappel ≥ 80% sur pannes réelles, moins de 15% de faux positifs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Livraison prototype</w:t>
      </w:r>
      <w:r>
        <w:t xml:space="preserve"> </w:t>
      </w:r>
      <w:r>
        <w:t xml:space="preserve">: fin de MSPR, données simulées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Prochaine étape post-MSPR</w:t>
      </w:r>
      <w:r>
        <w:t xml:space="preserve"> </w:t>
      </w:r>
      <w:r>
        <w:t xml:space="preserve">: POC sur données réelles anonymisées 1 site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2026-08-19T12:05:09Z</dcterms:created>
  <dcterms:modified xsi:type="dcterms:W3CDTF">2026-08-19T12:05:09Z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