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nduite-du-changement-projet-ia-mecha"/>
    <w:p>
      <w:pPr>
        <w:pStyle w:val="Heading1"/>
      </w:pPr>
      <w:r>
        <w:t xml:space="preserve">Conduite du changement — Projet IA MECHA</w:t>
      </w:r>
    </w:p>
    <w:bookmarkStart w:id="20" w:name="enjeu"/>
    <w:p>
      <w:pPr>
        <w:pStyle w:val="Heading2"/>
      </w:pPr>
      <w:r>
        <w:t xml:space="preserve">1. Enjeu</w:t>
      </w:r>
    </w:p>
    <w:p>
      <w:pPr>
        <w:pStyle w:val="FirstParagraph"/>
      </w:pPr>
      <w:r>
        <w:t xml:space="preserve">Introduire une solution IA dans un environnement industriel où les décisions reposent historiquement sur l’expertise humaine et les indicateurs SCADA. Le risque principal est</w:t>
      </w:r>
      <w:r>
        <w:t xml:space="preserve"> </w:t>
      </w:r>
      <w:r>
        <w:rPr>
          <w:bCs/>
          <w:b/>
        </w:rPr>
        <w:t xml:space="preserve">le rejet par les équipes terrain</w:t>
      </w:r>
      <w:r>
        <w:t xml:space="preserve"> </w:t>
      </w:r>
      <w:r>
        <w:t xml:space="preserve">si l’outil est perçu comme un contrôle ou un remplacement.</w:t>
      </w:r>
    </w:p>
    <w:bookmarkEnd w:id="20"/>
    <w:bookmarkStart w:id="21" w:name="acteurs-concernés"/>
    <w:p>
      <w:pPr>
        <w:pStyle w:val="Heading2"/>
      </w:pPr>
      <w:r>
        <w:t xml:space="preserve">2. Acteurs concernés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 dans le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du changement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Direction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Sponsor, arbitrage budgétaire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— reçoit dashboards de synthèse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Direction industrielle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 — nouveau pilotage par la donnée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 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</w:t>
            </w:r>
            <w:r>
              <w:t xml:space="preserve"> </w:t>
            </w:r>
            <w:r>
              <w:t xml:space="preserve">— nouveaux workflows, alertes prédictives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Techniciens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Utilisateurs terrain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</w:t>
            </w:r>
            <w:r>
              <w:t xml:space="preserve"> </w:t>
            </w:r>
            <w:r>
              <w:t xml:space="preserve">— nouvel outil, nouveaux réflexes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Opérateurs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Impactés indirects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— pas d’usage direct, information nécessaire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Consommateur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 — nouvelle source de traçabilité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Exploitant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 — nouvelle stack à maintenir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— validation en amont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Représentants du personnel (CSE)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de vigilance</w:t>
            </w:r>
          </w:p>
        </w:tc>
      </w:tr>
    </w:tbl>
    <w:bookmarkEnd w:id="21"/>
    <w:bookmarkStart w:id="22" w:name="messages-clés-à-porter"/>
    <w:p>
      <w:pPr>
        <w:pStyle w:val="Heading2"/>
      </w:pPr>
      <w:r>
        <w:t xml:space="preserve">3. Messages clés à porter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L’IA vous fait gagner du temps, elle ne vous remplace pas. Votre expertise reste centrale.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Meilleure priorisation des interventions, réduction des arrêts non planifiés.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Aucune surveillance individuelle. Les données concernent uniquement les machines.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ROI mesurable, alignement Industrie 4.0, avantage compétitif.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Finalité maintenance uniquement, engagement écrit sur non-usage RH. »</w:t>
            </w:r>
          </w:p>
        </w:tc>
      </w:tr>
    </w:tbl>
    <w:bookmarkEnd w:id="22"/>
    <w:bookmarkStart w:id="23" w:name="plan-de-formation"/>
    <w:p>
      <w:pPr>
        <w:pStyle w:val="Heading2"/>
      </w:pPr>
      <w:r>
        <w:t xml:space="preserve">4. Plan de 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Responsables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Atelier présentiel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Interprétation des scores, gestion des alertes, retours terrain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Prise en main dashboard, workflow alerte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du TRS consolidé, indicateurs stratégiques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Postgres, Grafana, procédures d’exploitation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Support</w:t>
      </w:r>
      <w:r>
        <w:t xml:space="preserve"> </w:t>
      </w:r>
      <w:r>
        <w:t xml:space="preserve">: guide utilisateur (1-2 pages), tutoriels vidéo courts (&lt; 5 min), FAQ intranet, référent local par site.</w:t>
      </w:r>
    </w:p>
    <w:bookmarkEnd w:id="23"/>
    <w:bookmarkStart w:id="28" w:name="déploiement-progressif"/>
    <w:p>
      <w:pPr>
        <w:pStyle w:val="Heading2"/>
      </w:pPr>
      <w:r>
        <w:t xml:space="preserve">5. Déploiement progressif</w:t>
      </w:r>
    </w:p>
    <w:bookmarkStart w:id="24" w:name="phase-1-pilote-3-mois"/>
    <w:p>
      <w:pPr>
        <w:pStyle w:val="Heading3"/>
      </w:pPr>
      <w:r>
        <w:t xml:space="preserve">Phase 1 — Pilote (3 mois)</w:t>
      </w:r>
    </w:p>
    <w:p>
      <w:pPr>
        <w:numPr>
          <w:ilvl w:val="0"/>
          <w:numId w:val="1001"/>
        </w:numPr>
        <w:pStyle w:val="Compact"/>
      </w:pPr>
      <w:r>
        <w:t xml:space="preserve">1 site, 1 ligne, 3 machines critiques</w:t>
      </w:r>
    </w:p>
    <w:p>
      <w:pPr>
        <w:numPr>
          <w:ilvl w:val="0"/>
          <w:numId w:val="1001"/>
        </w:numPr>
        <w:pStyle w:val="Compact"/>
      </w:pPr>
      <w:r>
        <w:t xml:space="preserve">Équipe restreinte de 5 techniciens volontaires</w:t>
      </w:r>
    </w:p>
    <w:p>
      <w:pPr>
        <w:numPr>
          <w:ilvl w:val="0"/>
          <w:numId w:val="1001"/>
        </w:numPr>
        <w:pStyle w:val="Compact"/>
      </w:pPr>
      <w:r>
        <w:t xml:space="preserve">Objectif : validation technique + retours utilisateurs</w:t>
      </w:r>
    </w:p>
    <w:p>
      <w:pPr>
        <w:numPr>
          <w:ilvl w:val="0"/>
          <w:numId w:val="1001"/>
        </w:numPr>
        <w:pStyle w:val="Compact"/>
      </w:pPr>
      <w:r>
        <w:t xml:space="preserve">Critères de succès : rappel ≥ 80%, adoption ≥ 70% des alertes traitées</w:t>
      </w:r>
    </w:p>
    <w:bookmarkEnd w:id="24"/>
    <w:bookmarkStart w:id="25" w:name="phase-2-extension-site-3-mois"/>
    <w:p>
      <w:pPr>
        <w:pStyle w:val="Heading3"/>
      </w:pPr>
      <w:r>
        <w:t xml:space="preserve">Phase 2 — Extension site (3 mois)</w:t>
      </w:r>
    </w:p>
    <w:p>
      <w:pPr>
        <w:numPr>
          <w:ilvl w:val="0"/>
          <w:numId w:val="1002"/>
        </w:numPr>
        <w:pStyle w:val="Compact"/>
      </w:pPr>
      <w:r>
        <w:t xml:space="preserve">Extension à toutes les machines du site pilote</w:t>
      </w:r>
    </w:p>
    <w:p>
      <w:pPr>
        <w:numPr>
          <w:ilvl w:val="0"/>
          <w:numId w:val="1002"/>
        </w:numPr>
        <w:pStyle w:val="Compact"/>
      </w:pPr>
      <w:r>
        <w:t xml:space="preserve">Formation de tous les techniciens du site</w:t>
      </w:r>
    </w:p>
    <w:p>
      <w:pPr>
        <w:numPr>
          <w:ilvl w:val="0"/>
          <w:numId w:val="1002"/>
        </w:numPr>
        <w:pStyle w:val="Compact"/>
      </w:pPr>
      <w:r>
        <w:t xml:space="preserve">Objectif : stabilisation opérationnelle</w:t>
      </w:r>
    </w:p>
    <w:bookmarkEnd w:id="25"/>
    <w:bookmarkStart w:id="26" w:name="phase-3-roll-out-national-6-mois"/>
    <w:p>
      <w:pPr>
        <w:pStyle w:val="Heading3"/>
      </w:pPr>
      <w:r>
        <w:t xml:space="preserve">Phase 3 — Roll-out national (6 mois)</w:t>
      </w:r>
    </w:p>
    <w:p>
      <w:pPr>
        <w:numPr>
          <w:ilvl w:val="0"/>
          <w:numId w:val="1003"/>
        </w:numPr>
        <w:pStyle w:val="Compact"/>
      </w:pPr>
      <w:r>
        <w:t xml:space="preserve">Déploiement sur les 2 autres sites France</w:t>
      </w:r>
    </w:p>
    <w:p>
      <w:pPr>
        <w:numPr>
          <w:ilvl w:val="0"/>
          <w:numId w:val="1003"/>
        </w:numPr>
        <w:pStyle w:val="Compact"/>
      </w:pPr>
      <w:r>
        <w:t xml:space="preserve">Adaptation aux spécificités locales</w:t>
      </w:r>
    </w:p>
    <w:p>
      <w:pPr>
        <w:numPr>
          <w:ilvl w:val="0"/>
          <w:numId w:val="1003"/>
        </w:numPr>
        <w:pStyle w:val="Compact"/>
      </w:pPr>
      <w:r>
        <w:t xml:space="preserve">Objectif : uniformisation des pratiques</w:t>
      </w:r>
    </w:p>
    <w:bookmarkEnd w:id="26"/>
    <w:bookmarkStart w:id="27" w:name="phase-4-international-6-mois"/>
    <w:p>
      <w:pPr>
        <w:pStyle w:val="Heading3"/>
      </w:pPr>
      <w:r>
        <w:t xml:space="preserve">Phase 4 — International (6 mois)</w:t>
      </w:r>
    </w:p>
    <w:p>
      <w:pPr>
        <w:numPr>
          <w:ilvl w:val="0"/>
          <w:numId w:val="1004"/>
        </w:numPr>
        <w:pStyle w:val="Compact"/>
      </w:pPr>
      <w:r>
        <w:t xml:space="preserve">Déploiement Espagne (2 sites)</w:t>
      </w:r>
    </w:p>
    <w:p>
      <w:pPr>
        <w:numPr>
          <w:ilvl w:val="0"/>
          <w:numId w:val="1004"/>
        </w:numPr>
        <w:pStyle w:val="Compact"/>
      </w:pPr>
      <w:r>
        <w:t xml:space="preserve">Localisation (langue, référentiels)</w:t>
      </w:r>
    </w:p>
    <w:p>
      <w:pPr>
        <w:numPr>
          <w:ilvl w:val="0"/>
          <w:numId w:val="1004"/>
        </w:numPr>
        <w:pStyle w:val="Compact"/>
      </w:pPr>
      <w:r>
        <w:t xml:space="preserve">Objectif : couverture complète des 5 usines</w:t>
      </w:r>
    </w:p>
    <w:bookmarkEnd w:id="27"/>
    <w:bookmarkEnd w:id="28"/>
    <w:bookmarkStart w:id="29" w:name="points-de-vigilance"/>
    <w:p>
      <w:pPr>
        <w:pStyle w:val="Heading2"/>
      </w:pPr>
      <w:r>
        <w:t xml:space="preserve">6. Points de vigilance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Rejet par les équipes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Impliquer des techniciens volontaires dès la phase pilote comme ambassadeurs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Faux positifs répétés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Boucle de retour terrain systématique, réentraînement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Perception « big brother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CSE en amont, engagement écrit sur non-usage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Dépendance à un référent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croisée, documentation complète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Dérive du modèle non détectée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 + revue trimestrielle des performances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Résistance managériale intermédiaire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visible côté direction industrielle</w:t>
            </w:r>
          </w:p>
        </w:tc>
      </w:tr>
    </w:tbl>
    <w:bookmarkEnd w:id="29"/>
    <w:bookmarkStart w:id="30" w:name="indicateurs-de-suivi-du-changement"/>
    <w:p>
      <w:pPr>
        <w:pStyle w:val="Heading2"/>
      </w:pPr>
      <w:r>
        <w:t xml:space="preserve">7. Indicateurs de suivi du changement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Adoption</w:t>
      </w:r>
      <w:r>
        <w:t xml:space="preserve"> </w:t>
      </w:r>
      <w:r>
        <w:t xml:space="preserve">: % d’alertes traitées avec retour terrain saisi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Satisfaction</w:t>
      </w:r>
      <w:r>
        <w:t xml:space="preserve"> </w:t>
      </w:r>
      <w:r>
        <w:t xml:space="preserve">: enquête trimestrielle utilisateurs (échelle 1-5)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Performance métier</w:t>
      </w:r>
      <w:r>
        <w:t xml:space="preserve"> </w:t>
      </w:r>
      <w:r>
        <w:t xml:space="preserve">: évolution du taux d’arrêts non planifiés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Performance modèle</w:t>
      </w:r>
      <w:r>
        <w:t xml:space="preserve"> </w:t>
      </w:r>
      <w:r>
        <w:t xml:space="preserve">: rappel, précision, dérive (MLflow)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Formation</w:t>
      </w:r>
      <w:r>
        <w:t xml:space="preserve"> </w:t>
      </w:r>
      <w:r>
        <w:t xml:space="preserve">: % d’utilisateurs formés par site</w:t>
      </w:r>
    </w:p>
    <w:bookmarkEnd w:id="30"/>
    <w:bookmarkStart w:id="31" w:name="gouvernance"/>
    <w:p>
      <w:pPr>
        <w:pStyle w:val="Heading2"/>
      </w:pPr>
      <w:r>
        <w:t xml:space="preserve">8. Gouvernance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Comité de pilotage mensuel</w:t>
      </w:r>
      <w:r>
        <w:t xml:space="preserve"> </w:t>
      </w:r>
      <w:r>
        <w:t xml:space="preserve">: direction industrielle, DSI, chef de projet IA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Comité utilisateurs trimestriel</w:t>
      </w:r>
      <w:r>
        <w:t xml:space="preserve"> </w:t>
      </w:r>
      <w:r>
        <w:t xml:space="preserve">: responsables maintenance des sites déployés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Revue technique mensuelle</w:t>
      </w:r>
      <w:r>
        <w:t xml:space="preserve"> </w:t>
      </w:r>
      <w:r>
        <w:t xml:space="preserve">: data scientist + DSI (performance modèle, incidents)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2026-08-19T12:05:09Z</dcterms:created>
  <dcterms:modified xsi:type="dcterms:W3CDTF">2026-08-19T12:05:09Z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