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b2adac7cdd86e8f958028e19b650eaa020ba8c"/>
    <w:p>
      <w:pPr>
        <w:pStyle w:val="Heading1"/>
      </w:pPr>
      <w:r>
        <w:t xml:space="preserve">Validation globale de la solution IA MECHA</w:t>
      </w:r>
    </w:p>
    <w:bookmarkStart w:id="20" w:name="stratégie-de-validation"/>
    <w:p>
      <w:pPr>
        <w:pStyle w:val="Heading2"/>
      </w:pPr>
      <w:r>
        <w:t xml:space="preserve">1. Stratégie de validation</w:t>
      </w:r>
    </w:p>
    <w:p>
      <w:pPr>
        <w:pStyle w:val="FirstParagraph"/>
      </w:pPr>
      <w:r>
        <w:t xml:space="preserve">La validation suit 3 niveaux, du technique au fonctionnel.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 de succès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code fonctionne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unitaires (pytest) +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des tests passent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modèles prédisent correctement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Métriques sur jeu de test séparé par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  <w:r>
              <w:t xml:space="preserve"> </w:t>
            </w:r>
            <w:r>
              <w:rPr>
                <w:rStyle w:val="VerbatimChar"/>
              </w:rPr>
              <w:t xml:space="preserve">a_risque</w:t>
            </w:r>
            <w:r>
              <w:t xml:space="preserve"> </w:t>
            </w:r>
            <w:r>
              <w:t xml:space="preserve">≥ 70%, MAE ≤ 25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chaîne bout en bout produit des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Scénario de test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 générée dans Grafana pour une machine</w:t>
            </w:r>
            <w:r>
              <w:t xml:space="preserve"> </w:t>
            </w:r>
            <w:r>
              <w:rPr>
                <w:rStyle w:val="VerbatimChar"/>
              </w:rPr>
              <w:t xml:space="preserve">a_risque</w:t>
            </w:r>
          </w:p>
        </w:tc>
      </w:tr>
    </w:tbl>
    <w:bookmarkEnd w:id="20"/>
    <w:bookmarkStart w:id="23" w:name="validation-technique"/>
    <w:p>
      <w:pPr>
        <w:pStyle w:val="Heading2"/>
      </w:pPr>
      <w:r>
        <w:t xml:space="preserve">2. Validation technique</w:t>
      </w:r>
    </w:p>
    <w:bookmarkStart w:id="21" w:name="tests-unitaires"/>
    <w:p>
      <w:pPr>
        <w:pStyle w:val="Heading3"/>
      </w:pPr>
      <w:r>
        <w:t xml:space="preserve">2.1 Tests unitaires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Nettoyage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tests/test_cleaning.py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NaN après cleaning, types corrects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tests/test_features.py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 ≥ 0, risk_level sans valeur manquante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retournent 200, insertion fonctionne</w:t>
            </w:r>
          </w:p>
        </w:tc>
      </w:tr>
    </w:tbl>
    <w:bookmarkEnd w:id="21"/>
    <w:bookmarkStart w:id="22" w:name="cicd"/>
    <w:p>
      <w:pPr>
        <w:pStyle w:val="Heading3"/>
      </w:pPr>
      <w:r>
        <w:t xml:space="preserve">2.2 CI/CD</w:t>
      </w:r>
    </w:p>
    <w:p>
      <w:pPr>
        <w:pStyle w:val="FirstParagraph"/>
      </w:pPr>
      <w:r>
        <w:t xml:space="preserve">GitHub Actions exécute à chaque push/PR : lint (ruff) → tests (pytest) → build image Docker → validation docker-compose.</w:t>
      </w:r>
    </w:p>
    <w:bookmarkEnd w:id="22"/>
    <w:bookmarkEnd w:id="23"/>
    <w:bookmarkStart w:id="27" w:name="validation-ml"/>
    <w:p>
      <w:pPr>
        <w:pStyle w:val="Heading2"/>
      </w:pPr>
      <w:r>
        <w:t xml:space="preserve">3. Validation ML</w:t>
      </w:r>
    </w:p>
    <w:bookmarkStart w:id="24" w:name="protocole"/>
    <w:p>
      <w:pPr>
        <w:pStyle w:val="Heading3"/>
      </w:pPr>
      <w:r>
        <w:t xml:space="preserve">3.1 Protocole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Split par machine</w:t>
      </w:r>
      <w:r>
        <w:t xml:space="preserve"> </w:t>
      </w:r>
      <w:r>
        <w:t xml:space="preserve">(pas par ligne) pour éviter la fuite de données</w:t>
      </w:r>
    </w:p>
    <w:p>
      <w:pPr>
        <w:numPr>
          <w:ilvl w:val="0"/>
          <w:numId w:val="1001"/>
        </w:numPr>
        <w:pStyle w:val="Compact"/>
      </w:pPr>
      <w:r>
        <w:t xml:space="preserve">80% train / 20% test</w:t>
      </w:r>
    </w:p>
    <w:p>
      <w:pPr>
        <w:numPr>
          <w:ilvl w:val="0"/>
          <w:numId w:val="1001"/>
        </w:numPr>
        <w:pStyle w:val="Compact"/>
      </w:pPr>
      <w:r>
        <w:t xml:space="preserve">6 modèles comparés en classification, 5 en régression (voir</w:t>
      </w:r>
      <w:r>
        <w:t xml:space="preserve"> </w:t>
      </w:r>
      <w:r>
        <w:rPr>
          <w:rStyle w:val="VerbatimChar"/>
        </w:rPr>
        <w:t xml:space="preserve">07_justification_modele.md</w:t>
      </w:r>
      <w:r>
        <w:t xml:space="preserve">)</w:t>
      </w:r>
    </w:p>
    <w:bookmarkEnd w:id="24"/>
    <w:bookmarkStart w:id="25" w:name="résultats-obtenus"/>
    <w:p>
      <w:pPr>
        <w:pStyle w:val="Heading3"/>
      </w:pPr>
      <w:r>
        <w:t xml:space="preserve">3.2 Résultats obtenus</w:t>
      </w:r>
    </w:p>
    <w:p>
      <w:pPr>
        <w:pStyle w:val="FirstParagraph"/>
      </w:pPr>
      <w:r>
        <w:rPr>
          <w:bCs/>
          <w:b/>
        </w:rPr>
        <w:t xml:space="preserve">Classification (Logistic Regression retenue)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a_surveiller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</w:tbl>
    <w:p>
      <w:pPr>
        <w:pStyle w:val="BodyText"/>
      </w:pPr>
      <w:r>
        <w:rPr>
          <w:bCs/>
          <w:b/>
        </w:rPr>
        <w:t xml:space="preserve">Régression RUL (Random Forest retenu)</w:t>
      </w:r>
      <w:r>
        <w:t xml:space="preserve"> </w:t>
      </w:r>
      <w:r>
        <w:t xml:space="preserve">: MAE = 18.9 cycles, R² = 0.839</w:t>
      </w:r>
    </w:p>
    <w:bookmarkEnd w:id="25"/>
    <w:bookmarkStart w:id="26" w:name="limites-identifiées"/>
    <w:p>
      <w:pPr>
        <w:pStyle w:val="Heading3"/>
      </w:pPr>
      <w:r>
        <w:t xml:space="preserve">3.3 Limites identifiées</w:t>
      </w:r>
    </w:p>
    <w:p>
      <w:pPr>
        <w:numPr>
          <w:ilvl w:val="0"/>
          <w:numId w:val="1002"/>
        </w:numPr>
        <w:pStyle w:val="Compact"/>
      </w:pPr>
      <w:r>
        <w:t xml:space="preserve">Recall</w:t>
      </w:r>
      <w:r>
        <w:t xml:space="preserve"> </w:t>
      </w:r>
      <w:r>
        <w:rPr>
          <w:rStyle w:val="VerbatimChar"/>
        </w:rPr>
        <w:t xml:space="preserve">a_risque</w:t>
      </w:r>
      <w:r>
        <w:t xml:space="preserve"> </w:t>
      </w:r>
      <w:r>
        <w:t xml:space="preserve">= 0.76 → 24% de pannes non détectées (à améliorer par optimisation hyperparamètres)</w:t>
      </w:r>
    </w:p>
    <w:p>
      <w:pPr>
        <w:numPr>
          <w:ilvl w:val="0"/>
          <w:numId w:val="1002"/>
        </w:numPr>
        <w:pStyle w:val="Compact"/>
      </w:pPr>
      <w:r>
        <w:t xml:space="preserve">Données synthétiques/CMAPSS → résultats à revalider sur données réelles</w:t>
      </w:r>
    </w:p>
    <w:p>
      <w:pPr>
        <w:numPr>
          <w:ilvl w:val="0"/>
          <w:numId w:val="1002"/>
        </w:numPr>
        <w:pStyle w:val="Compact"/>
      </w:pPr>
      <w:r>
        <w:t xml:space="preserve">Un seul type de machine simulé → généralisation non garantie inter-types</w:t>
      </w:r>
    </w:p>
    <w:bookmarkEnd w:id="26"/>
    <w:bookmarkEnd w:id="27"/>
    <w:bookmarkStart w:id="30" w:name="X1cbaeb9fb02dedadc97a88ce85b3a6635135f9a"/>
    <w:p>
      <w:pPr>
        <w:pStyle w:val="Heading2"/>
      </w:pPr>
      <w:r>
        <w:t xml:space="preserve">4. Validation fonctionnelle (scénario bout en bout)</w:t>
      </w:r>
    </w:p>
    <w:bookmarkStart w:id="28" w:name="scénario-de-test"/>
    <w:p>
      <w:pPr>
        <w:pStyle w:val="Heading3"/>
      </w:pPr>
      <w:r>
        <w:t xml:space="preserve">Scénario de test</w:t>
      </w:r>
    </w:p>
    <w:p>
      <w:pPr>
        <w:numPr>
          <w:ilvl w:val="0"/>
          <w:numId w:val="1003"/>
        </w:numPr>
        <w:pStyle w:val="Compact"/>
      </w:pPr>
      <w:r>
        <w:t xml:space="preserve">Le notebook génère</w:t>
      </w:r>
      <w:r>
        <w:t xml:space="preserve"> </w:t>
      </w:r>
      <w:r>
        <w:rPr>
          <w:rStyle w:val="VerbatimChar"/>
        </w:rPr>
        <w:t xml:space="preserve">predictions.csv</w:t>
      </w:r>
    </w:p>
    <w:p>
      <w:pPr>
        <w:numPr>
          <w:ilvl w:val="0"/>
          <w:numId w:val="1003"/>
        </w:numPr>
        <w:pStyle w:val="Compact"/>
      </w:pPr>
      <w:r>
        <w:t xml:space="preserve">Un script injecte les prédictions dans PostgreSQL via l’API (</w:t>
      </w:r>
      <w:r>
        <w:rPr>
          <w:rStyle w:val="VerbatimChar"/>
        </w:rPr>
        <w:t xml:space="preserve">POST /predictions/site_fr1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Les prédictions</w:t>
      </w:r>
      <w:r>
        <w:t xml:space="preserve"> </w:t>
      </w:r>
      <w:r>
        <w:rPr>
          <w:rStyle w:val="VerbatimChar"/>
        </w:rPr>
        <w:t xml:space="preserve">a_risque</w:t>
      </w:r>
      <w:r>
        <w:t xml:space="preserve"> </w:t>
      </w:r>
      <w:r>
        <w:t xml:space="preserve">génèrent automatiquement une alerte dans la table</w:t>
      </w:r>
      <w:r>
        <w:t xml:space="preserve"> </w:t>
      </w:r>
      <w:r>
        <w:rPr>
          <w:rStyle w:val="VerbatimChar"/>
        </w:rPr>
        <w:t xml:space="preserve">alertes</w:t>
      </w:r>
    </w:p>
    <w:p>
      <w:pPr>
        <w:numPr>
          <w:ilvl w:val="0"/>
          <w:numId w:val="1003"/>
        </w:numPr>
        <w:pStyle w:val="Compact"/>
      </w:pPr>
      <w:r>
        <w:t xml:space="preserve">Grafana affiche l’alerte en temps réel via la datasource PostgreSQL</w:t>
      </w:r>
    </w:p>
    <w:p>
      <w:pPr>
        <w:numPr>
          <w:ilvl w:val="0"/>
          <w:numId w:val="1003"/>
        </w:numPr>
        <w:pStyle w:val="Compact"/>
      </w:pPr>
      <w:r>
        <w:t xml:space="preserve">Le responsable maintenance voit la machine en rouge sur le dashboard</w:t>
      </w:r>
    </w:p>
    <w:bookmarkEnd w:id="28"/>
    <w:bookmarkStart w:id="29" w:name="critères-dacceptation"/>
    <w:p>
      <w:pPr>
        <w:pStyle w:val="Heading3"/>
      </w:pPr>
      <w:r>
        <w:t xml:space="preserve">Critères d’acceptation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répond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 "ok"}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Insertion fonctionne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/predictions/site_fr1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auto-générée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 dans</w:t>
            </w:r>
            <w:r>
              <w:t xml:space="preserve"> </w:t>
            </w:r>
            <w:r>
              <w:rPr>
                <w:rStyle w:val="VerbatimChar"/>
              </w:rPr>
              <w:t xml:space="preserve">site_fr1.alertes</w:t>
            </w:r>
            <w:r>
              <w:t xml:space="preserve"> </w:t>
            </w:r>
            <w:r>
              <w:t xml:space="preserve">pour</w:t>
            </w:r>
            <w:r>
              <w:t xml:space="preserve"> </w:t>
            </w:r>
            <w:r>
              <w:rPr>
                <w:rStyle w:val="VerbatimChar"/>
              </w:rPr>
              <w:t xml:space="preserve">risk_level = a_risque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affiche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de risque visible dans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9"/>
    <w:bookmarkEnd w:id="30"/>
    <w:bookmarkStart w:id="34" w:name="projection-industrielle"/>
    <w:p>
      <w:pPr>
        <w:pStyle w:val="Heading2"/>
      </w:pPr>
      <w:r>
        <w:t xml:space="preserve">5. Projection industrielle</w:t>
      </w:r>
    </w:p>
    <w:bookmarkStart w:id="31" w:name="conditions-de-déploiement"/>
    <w:p>
      <w:pPr>
        <w:pStyle w:val="Heading3"/>
      </w:pPr>
      <w:r>
        <w:t xml:space="preserve">5.1 Conditions de déploiement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Prérequis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VPN inter-sites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Existant chez MECHA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Configurer accès au serveur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dédié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provisionner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vCPU, 16 Go RAM, 200 Go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Capteurs IoT opérationnels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sites FR complets, 2 sites ES partiels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Compléter équipement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GMAO intégrée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 GMAO → PostgreSQL</w:t>
            </w:r>
          </w:p>
        </w:tc>
      </w:tr>
    </w:tbl>
    <w:bookmarkEnd w:id="31"/>
    <w:bookmarkStart w:id="32" w:name="plan-de-déploiement"/>
    <w:p>
      <w:pPr>
        <w:pStyle w:val="Heading3"/>
      </w:pPr>
      <w:r>
        <w:t xml:space="preserve">5.2 Plan de déploiement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site FR, 3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la chaîne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machines du site 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Roll-out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sites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Roll-out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sites Espagne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complète</w:t>
            </w:r>
          </w:p>
        </w:tc>
      </w:tr>
    </w:tbl>
    <w:bookmarkEnd w:id="32"/>
    <w:bookmarkStart w:id="33" w:name="points-de-vigilance"/>
    <w:p>
      <w:pPr>
        <w:pStyle w:val="Heading3"/>
      </w:pPr>
      <w:r>
        <w:t xml:space="preserve">5.3 Points de vigilance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Dérive du modèle</w:t>
      </w:r>
      <w:r>
        <w:t xml:space="preserve"> </w:t>
      </w:r>
      <w:r>
        <w:t xml:space="preserve">: suivi MLflow, réentraînement trimestriel minimum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Qualité capteurs</w:t>
      </w:r>
      <w:r>
        <w:t xml:space="preserve"> </w:t>
      </w:r>
      <w:r>
        <w:t xml:space="preserve">: taux de disponibilité capteur à monitorer (dashboard dédié)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Adoption utilisateurs</w:t>
      </w:r>
      <w:r>
        <w:t xml:space="preserve"> </w:t>
      </w:r>
      <w:r>
        <w:t xml:space="preserve">: indicateurs de suivi (% alertes traitées, satisfaction)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Sécurité OT/IT</w:t>
      </w:r>
      <w:r>
        <w:t xml:space="preserve"> </w:t>
      </w:r>
      <w:r>
        <w:t xml:space="preserve">: le broker MQTT est en zone OT, la plateforme IA en zone IT — passage via firewall dédié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Continuité de production</w:t>
      </w:r>
      <w:r>
        <w:t xml:space="preserve"> </w:t>
      </w:r>
      <w:r>
        <w:t xml:space="preserve">: déploiement en heures creuses, pas d’impact sur SCADA/MES existant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2026-08-22T12:16:28Z</dcterms:created>
  <dcterms:modified xsi:type="dcterms:W3CDTF">2026-08-22T12:16:28Z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