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5C"/>
          <w:sz w:val="52"/>
          <w:szCs w:val="52"/>
        </w:rPr>
        <w:t xml:space="preserve">Knowledge Graph PoC</w:t>
      </w:r>
    </w:p>
    <w:p>
      <w:pPr>
        <w:spacing w:after="80"/>
        <w:jc w:val="center"/>
      </w:pPr>
      <w:r>
        <w:rPr>
          <w:rFonts w:ascii="Arial" w:cs="Arial" w:eastAsia="Arial" w:hAnsi="Arial"/>
          <w:color w:val="2E75B6"/>
          <w:sz w:val="36"/>
          <w:szCs w:val="36"/>
        </w:rPr>
        <w:t xml:space="preserve">PPTX Metadata Extraction Pipeline</w:t>
      </w:r>
    </w:p>
    <w:p>
      <w:pPr>
        <w:spacing w:after="400"/>
        <w:jc w:val="center"/>
      </w:pPr>
      <w:r>
        <w:rPr>
          <w:rFonts w:ascii="Arial" w:cs="Arial" w:eastAsia="Arial" w:hAnsi="Arial"/>
          <w:color w:val="2E75B6"/>
          <w:sz w:val="36"/>
          <w:szCs w:val="36"/>
        </w:rPr>
        <w:t xml:space="preserve">Neo4j + GraphRAG Implementation</w:t>
      </w:r>
    </w:p>
    <w:p>
      <w:pPr>
        <w:pBdr>
          <w:top w:val="single" w:color="2E75B6" w:sz="2" w:space="12"/>
        </w:pBdr>
        <w:spacing w:after="80" w:before="200"/>
        <w:jc w:val="center"/>
      </w:pPr>
      <w:r>
        <w:rPr>
          <w:color w:val="666666"/>
          <w:sz w:val="24"/>
          <w:szCs w:val="24"/>
        </w:rPr>
        <w:t xml:space="preserve">Oliver Wyman Knowledge Moat — Year 1 Foundation</w:t>
      </w:r>
    </w:p>
    <w:p>
      <w:pPr>
        <w:spacing w:after="80"/>
        <w:jc w:val="center"/>
      </w:pPr>
      <w:r>
        <w:rPr>
          <w:color w:val="888888"/>
          <w:sz w:val="22"/>
          <w:szCs w:val="22"/>
        </w:rPr>
        <w:t xml:space="preserve">PoC Implementation Guide</w:t>
      </w:r>
    </w:p>
    <w:p>
      <w:pPr>
        <w:jc w:val="center"/>
      </w:pPr>
      <w:r>
        <w:rPr>
          <w:color w:val="888888"/>
          <w:sz w:val="22"/>
          <w:szCs w:val="22"/>
        </w:rPr>
        <w:t xml:space="preserve">February 2026 — DRAFT</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Overview</w:t>
      </w:r>
    </w:p>
    <w:p>
      <w:pPr>
        <w:spacing w:after="160"/>
      </w:pPr>
      <w:r>
        <w:t xml:space="preserve">This document outlines the Proof of Concept for building a Knowledge Graph from Oliver Wyman’s PowerPoint deliverable archive. The PoC maps directly to Year 1 of the Knowledge Moat strategy—specifically Section 1.2 (Artifact Structuring Initiative) and the Knowledge Graph Construction workstream. The goal is to demonstrate that we can extract structured metadata from PPTX files, load it into a Neo4j graph database, and query it using GraphRAG to surface insights that the current SharePoint-based knowledge repository cannot provide.</w:t>
      </w:r>
    </w:p>
    <w:p>
      <w:pPr>
        <w:spacing w:after="160"/>
      </w:pPr>
      <w:r>
        <w:rPr>
          <w:b/>
          <w:bCs/>
        </w:rPr>
        <w:t xml:space="preserve">Target outcome: </w:t>
      </w:r>
      <w:r>
        <w:t xml:space="preserve">A working pipeline that takes 500–1,000 historical PPTX deliverables, extracts rich metadata (authors, industries, methodologies, clients, dates, frameworks referenced), builds a connected knowledge graph, and enables natural-language queries like “Show me all retail banking transformation projects that used Erlang-C capacity models between 2021–2024 and their team leads.”</w:t>
      </w:r>
    </w:p>
    <w:p>
      <w:pPr>
        <w:pBdr>
          <w:left w:val="single" w:color="2E75B6" w:sz="12" w:space="8"/>
        </w:pBdr>
        <w:shd w:fill="E8F0F8" w:val="clear"/>
        <w:spacing w:after="60" w:before="200"/>
        <w:ind w:left="240"/>
      </w:pPr>
      <w:r>
        <w:rPr>
          <w:b/>
          <w:bCs/>
          <w:color w:val="1B3A5C"/>
        </w:rPr>
        <w:t xml:space="preserve">Alignment with Knowledge Moat Strategy</w:t>
      </w:r>
    </w:p>
    <w:p>
      <w:pPr>
        <w:pBdr>
          <w:left w:val="single" w:color="2E75B6" w:sz="12" w:space="8"/>
        </w:pBdr>
        <w:shd w:fill="E8F0F8" w:val="clear"/>
        <w:spacing w:after="200"/>
        <w:ind w:left="240"/>
      </w:pPr>
      <w:r>
        <w:rPr>
          <w:i/>
          <w:iCs/>
          <w:sz w:val="20"/>
          <w:szCs w:val="20"/>
        </w:rPr>
        <w:t xml:space="preserve">This PoC validates the technical feasibility of the Artifact Structuring Initiative before committing to the full $35–45M Year 1 investment. Success here de-risks the Knowledge Graph Construction workstream and provides a tangible demo for partner buy-in on incentive restructuring.</w:t>
      </w:r>
    </w:p>
    <w:p>
      <w:pPr>
        <w:pStyle w:val="Heading1"/>
        <w:spacing w:after="200" w:before="360"/>
      </w:pPr>
      <w:r>
        <w:t xml:space="preserve">2. Architecture Overview</w:t>
      </w:r>
    </w:p>
    <w:p>
      <w:pPr>
        <w:spacing w:after="160"/>
      </w:pPr>
      <w:r>
        <w:t xml:space="preserve">The pipeline follows four stages: Ingestion, Extraction, Graph Loading, and Querying. Each stage is designed to be modular so components can be swapped independently as the system scales.</w:t>
      </w:r>
    </w:p>
    <w:p>
      <w:pPr>
        <w:pStyle w:val="Heading2"/>
        <w:spacing w:after="160" w:before="280"/>
      </w:pPr>
      <w:r>
        <w:t xml:space="preserve">2.1 End-to-End Pipeline</w:t>
      </w:r>
    </w:p>
    <w:p>
      <w:pPr>
        <w:spacing w:after="160"/>
      </w:pPr>
      <w:r>
        <w:t xml:space="preserve">The data flows through the following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00"/>
        <w:gridCol w:w="28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python-pptx + watchdog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PPTX files queued for processing</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Extraction</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Claude API (Sonnet) + python-pptx + spaCy NER</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Structured JSON metadata per 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Loading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Python driver + Cypher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knowledge graph</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Query Layer</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LangChain GraphRAG + Neo4j vector index</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Natural language answers with citations</w:t>
            </w:r>
          </w:p>
        </w:tc>
      </w:tr>
    </w:tbl>
    <w:p>
      <w:pPr>
        <w:spacing w:after="200"/>
      </w:pPr>
    </w:p>
    <w:p>
      <w:pPr>
        <w:pStyle w:val="Heading2"/>
        <w:spacing w:after="160" w:before="280"/>
      </w:pPr>
      <w:r>
        <w:t xml:space="preserve">2.2 Graph Schema Design</w:t>
      </w:r>
    </w:p>
    <w:p>
      <w:pPr>
        <w:spacing w:after="160"/>
      </w:pPr>
      <w:r>
        <w:t xml:space="preserve">The Neo4j schema models the consulting knowledge domain with the following core node types and relationships. This schema is deliberately opinionated—it captures the entities that matter for the Knowledge Moat strategy, not every possible metadata field.</w:t>
      </w:r>
    </w:p>
    <w:p>
      <w:pPr>
        <w:pStyle w:val="Heading3"/>
        <w:spacing w:after="120" w:before="200"/>
      </w:pPr>
      <w:r>
        <w:t xml:space="preserve">Core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Deliverable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title, filepath, created_date, modified_date, slide_count, file_hash, freshness_score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PPTX artifact from the repository</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Person</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name, email, role, office, practice_area, tenure_years</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Author, contributor, or subject matter expert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anonymized_name, industry, sub_industry, geography, size_tier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entity (Tier 3+ anonymized by default)</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Engagement</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id, year, quarter, duration_weeks, type, outcome_tag</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Parent project grouping multiple 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Methodology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category, description, maturity_level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 framework or analytical approach used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name, sector, sub_sector</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Industry classification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category, embedding_vector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matter tag extracted by NLP</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Slide</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index, title, layout_type, has_chart, has_table, text_summary, embedding_vector</w:t>
            </w:r>
          </w:p>
        </w:tc>
        <w:tc>
          <w:tcPr>
            <w:tcW w:type="dxa" w:w="3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Individual slide with content fingerprint</w:t>
            </w:r>
          </w:p>
        </w:tc>
      </w:tr>
    </w:tbl>
    <w:p>
      <w:pPr>
        <w:spacing w:after="120"/>
      </w:pPr>
    </w:p>
    <w:p>
      <w:pPr>
        <w:pStyle w:val="Heading3"/>
        <w:spacing w:after="120" w:before="200"/>
      </w:pPr>
      <w:r>
        <w:t xml:space="preserve">Core Relationships</w:t>
      </w:r>
    </w:p>
    <w:p>
      <w:pPr>
        <w:shd w:fill="F4F4F4" w:val="clear"/>
        <w:spacing w:after="40"/>
        <w:ind w:left="360"/>
      </w:pPr>
      <w:r>
        <w:rPr>
          <w:rFonts w:ascii="Courier New" w:cs="Courier New" w:eastAsia="Courier New" w:hAnsi="Courier New"/>
          <w:color w:val="2D2D2D"/>
          <w:sz w:val="18"/>
          <w:szCs w:val="18"/>
        </w:rPr>
        <w:t xml:space="preserve">(Deliverable)-[:AUTHORED_BY {role: 'lead'|'contributor'}]-&gt;(Person)</w:t>
      </w:r>
    </w:p>
    <w:p>
      <w:pPr>
        <w:shd w:fill="F4F4F4" w:val="clear"/>
        <w:spacing w:after="40"/>
        <w:ind w:left="360"/>
      </w:pPr>
      <w:r>
        <w:rPr>
          <w:rFonts w:ascii="Courier New" w:cs="Courier New" w:eastAsia="Courier New" w:hAnsi="Courier New"/>
          <w:color w:val="2D2D2D"/>
          <w:sz w:val="18"/>
          <w:szCs w:val="18"/>
        </w:rPr>
        <w:t xml:space="preserve">(Deliverable)-[:BELONGS_TO]-&gt;(Engagement)</w:t>
      </w:r>
    </w:p>
    <w:p>
      <w:pPr>
        <w:shd w:fill="F4F4F4" w:val="clear"/>
        <w:spacing w:after="40"/>
        <w:ind w:left="360"/>
      </w:pPr>
      <w:r>
        <w:rPr>
          <w:rFonts w:ascii="Courier New" w:cs="Courier New" w:eastAsia="Courier New" w:hAnsi="Courier New"/>
          <w:color w:val="2D2D2D"/>
          <w:sz w:val="18"/>
          <w:szCs w:val="18"/>
        </w:rPr>
        <w:t xml:space="preserve">(Deliverable)-[:USES_METHODOLOGY]-&gt;(Methodology)</w:t>
      </w:r>
    </w:p>
    <w:p>
      <w:pPr>
        <w:shd w:fill="F4F4F4" w:val="clear"/>
        <w:spacing w:after="40"/>
        <w:ind w:left="360"/>
      </w:pPr>
      <w:r>
        <w:rPr>
          <w:rFonts w:ascii="Courier New" w:cs="Courier New" w:eastAsia="Courier New" w:hAnsi="Courier New"/>
          <w:color w:val="2D2D2D"/>
          <w:sz w:val="18"/>
          <w:szCs w:val="18"/>
        </w:rPr>
        <w:t xml:space="preserve">(Deliverable)-[:COVERS_TOPIC]-&gt;(Topic)</w:t>
      </w:r>
    </w:p>
    <w:p>
      <w:pPr>
        <w:shd w:fill="F4F4F4" w:val="clear"/>
        <w:spacing w:after="40"/>
        <w:ind w:left="360"/>
      </w:pPr>
      <w:r>
        <w:rPr>
          <w:rFonts w:ascii="Courier New" w:cs="Courier New" w:eastAsia="Courier New" w:hAnsi="Courier New"/>
          <w:color w:val="2D2D2D"/>
          <w:sz w:val="18"/>
          <w:szCs w:val="18"/>
        </w:rPr>
        <w:t xml:space="preserve">(Deliverable)-[:TARGETS_INDUSTRY]-&gt;(Industry)</w:t>
      </w:r>
    </w:p>
    <w:p>
      <w:pPr>
        <w:shd w:fill="F4F4F4" w:val="clear"/>
        <w:spacing w:after="40"/>
        <w:ind w:left="360"/>
      </w:pPr>
      <w:r>
        <w:rPr>
          <w:rFonts w:ascii="Courier New" w:cs="Courier New" w:eastAsia="Courier New" w:hAnsi="Courier New"/>
          <w:color w:val="2D2D2D"/>
          <w:sz w:val="18"/>
          <w:szCs w:val="18"/>
        </w:rPr>
        <w:t xml:space="preserve">(Deliverable)-[:CONTAINS_SLIDE {order: int}]-&gt;(Slide)</w:t>
      </w:r>
    </w:p>
    <w:p>
      <w:pPr>
        <w:shd w:fill="F4F4F4" w:val="clear"/>
        <w:spacing w:after="40"/>
        <w:ind w:left="360"/>
      </w:pPr>
      <w:r>
        <w:rPr>
          <w:rFonts w:ascii="Courier New" w:cs="Courier New" w:eastAsia="Courier New" w:hAnsi="Courier New"/>
          <w:color w:val="2D2D2D"/>
          <w:sz w:val="18"/>
          <w:szCs w:val="18"/>
        </w:rPr>
        <w:t xml:space="preserve">(Engagement)-[:FOR_CLIENT]-&gt;(Client)</w:t>
      </w:r>
    </w:p>
    <w:p>
      <w:pPr>
        <w:shd w:fill="F4F4F4" w:val="clear"/>
        <w:spacing w:after="40"/>
        <w:ind w:left="360"/>
      </w:pPr>
      <w:r>
        <w:rPr>
          <w:rFonts w:ascii="Courier New" w:cs="Courier New" w:eastAsia="Courier New" w:hAnsi="Courier New"/>
          <w:color w:val="2D2D2D"/>
          <w:sz w:val="18"/>
          <w:szCs w:val="18"/>
        </w:rPr>
        <w:t xml:space="preserve">(Client)-[:IN_INDUSTRY]-&gt;(Industry)</w:t>
      </w:r>
    </w:p>
    <w:p>
      <w:pPr>
        <w:shd w:fill="F4F4F4" w:val="clear"/>
        <w:spacing w:after="40"/>
        <w:ind w:left="360"/>
      </w:pPr>
      <w:r>
        <w:rPr>
          <w:rFonts w:ascii="Courier New" w:cs="Courier New" w:eastAsia="Courier New" w:hAnsi="Courier New"/>
          <w:color w:val="2D2D2D"/>
          <w:sz w:val="18"/>
          <w:szCs w:val="18"/>
        </w:rPr>
        <w:t xml:space="preserve">(Person)-[:EXPERT_IN]-&gt;(Methodology)</w:t>
      </w:r>
    </w:p>
    <w:p>
      <w:pPr>
        <w:shd w:fill="F4F4F4" w:val="clear"/>
        <w:spacing w:after="40"/>
        <w:ind w:left="360"/>
      </w:pPr>
      <w:r>
        <w:rPr>
          <w:rFonts w:ascii="Courier New" w:cs="Courier New" w:eastAsia="Courier New" w:hAnsi="Courier New"/>
          <w:color w:val="2D2D2D"/>
          <w:sz w:val="18"/>
          <w:szCs w:val="18"/>
        </w:rPr>
        <w:t xml:space="preserve">(Person)-[:WORKS_IN]-&gt;(Industry)</w:t>
      </w:r>
    </w:p>
    <w:p>
      <w:pPr>
        <w:shd w:fill="F4F4F4" w:val="clear"/>
        <w:spacing w:after="40"/>
        <w:ind w:left="360"/>
      </w:pPr>
      <w:r>
        <w:rPr>
          <w:rFonts w:ascii="Courier New" w:cs="Courier New" w:eastAsia="Courier New" w:hAnsi="Courier New"/>
          <w:color w:val="2D2D2D"/>
          <w:sz w:val="18"/>
          <w:szCs w:val="18"/>
        </w:rPr>
        <w:t xml:space="preserve">(Slide)-[:REFERENCES]-&gt;(Methodology)</w:t>
      </w:r>
    </w:p>
    <w:p>
      <w:pPr>
        <w:shd w:fill="F4F4F4" w:val="clear"/>
        <w:spacing w:after="40"/>
        <w:ind w:left="360"/>
      </w:pPr>
      <w:r>
        <w:rPr>
          <w:rFonts w:ascii="Courier New" w:cs="Courier New" w:eastAsia="Courier New" w:hAnsi="Courier New"/>
          <w:color w:val="2D2D2D"/>
          <w:sz w:val="18"/>
          <w:szCs w:val="18"/>
        </w:rPr>
        <w:t xml:space="preserve">(Slide)-[:SIMILAR_TO {cosine_sim: float}]-&gt;(Slide)</w:t>
      </w:r>
    </w:p>
    <w:p>
      <w:pPr>
        <w:spacing w:after="200"/>
      </w:pPr>
    </w:p>
    <w:p>
      <w:pPr>
        <w:pStyle w:val="Heading1"/>
        <w:spacing w:after="200" w:before="360"/>
      </w:pPr>
      <w:r>
        <w:t xml:space="preserve">3. PPTX Metadata Extraction Pipeline</w:t>
      </w:r>
    </w:p>
    <w:p>
      <w:pPr>
        <w:pStyle w:val="Heading2"/>
        <w:spacing w:after="160" w:before="280"/>
      </w:pPr>
      <w:r>
        <w:t xml:space="preserve">3.1 Layer 1: Deterministic Extraction (python-pptx)</w:t>
      </w:r>
    </w:p>
    <w:p>
      <w:pPr>
        <w:spacing w:after="160"/>
      </w:pPr>
      <w:r>
        <w:t xml:space="preserve">The first extraction layer uses python-pptx to pull all metadata that can be extracted programmatically without AI. This is fast, reliable, and free.</w:t>
      </w:r>
    </w:p>
    <w:p>
      <w:pPr>
        <w:pStyle w:val="ListParagraph"/>
        <w:numPr>
          <w:ilvl w:val="0"/>
          <w:numId w:val="2"/>
        </w:numPr>
        <w:spacing w:after="80"/>
      </w:pPr>
      <w:r>
        <w:rPr>
          <w:b/>
          <w:bCs/>
        </w:rPr>
        <w:t xml:space="preserve">Core properties: </w:t>
      </w:r>
      <w:r>
        <w:t xml:space="preserve">Read prs.core_properties for title, author, last_modified_by, created, modified, revision, category, keywords, subject, comments.</w:t>
      </w:r>
    </w:p>
    <w:p>
      <w:pPr>
        <w:pStyle w:val="ListParagraph"/>
        <w:numPr>
          <w:ilvl w:val="0"/>
          <w:numId w:val="2"/>
        </w:numPr>
        <w:spacing w:after="80"/>
      </w:pPr>
      <w:r>
        <w:rPr>
          <w:b/>
          <w:bCs/>
        </w:rPr>
        <w:t xml:space="preserve">Slide structure: </w:t>
      </w:r>
      <w:r>
        <w:t xml:space="preserve">Iterate prs.slides to extract slide count, layout names, placeholder types, text from all shapes (including grouped shapes and tables), notes, and chart/table presence.</w:t>
      </w:r>
    </w:p>
    <w:p>
      <w:pPr>
        <w:pStyle w:val="ListParagraph"/>
        <w:numPr>
          <w:ilvl w:val="0"/>
          <w:numId w:val="2"/>
        </w:numPr>
        <w:spacing w:after="80"/>
      </w:pPr>
      <w:r>
        <w:rPr>
          <w:b/>
          <w:bCs/>
        </w:rPr>
        <w:t xml:space="preserve">Embedded assets: </w:t>
      </w:r>
      <w:r>
        <w:t xml:space="preserve">Detect charts (has_chart flag), tables (extract headers and row counts), images (count and dimensions), and linked media.</w:t>
      </w:r>
    </w:p>
    <w:p>
      <w:pPr>
        <w:pStyle w:val="ListParagraph"/>
        <w:numPr>
          <w:ilvl w:val="0"/>
          <w:numId w:val="2"/>
        </w:numPr>
        <w:spacing w:after="80"/>
      </w:pPr>
      <w:r>
        <w:rPr>
          <w:b/>
          <w:bCs/>
        </w:rPr>
        <w:t xml:space="preserve">Custom XML parts: </w:t>
      </w:r>
      <w:r>
        <w:t xml:space="preserve">Many OW templates store custom metadata in customXml parts inside the PPTX ZIP—project codes, practice area, etc. Extract these with lxml.</w:t>
      </w:r>
    </w:p>
    <w:p>
      <w:pPr>
        <w:pBdr>
          <w:left w:val="single" w:color="F59E0B" w:sz="12" w:space="8"/>
        </w:pBdr>
        <w:shd w:fill="FFF3E0" w:val="clear"/>
        <w:spacing w:after="60" w:before="200"/>
        <w:ind w:left="240"/>
      </w:pPr>
      <w:r>
        <w:rPr>
          <w:b/>
          <w:bCs/>
          <w:color w:val="B45309"/>
        </w:rPr>
        <w:t xml:space="preserve">Hiccup: Missing/Inconsistent Core Properties</w:t>
      </w:r>
    </w:p>
    <w:p>
      <w:pPr>
        <w:pBdr>
          <w:left w:val="single" w:color="F59E0B" w:sz="12" w:space="8"/>
        </w:pBdr>
        <w:shd w:fill="FFF3E0" w:val="clear"/>
        <w:spacing w:after="200"/>
        <w:ind w:left="240"/>
      </w:pPr>
      <w:r>
        <w:rPr>
          <w:sz w:val="20"/>
          <w:szCs w:val="20"/>
        </w:rPr>
        <w:t xml:space="preserve">In practice, 30–50% of PPTX files have incomplete core_properties. Author fields default to the machine account that last saved the file (e.g., “Admin” or a service account). Created dates may reflect template creation, not project dates. Mitigation: Cross-reference with SharePoint metadata, filesystem dates, and email threading where available. Flag files with confidence &lt; 0.6 for manual review.</w:t>
      </w:r>
    </w:p>
    <w:p>
      <w:pPr>
        <w:pStyle w:val="Heading2"/>
        <w:spacing w:after="160" w:before="280"/>
      </w:pPr>
      <w:r>
        <w:t xml:space="preserve">3.2 Layer 2: AI-Powered Content Extraction (Claude API)</w:t>
      </w:r>
    </w:p>
    <w:p>
      <w:pPr>
        <w:spacing w:after="160"/>
      </w:pPr>
      <w:r>
        <w:t xml:space="preserve">The second layer uses Claude to analyze the extracted text content and classify it into structured metadata. This handles the semantic understanding that python-pptx cannot do—identifying methodologies, inferring client industries, and extracting nuanced context.</w:t>
      </w:r>
    </w:p>
    <w:p>
      <w:pPr>
        <w:pStyle w:val="Heading3"/>
        <w:spacing w:after="120" w:before="200"/>
      </w:pPr>
      <w:r>
        <w:t xml:space="preserve">Extraction Prompt Strategy</w:t>
      </w:r>
    </w:p>
    <w:p>
      <w:pPr>
        <w:spacing w:after="160"/>
      </w:pPr>
      <w:r>
        <w:t xml:space="preserve">Each PPTX is processed with a structured prompt that sends the slide text content to Claude Sonnet and asks for JSON output. The prompt is designed around the tiered knowledge extraction model from the Knowledge Moat strategy:</w:t>
      </w:r>
    </w:p>
    <w:p>
      <w:pPr>
        <w:shd w:fill="F4F4F4" w:val="clear"/>
        <w:spacing w:after="40"/>
        <w:ind w:left="360"/>
      </w:pPr>
      <w:r>
        <w:rPr>
          <w:rFonts w:ascii="Courier New" w:cs="Courier New" w:eastAsia="Courier New" w:hAnsi="Courier New"/>
          <w:color w:val="2D2D2D"/>
          <w:sz w:val="18"/>
          <w:szCs w:val="18"/>
        </w:rPr>
        <w:t xml:space="preserve">SYSTEM: You are extracting structured metadata from a consulting</w:t>
      </w:r>
    </w:p>
    <w:p>
      <w:pPr>
        <w:shd w:fill="F4F4F4" w:val="clear"/>
        <w:spacing w:after="40"/>
        <w:ind w:left="360"/>
      </w:pPr>
      <w:r>
        <w:rPr>
          <w:rFonts w:ascii="Courier New" w:cs="Courier New" w:eastAsia="Courier New" w:hAnsi="Courier New"/>
          <w:color w:val="2D2D2D"/>
          <w:sz w:val="18"/>
          <w:szCs w:val="18"/>
        </w:rPr>
        <w:t xml:space="preserve">deliverable. Classify the content into the following JSON schema.</w:t>
      </w:r>
    </w:p>
    <w:p>
      <w:pPr>
        <w:shd w:fill="F4F4F4" w:val="clear"/>
        <w:spacing w:after="40"/>
        <w:ind w:left="360"/>
      </w:pPr>
      <w:r>
        <w:rPr>
          <w:rFonts w:ascii="Courier New" w:cs="Courier New" w:eastAsia="Courier New" w:hAnsi="Courier New"/>
          <w:color w:val="2D2D2D"/>
          <w:sz w:val="18"/>
          <w:szCs w:val="18"/>
        </w:rPr>
        <w:t xml:space="preserve">For client information, apply Tier 3 anonymization: replace</w:t>
      </w:r>
    </w:p>
    <w:p>
      <w:pPr>
        <w:shd w:fill="F4F4F4" w:val="clear"/>
        <w:spacing w:after="40"/>
        <w:ind w:left="360"/>
      </w:pPr>
      <w:r>
        <w:rPr>
          <w:rFonts w:ascii="Courier New" w:cs="Courier New" w:eastAsia="Courier New" w:hAnsi="Courier New"/>
          <w:color w:val="2D2D2D"/>
          <w:sz w:val="18"/>
          <w:szCs w:val="18"/>
        </w:rPr>
        <w:t xml:space="preserve">specific client names with descriptive labels (e.g., 'Major</w:t>
      </w:r>
    </w:p>
    <w:p>
      <w:pPr>
        <w:shd w:fill="F4F4F4" w:val="clear"/>
        <w:spacing w:after="40"/>
        <w:ind w:left="360"/>
      </w:pPr>
      <w:r>
        <w:rPr>
          <w:rFonts w:ascii="Courier New" w:cs="Courier New" w:eastAsia="Courier New" w:hAnsi="Courier New"/>
          <w:color w:val="2D2D2D"/>
          <w:sz w:val="18"/>
          <w:szCs w:val="18"/>
        </w:rPr>
        <w:t xml:space="preserve">Mexican retail bank with 1,000+ branches'). Preserve industry,</w:t>
      </w:r>
    </w:p>
    <w:p>
      <w:pPr>
        <w:shd w:fill="F4F4F4" w:val="clear"/>
        <w:spacing w:after="40"/>
        <w:ind w:left="360"/>
      </w:pPr>
      <w:r>
        <w:rPr>
          <w:rFonts w:ascii="Courier New" w:cs="Courier New" w:eastAsia="Courier New" w:hAnsi="Courier New"/>
          <w:color w:val="2D2D2D"/>
          <w:sz w:val="18"/>
          <w:szCs w:val="18"/>
        </w:rPr>
        <w:t xml:space="preserve">geography, and scale information.</w:t>
      </w:r>
    </w:p>
    <w:p>
      <w:pPr>
        <w:shd w:fill="F4F4F4" w:val="clear"/>
        <w:spacing w:after="40"/>
        <w:ind w:left="360"/>
      </w:pPr>
      <w:r>
        <w:rPr>
          <w:rFonts w:ascii="Courier New" w:cs="Courier New" w:eastAsia="Courier New" w:hAnsi="Courier New"/>
          <w:color w:val="2D2D2D"/>
          <w:sz w:val="18"/>
          <w:szCs w:val="18"/>
        </w:rPr>
        <w:t xml:space="preserve"/>
      </w:r>
    </w:p>
    <w:p>
      <w:pPr>
        <w:shd w:fill="F4F4F4" w:val="clear"/>
        <w:spacing w:after="40"/>
        <w:ind w:left="360"/>
      </w:pPr>
      <w:r>
        <w:rPr>
          <w:rFonts w:ascii="Courier New" w:cs="Courier New" w:eastAsia="Courier New" w:hAnsi="Courier New"/>
          <w:color w:val="2D2D2D"/>
          <w:sz w:val="18"/>
          <w:szCs w:val="18"/>
        </w:rPr>
        <w:t xml:space="preserve">Return JSON with fields:</w:t>
      </w:r>
    </w:p>
    <w:p>
      <w:pPr>
        <w:shd w:fill="F4F4F4" w:val="clear"/>
        <w:spacing w:after="40"/>
        <w:ind w:left="360"/>
      </w:pPr>
      <w:r>
        <w:rPr>
          <w:rFonts w:ascii="Courier New" w:cs="Courier New" w:eastAsia="Courier New" w:hAnsi="Courier New"/>
          <w:color w:val="2D2D2D"/>
          <w:sz w:val="18"/>
          <w:szCs w:val="18"/>
        </w:rPr>
        <w:t xml:space="preserve">  - inferred_industry: {sector, sub_sector, geography}</w:t>
      </w:r>
    </w:p>
    <w:p>
      <w:pPr>
        <w:shd w:fill="F4F4F4" w:val="clear"/>
        <w:spacing w:after="40"/>
        <w:ind w:left="360"/>
      </w:pPr>
      <w:r>
        <w:rPr>
          <w:rFonts w:ascii="Courier New" w:cs="Courier New" w:eastAsia="Courier New" w:hAnsi="Courier New"/>
          <w:color w:val="2D2D2D"/>
          <w:sz w:val="18"/>
          <w:szCs w:val="18"/>
        </w:rPr>
        <w:t xml:space="preserve">  - methodologies_used: [{name, confidence, evidence_slide}]</w:t>
      </w:r>
    </w:p>
    <w:p>
      <w:pPr>
        <w:shd w:fill="F4F4F4" w:val="clear"/>
        <w:spacing w:after="40"/>
        <w:ind w:left="360"/>
      </w:pPr>
      <w:r>
        <w:rPr>
          <w:rFonts w:ascii="Courier New" w:cs="Courier New" w:eastAsia="Courier New" w:hAnsi="Courier New"/>
          <w:color w:val="2D2D2D"/>
          <w:sz w:val="18"/>
          <w:szCs w:val="18"/>
        </w:rPr>
        <w:t xml:space="preserve">  - topics: [{name, category, salience}]</w:t>
      </w:r>
    </w:p>
    <w:p>
      <w:pPr>
        <w:shd w:fill="F4F4F4" w:val="clear"/>
        <w:spacing w:after="40"/>
        <w:ind w:left="360"/>
      </w:pPr>
      <w:r>
        <w:rPr>
          <w:rFonts w:ascii="Courier New" w:cs="Courier New" w:eastAsia="Courier New" w:hAnsi="Courier New"/>
          <w:color w:val="2D2D2D"/>
          <w:sz w:val="18"/>
          <w:szCs w:val="18"/>
        </w:rPr>
        <w:t xml:space="preserve">  - engagement_type: proposal|deliverable|workshop|internal</w:t>
      </w:r>
    </w:p>
    <w:p>
      <w:pPr>
        <w:shd w:fill="F4F4F4" w:val="clear"/>
        <w:spacing w:after="40"/>
        <w:ind w:left="360"/>
      </w:pPr>
      <w:r>
        <w:rPr>
          <w:rFonts w:ascii="Courier New" w:cs="Courier New" w:eastAsia="Courier New" w:hAnsi="Courier New"/>
          <w:color w:val="2D2D2D"/>
          <w:sz w:val="18"/>
          <w:szCs w:val="18"/>
        </w:rPr>
        <w:t xml:space="preserve">  - anonymized_client_descriptor: string</w:t>
      </w:r>
    </w:p>
    <w:p>
      <w:pPr>
        <w:shd w:fill="F4F4F4" w:val="clear"/>
        <w:spacing w:after="40"/>
        <w:ind w:left="360"/>
      </w:pPr>
      <w:r>
        <w:rPr>
          <w:rFonts w:ascii="Courier New" w:cs="Courier New" w:eastAsia="Courier New" w:hAnsi="Courier New"/>
          <w:color w:val="2D2D2D"/>
          <w:sz w:val="18"/>
          <w:szCs w:val="18"/>
        </w:rPr>
        <w:t xml:space="preserve">  - key_findings: [string] (Tier 2 anonymized)</w:t>
      </w:r>
    </w:p>
    <w:p>
      <w:pPr>
        <w:shd w:fill="F4F4F4" w:val="clear"/>
        <w:spacing w:after="40"/>
        <w:ind w:left="360"/>
      </w:pPr>
      <w:r>
        <w:rPr>
          <w:rFonts w:ascii="Courier New" w:cs="Courier New" w:eastAsia="Courier New" w:hAnsi="Courier New"/>
          <w:color w:val="2D2D2D"/>
          <w:sz w:val="18"/>
          <w:szCs w:val="18"/>
        </w:rPr>
        <w:t xml:space="preserve">  - project_phase: scoping|analysis|recommendations|implementation</w:t>
      </w:r>
    </w:p>
    <w:p>
      <w:pPr>
        <w:shd w:fill="F4F4F4" w:val="clear"/>
        <w:spacing w:after="40"/>
        <w:ind w:left="360"/>
      </w:pPr>
      <w:r>
        <w:rPr>
          <w:rFonts w:ascii="Courier New" w:cs="Courier New" w:eastAsia="Courier New" w:hAnsi="Courier New"/>
          <w:color w:val="2D2D2D"/>
          <w:sz w:val="18"/>
          <w:szCs w:val="18"/>
        </w:rPr>
        <w:t xml:space="preserve">  - estimated_year: int (from internal evidence)</w:t>
      </w:r>
    </w:p>
    <w:p>
      <w:pPr>
        <w:shd w:fill="F4F4F4" w:val="clear"/>
        <w:spacing w:after="40"/>
        <w:ind w:left="360"/>
      </w:pPr>
      <w:r>
        <w:rPr>
          <w:rFonts w:ascii="Courier New" w:cs="Courier New" w:eastAsia="Courier New" w:hAnsi="Courier New"/>
          <w:color w:val="2D2D2D"/>
          <w:sz w:val="18"/>
          <w:szCs w:val="18"/>
        </w:rPr>
        <w:t xml:space="preserve">  - quality_indicators: {data_richness, analytical_depth,</w:t>
      </w:r>
    </w:p>
    <w:p>
      <w:pPr>
        <w:shd w:fill="F4F4F4" w:val="clear"/>
        <w:spacing w:after="40"/>
        <w:ind w:left="360"/>
      </w:pPr>
      <w:r>
        <w:rPr>
          <w:rFonts w:ascii="Courier New" w:cs="Courier New" w:eastAsia="Courier New" w:hAnsi="Courier New"/>
          <w:color w:val="2D2D2D"/>
          <w:sz w:val="18"/>
          <w:szCs w:val="18"/>
        </w:rPr>
        <w:t xml:space="preserve">                         actionability} (1-5 scale)</w:t>
      </w:r>
    </w:p>
    <w:p>
      <w:pPr>
        <w:spacing w:after="160"/>
      </w:pPr>
    </w:p>
    <w:p>
      <w:pPr>
        <w:pBdr>
          <w:left w:val="single" w:color="2E75B6" w:sz="12" w:space="8"/>
        </w:pBdr>
        <w:shd w:fill="E8F0F8" w:val="clear"/>
        <w:spacing w:after="60" w:before="200"/>
        <w:ind w:left="240"/>
      </w:pPr>
      <w:r>
        <w:rPr>
          <w:b/>
          <w:bCs/>
          <w:color w:val="1B3A5C"/>
        </w:rPr>
        <w:t xml:space="preserve">Cost Estimate for Claude API Extraction</w:t>
      </w:r>
    </w:p>
    <w:p>
      <w:pPr>
        <w:pBdr>
          <w:left w:val="single" w:color="2E75B6" w:sz="12" w:space="8"/>
        </w:pBdr>
        <w:shd w:fill="E8F0F8" w:val="clear"/>
        <w:spacing w:after="200"/>
        <w:ind w:left="240"/>
      </w:pPr>
      <w:r>
        <w:rPr>
          <w:i/>
          <w:iCs/>
          <w:sz w:val="20"/>
          <w:szCs w:val="20"/>
        </w:rPr>
        <w:t xml:space="preserve">At ~3,000 tokens per PPTX (compressed text) and Sonnet pricing, processing 1,000 files costs approximately $15–25 in API calls. Batch API reduces this by 50%. This is trivial relative to the value of the structured metadata.</w:t>
      </w:r>
    </w:p>
    <w:p>
      <w:pPr>
        <w:pStyle w:val="Heading2"/>
        <w:spacing w:after="160" w:before="280"/>
      </w:pPr>
      <w:r>
        <w:t xml:space="preserve">3.3 Layer 3: NER and Entity Resolution</w:t>
      </w:r>
    </w:p>
    <w:p>
      <w:pPr>
        <w:spacing w:after="160"/>
      </w:pPr>
      <w:r>
        <w:t xml:space="preserve">After Claude extracts high-level metadata, a spaCy NER pipeline runs over the raw text to identify named entities (people, organizations, locations, financial figures) and link them to existing graph nodes. Entity resolution is critical—“McKinsey,” “McK,” and “McKinsey &amp; Company” must resolve to the same node.</w:t>
      </w:r>
    </w:p>
    <w:p>
      <w:pPr>
        <w:pStyle w:val="ListParagraph"/>
        <w:numPr>
          <w:ilvl w:val="0"/>
          <w:numId w:val="2"/>
        </w:numPr>
        <w:spacing w:after="80"/>
      </w:pPr>
      <w:r>
        <w:rPr>
          <w:b/>
          <w:bCs/>
        </w:rPr>
        <w:t xml:space="preserve">Deduplication: </w:t>
      </w:r>
      <w:r>
        <w:t xml:space="preserve">Use fuzzy string matching (thefuzz library, threshold 85%) combined with embedding similarity to detect duplicate entities. Maintain an alias table in Neo4j.</w:t>
      </w:r>
    </w:p>
    <w:p>
      <w:pPr>
        <w:pStyle w:val="ListParagraph"/>
        <w:numPr>
          <w:ilvl w:val="0"/>
          <w:numId w:val="2"/>
        </w:numPr>
        <w:spacing w:after="80"/>
      </w:pPr>
      <w:r>
        <w:rPr>
          <w:b/>
          <w:bCs/>
        </w:rPr>
        <w:t xml:space="preserve">Person resolution: </w:t>
      </w:r>
      <w:r>
        <w:t xml:space="preserve">Cross-reference extracted names against the OW HR directory API. Fall back to email domain matching and co-authorship patterns.</w:t>
      </w:r>
    </w:p>
    <w:p>
      <w:pPr>
        <w:pStyle w:val="ListParagraph"/>
        <w:numPr>
          <w:ilvl w:val="0"/>
          <w:numId w:val="2"/>
        </w:numPr>
        <w:spacing w:after="80"/>
      </w:pPr>
      <w:r>
        <w:rPr>
          <w:b/>
          <w:bCs/>
        </w:rPr>
        <w:t xml:space="preserve">Methodology canonicalization: </w:t>
      </w:r>
      <w:r>
        <w:t xml:space="preserve">Maintain a controlled vocabulary of OW methodologies. Map free-text references (“Erlang model,” “queueing theory,” “capacity planning”) to canonical nodes using an embedding-based classifier.</w:t>
      </w:r>
    </w:p>
    <w:p>
      <w:pPr>
        <w:pStyle w:val="Heading1"/>
        <w:spacing w:after="200" w:before="360"/>
      </w:pPr>
      <w:r>
        <w:t xml:space="preserve">4. Access Tier Architecture</w:t>
      </w:r>
    </w:p>
    <w:p>
      <w:pPr>
        <w:spacing w:after="160"/>
      </w:pPr>
      <w:r>
        <w:t xml:space="preserve">The Knowledge Moat strategy document identifies a critical tension: maximizing knowledge reuse while respecting confidentiality obligations. The graph must enforce access controls that align with the four-tier model. This is not an afterthought—it must be baked into the schema from day one.</w:t>
      </w:r>
    </w:p>
    <w:p>
      <w:pPr>
        <w:pStyle w:val="Heading2"/>
        <w:spacing w:after="160" w:before="280"/>
      </w:pPr>
      <w:r>
        <w:t xml:space="preserve">4.1 Tier Mapping to Graph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Graph Visibility</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Can Query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Methodology &amp; Approach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nodes visible; full text searchable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OW employees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Anonymized Patterns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Aggregated statistics; no individual client links</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consultants + approved analytics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Learnings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Smart-anonymized nodes; client descriptors only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area members + case team alumni</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Restricted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Encrypted properties; audit-logged access</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Named individuals only (case team + partner)</w:t>
            </w:r>
          </w:p>
        </w:tc>
      </w:tr>
    </w:tbl>
    <w:p>
      <w:pPr>
        <w:spacing w:after="160"/>
      </w:pPr>
    </w:p>
    <w:p>
      <w:pPr>
        <w:pStyle w:val="Heading2"/>
        <w:spacing w:after="160" w:before="280"/>
      </w:pPr>
      <w:r>
        <w:t xml:space="preserve">4.2 Neo4j Implementation</w:t>
      </w:r>
    </w:p>
    <w:p>
      <w:pPr>
        <w:spacing w:after="160"/>
      </w:pPr>
      <w:r>
        <w:t xml:space="preserve">Neo4j Enterprise supports role-based access control (RBAC) at the node label and property level. The PoC should implement this from the start, even if using Community Edition initially (where you simulate it at the application layer).</w:t>
      </w:r>
    </w:p>
    <w:p>
      <w:pPr>
        <w:pStyle w:val="ListParagraph"/>
        <w:numPr>
          <w:ilvl w:val="0"/>
          <w:numId w:val="2"/>
        </w:numPr>
        <w:spacing w:after="80"/>
      </w:pPr>
      <w:r>
        <w:rPr>
          <w:b/>
          <w:bCs/>
        </w:rPr>
        <w:t xml:space="preserve">Property-level encryption: </w:t>
      </w:r>
      <w:r>
        <w:t xml:space="preserve">Tier 4 properties (client_name, contract_value, specific_findings) are encrypted at rest using AES-256. The application layer decrypts only for authorized users.</w:t>
      </w:r>
    </w:p>
    <w:p>
      <w:pPr>
        <w:pStyle w:val="ListParagraph"/>
        <w:numPr>
          <w:ilvl w:val="0"/>
          <w:numId w:val="2"/>
        </w:numPr>
        <w:spacing w:after="80"/>
      </w:pPr>
      <w:r>
        <w:rPr>
          <w:b/>
          <w:bCs/>
        </w:rPr>
        <w:t xml:space="preserve">Label-based filtering: </w:t>
      </w:r>
      <w:r>
        <w:t xml:space="preserve">Tier 4 nodes carry a :Restricted label. Cypher queries in the application layer automatically filter these unless the user’s JWT contains the required clearance.</w:t>
      </w:r>
    </w:p>
    <w:p>
      <w:pPr>
        <w:pStyle w:val="ListParagraph"/>
        <w:numPr>
          <w:ilvl w:val="0"/>
          <w:numId w:val="2"/>
        </w:numPr>
        <w:spacing w:after="80"/>
      </w:pPr>
      <w:r>
        <w:rPr>
          <w:b/>
          <w:bCs/>
        </w:rPr>
        <w:t xml:space="preserve">Audit logging: </w:t>
      </w:r>
      <w:r>
        <w:t xml:space="preserve">All Tier 3 and Tier 4 accesses are logged with user ID, timestamp, query text, and nodes returned. This satisfies client audit requirements and builds the compliance trail needed for scaling.</w:t>
      </w:r>
    </w:p>
    <w:p>
      <w:pPr>
        <w:pBdr>
          <w:left w:val="single" w:color="F59E0B" w:sz="12" w:space="8"/>
        </w:pBdr>
        <w:shd w:fill="FFF3E0" w:val="clear"/>
        <w:spacing w:after="60" w:before="200"/>
        <w:ind w:left="240"/>
      </w:pPr>
      <w:r>
        <w:rPr>
          <w:b/>
          <w:bCs/>
          <w:color w:val="B45309"/>
        </w:rPr>
        <w:t xml:space="preserve">Hiccup: Tier Classification Accuracy</w:t>
      </w:r>
    </w:p>
    <w:p>
      <w:pPr>
        <w:pBdr>
          <w:left w:val="single" w:color="F59E0B" w:sz="12" w:space="8"/>
        </w:pBdr>
        <w:shd w:fill="FFF3E0" w:val="clear"/>
        <w:spacing w:after="200"/>
        <w:ind w:left="240"/>
      </w:pPr>
      <w:r>
        <w:rPr>
          <w:sz w:val="20"/>
          <w:szCs w:val="20"/>
        </w:rPr>
        <w:t xml:space="preserve">AI-based tier classification will make mistakes. A 95% accuracy rate on 10,000 documents means 500 potentially misclassified items—some of which could expose client-confidential data. Mitigation: Default to Tier 4 (most restrictive) when confidence is below 0.8. Implement a human review queue for edge cases. Run a quarterly audit sampling 5% of classifications.</w:t>
      </w:r>
    </w:p>
    <w:p>
      <w:pPr>
        <w:pStyle w:val="Heading2"/>
        <w:spacing w:after="160" w:before="280"/>
      </w:pPr>
      <w:r>
        <w:t xml:space="preserve">4.3 The Sanitization Trap</w:t>
      </w:r>
    </w:p>
    <w:p>
      <w:pPr>
        <w:spacing w:after="160"/>
      </w:pPr>
      <w:r>
        <w:t xml:space="preserve">Per the strategy document, the biggest risk is not under-protecting data—it’s over-sanitizing to the point of destroying knowledge value. The extraction pipeline should explicitly flag when it detects “lazy sanitization” patterns: deliverables where all industry context, geography, scale indicators, and outcome data have been stripped. These files are candidates for re-extraction with a senior consultant’s guidance on what can actually be shared.</w:t>
      </w:r>
    </w:p>
    <w:p>
      <w:pPr>
        <w:pStyle w:val="Heading1"/>
        <w:spacing w:after="200" w:before="360"/>
      </w:pPr>
      <w:r>
        <w:t xml:space="preserve">5. Handling Outdated Information</w:t>
      </w:r>
    </w:p>
    <w:p>
      <w:pPr>
        <w:spacing w:after="160"/>
      </w:pPr>
      <w:r>
        <w:t xml:space="preserve">A knowledge graph built from historical deliverables will inevitably contain outdated information—market data from 2019, regulatory frameworks that have since changed, organizational structures that no longer exist. This is a serious concern for GraphRAG, where the system may confidently cite obsolete analysis.</w:t>
      </w:r>
    </w:p>
    <w:p>
      <w:pPr>
        <w:pStyle w:val="Heading2"/>
        <w:spacing w:after="160" w:before="280"/>
      </w:pPr>
      <w:r>
        <w:t xml:space="preserve">5.1 Freshness Scoring Model</w:t>
      </w:r>
    </w:p>
    <w:p>
      <w:pPr>
        <w:spacing w:after="160"/>
      </w:pPr>
      <w:r>
        <w:t xml:space="preserve">Every Deliverable node carries a computed freshness_score (0.0–1.0) based on multiple decay factors:</w:t>
      </w:r>
    </w:p>
    <w:p>
      <w:pPr>
        <w:shd w:fill="F4F4F4" w:val="clear"/>
        <w:spacing w:after="40"/>
        <w:ind w:left="360"/>
      </w:pPr>
      <w:r>
        <w:rPr>
          <w:rFonts w:ascii="Courier New" w:cs="Courier New" w:eastAsia="Courier New" w:hAnsi="Courier New"/>
          <w:color w:val="2D2D2D"/>
          <w:sz w:val="18"/>
          <w:szCs w:val="18"/>
        </w:rPr>
        <w:t xml:space="preserve">freshness_score = w1 * time_decay(age_months)</w:t>
      </w:r>
    </w:p>
    <w:p>
      <w:pPr>
        <w:shd w:fill="F4F4F4" w:val="clear"/>
        <w:spacing w:after="40"/>
        <w:ind w:left="360"/>
      </w:pPr>
      <w:r>
        <w:rPr>
          <w:rFonts w:ascii="Courier New" w:cs="Courier New" w:eastAsia="Courier New" w:hAnsi="Courier New"/>
          <w:color w:val="2D2D2D"/>
          <w:sz w:val="18"/>
          <w:szCs w:val="18"/>
        </w:rPr>
        <w:t xml:space="preserve">               + w2 * topic_volatility(topics)</w:t>
      </w:r>
    </w:p>
    <w:p>
      <w:pPr>
        <w:shd w:fill="F4F4F4" w:val="clear"/>
        <w:spacing w:after="40"/>
        <w:ind w:left="360"/>
      </w:pPr>
      <w:r>
        <w:rPr>
          <w:rFonts w:ascii="Courier New" w:cs="Courier New" w:eastAsia="Courier New" w:hAnsi="Courier New"/>
          <w:color w:val="2D2D2D"/>
          <w:sz w:val="18"/>
          <w:szCs w:val="18"/>
        </w:rPr>
        <w:t xml:space="preserve">               + w3 * superseded_penalty(newer_versions)</w:t>
      </w:r>
    </w:p>
    <w:p>
      <w:pPr>
        <w:shd w:fill="F4F4F4" w:val="clear"/>
        <w:spacing w:after="40"/>
        <w:ind w:left="360"/>
      </w:pPr>
      <w:r>
        <w:rPr>
          <w:rFonts w:ascii="Courier New" w:cs="Courier New" w:eastAsia="Courier New" w:hAnsi="Courier New"/>
          <w:color w:val="2D2D2D"/>
          <w:sz w:val="18"/>
          <w:szCs w:val="18"/>
        </w:rPr>
        <w:t xml:space="preserve">               + w4 * citation_recency(last_referenced)</w:t>
      </w:r>
    </w:p>
    <w:p>
      <w:pPr>
        <w:shd w:fill="F4F4F4" w:val="clear"/>
        <w:spacing w:after="40"/>
        <w:ind w:left="360"/>
      </w:pPr>
      <w:r>
        <w:rPr>
          <w:rFonts w:ascii="Courier New" w:cs="Courier New" w:eastAsia="Courier New" w:hAnsi="Courier New"/>
          <w:color w:val="2D2D2D"/>
          <w:sz w:val="18"/>
          <w:szCs w:val="18"/>
        </w:rPr>
        <w:t xml:space="preserve"/>
      </w:r>
    </w:p>
    <w:p>
      <w:pPr>
        <w:shd w:fill="F4F4F4" w:val="clear"/>
        <w:spacing w:after="40"/>
        <w:ind w:left="360"/>
      </w:pPr>
      <w:r>
        <w:rPr>
          <w:rFonts w:ascii="Courier New" w:cs="Courier New" w:eastAsia="Courier New" w:hAnsi="Courier New"/>
          <w:color w:val="2D2D2D"/>
          <w:sz w:val="18"/>
          <w:szCs w:val="18"/>
        </w:rPr>
        <w:t xml:space="preserve">where:</w:t>
      </w:r>
    </w:p>
    <w:p>
      <w:pPr>
        <w:shd w:fill="F4F4F4" w:val="clear"/>
        <w:spacing w:after="40"/>
        <w:ind w:left="360"/>
      </w:pPr>
      <w:r>
        <w:rPr>
          <w:rFonts w:ascii="Courier New" w:cs="Courier New" w:eastAsia="Courier New" w:hAnsi="Courier New"/>
          <w:color w:val="2D2D2D"/>
          <w:sz w:val="18"/>
          <w:szCs w:val="18"/>
        </w:rPr>
        <w:t xml:space="preserve">  time_decay = exp(-lambda * age_months), lambda=0.02</w:t>
      </w:r>
    </w:p>
    <w:p>
      <w:pPr>
        <w:shd w:fill="F4F4F4" w:val="clear"/>
        <w:spacing w:after="40"/>
        <w:ind w:left="360"/>
      </w:pPr>
      <w:r>
        <w:rPr>
          <w:rFonts w:ascii="Courier New" w:cs="Courier New" w:eastAsia="Courier New" w:hAnsi="Courier New"/>
          <w:color w:val="2D2D2D"/>
          <w:sz w:val="18"/>
          <w:szCs w:val="18"/>
        </w:rPr>
        <w:t xml:space="preserve">  topic_volatility = 1.0 for stable topics (methodology),</w:t>
      </w:r>
    </w:p>
    <w:p>
      <w:pPr>
        <w:shd w:fill="F4F4F4" w:val="clear"/>
        <w:spacing w:after="40"/>
        <w:ind w:left="360"/>
      </w:pPr>
      <w:r>
        <w:rPr>
          <w:rFonts w:ascii="Courier New" w:cs="Courier New" w:eastAsia="Courier New" w:hAnsi="Courier New"/>
          <w:color w:val="2D2D2D"/>
          <w:sz w:val="18"/>
          <w:szCs w:val="18"/>
        </w:rPr>
        <w:t xml:space="preserve">                     0.3 for volatile topics (regulation,</w:t>
      </w:r>
    </w:p>
    <w:p>
      <w:pPr>
        <w:shd w:fill="F4F4F4" w:val="clear"/>
        <w:spacing w:after="40"/>
        <w:ind w:left="360"/>
      </w:pPr>
      <w:r>
        <w:rPr>
          <w:rFonts w:ascii="Courier New" w:cs="Courier New" w:eastAsia="Courier New" w:hAnsi="Courier New"/>
          <w:color w:val="2D2D2D"/>
          <w:sz w:val="18"/>
          <w:szCs w:val="18"/>
        </w:rPr>
        <w:t xml:space="preserve">                     market sizing, competitive landscape)</w:t>
      </w:r>
    </w:p>
    <w:p>
      <w:pPr>
        <w:shd w:fill="F4F4F4" w:val="clear"/>
        <w:spacing w:after="40"/>
        <w:ind w:left="360"/>
      </w:pPr>
      <w:r>
        <w:rPr>
          <w:rFonts w:ascii="Courier New" w:cs="Courier New" w:eastAsia="Courier New" w:hAnsi="Courier New"/>
          <w:color w:val="2D2D2D"/>
          <w:sz w:val="18"/>
          <w:szCs w:val="18"/>
        </w:rPr>
        <w:t xml:space="preserve">  superseded_penalty = 0.2 if a newer deliverable covers</w:t>
      </w:r>
    </w:p>
    <w:p>
      <w:pPr>
        <w:shd w:fill="F4F4F4" w:val="clear"/>
        <w:spacing w:after="40"/>
        <w:ind w:left="360"/>
      </w:pPr>
      <w:r>
        <w:rPr>
          <w:rFonts w:ascii="Courier New" w:cs="Courier New" w:eastAsia="Courier New" w:hAnsi="Courier New"/>
          <w:color w:val="2D2D2D"/>
          <w:sz w:val="18"/>
          <w:szCs w:val="18"/>
        </w:rPr>
        <w:t xml:space="preserve">                       same client + same topic</w:t>
      </w:r>
    </w:p>
    <w:p>
      <w:pPr>
        <w:shd w:fill="F4F4F4" w:val="clear"/>
        <w:spacing w:after="40"/>
        <w:ind w:left="360"/>
      </w:pPr>
      <w:r>
        <w:rPr>
          <w:rFonts w:ascii="Courier New" w:cs="Courier New" w:eastAsia="Courier New" w:hAnsi="Courier New"/>
          <w:color w:val="2D2D2D"/>
          <w:sz w:val="18"/>
          <w:szCs w:val="18"/>
        </w:rPr>
        <w:t xml:space="preserve">  citation_recency = bonus if referenced in recent proposals</w:t>
      </w:r>
    </w:p>
    <w:p>
      <w:pPr>
        <w:spacing w:after="160"/>
      </w:pPr>
    </w:p>
    <w:p>
      <w:pPr>
        <w:pStyle w:val="Heading2"/>
        <w:spacing w:after="160" w:before="280"/>
      </w:pPr>
      <w:r>
        <w:t xml:space="preserve">5.2 Topic Volatility Classification</w:t>
      </w:r>
    </w:p>
    <w:p>
      <w:pPr>
        <w:spacing w:after="160"/>
      </w:pPr>
      <w:r>
        <w:t xml:space="preserve">Not all content ages at the same rate. The system must distinguish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Volatility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(stable)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 methodologies, analytical frameworks, implementation playbooks, change management principles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decay; valid for 5+ years unless superseded by updated version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Industry benchmarks, competitive positioning, organizational best practices, technology assessments</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~18 month half-life; flag after 2 years; auto-deprecate after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 (volatile)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sizing, regulatory analysis, fintech landscape, pricing data, competitive intelligence, macro forecasts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 half-life; flag after 9 months; auto-quarantine after 18</w:t>
            </w:r>
          </w:p>
        </w:tc>
      </w:tr>
    </w:tbl>
    <w:p>
      <w:pPr>
        <w:spacing w:after="160"/>
      </w:pPr>
    </w:p>
    <w:p>
      <w:pPr>
        <w:pStyle w:val="Heading2"/>
        <w:spacing w:after="160" w:before="280"/>
      </w:pPr>
      <w:r>
        <w:t xml:space="preserve">5.3 GraphRAG Staleness Handling</w:t>
      </w:r>
    </w:p>
    <w:p>
      <w:pPr>
        <w:spacing w:after="160"/>
      </w:pPr>
      <w:r>
        <w:t xml:space="preserve">When the GraphRAG query layer retrieves nodes, it must surface freshness metadata to the user and adjust ranking accordingly:</w:t>
      </w:r>
    </w:p>
    <w:p>
      <w:pPr>
        <w:pStyle w:val="ListParagraph"/>
        <w:numPr>
          <w:ilvl w:val="0"/>
          <w:numId w:val="2"/>
        </w:numPr>
        <w:spacing w:after="80"/>
      </w:pPr>
      <w:r>
        <w:rPr>
          <w:b/>
          <w:bCs/>
        </w:rPr>
        <w:t xml:space="preserve">Query-time filtering: </w:t>
      </w:r>
      <w:r>
        <w:t xml:space="preserve">Default to freshness_score &gt; 0.4. Users can override with explicit flags (“include historical”).</w:t>
      </w:r>
    </w:p>
    <w:p>
      <w:pPr>
        <w:pStyle w:val="ListParagraph"/>
        <w:numPr>
          <w:ilvl w:val="0"/>
          <w:numId w:val="2"/>
        </w:numPr>
        <w:spacing w:after="80"/>
      </w:pPr>
      <w:r>
        <w:rPr>
          <w:b/>
          <w:bCs/>
        </w:rPr>
        <w:t xml:space="preserve">Answer attribution: </w:t>
      </w:r>
      <w:r>
        <w:t xml:space="preserve">Every GraphRAG response includes source dates and freshness scores. e.g., “Based on 3 projects (2023, 2022, 2020). Note: the 2020 analysis covers pre-COVID regulatory framework.”</w:t>
      </w:r>
    </w:p>
    <w:p>
      <w:pPr>
        <w:pStyle w:val="ListParagraph"/>
        <w:numPr>
          <w:ilvl w:val="0"/>
          <w:numId w:val="2"/>
        </w:numPr>
        <w:spacing w:after="80"/>
      </w:pPr>
      <w:r>
        <w:rPr>
          <w:b/>
          <w:bCs/>
        </w:rPr>
        <w:t xml:space="preserve">Contradiction detection: </w:t>
      </w:r>
      <w:r>
        <w:t xml:space="preserve">When two sources on the same topic give conflicting data (e.g., different market size figures), surface both with dates and let the user decide. Never silently prefer one.</w:t>
      </w:r>
    </w:p>
    <w:p>
      <w:pPr>
        <w:pStyle w:val="ListParagraph"/>
        <w:numPr>
          <w:ilvl w:val="0"/>
          <w:numId w:val="2"/>
        </w:numPr>
        <w:spacing w:after="80"/>
      </w:pPr>
      <w:r>
        <w:rPr>
          <w:b/>
          <w:bCs/>
        </w:rPr>
        <w:t xml:space="preserve">Supersession chains: </w:t>
      </w:r>
      <w:r>
        <w:t xml:space="preserve">Model [:SUPERSEDES] relationships between deliverables. When a 2024 branch optimization study updates a 2021 study for the same client, the graph explicitly captures this lineage.</w:t>
      </w:r>
    </w:p>
    <w:p>
      <w:pPr>
        <w:pBdr>
          <w:left w:val="single" w:color="F59E0B" w:sz="12" w:space="8"/>
        </w:pBdr>
        <w:shd w:fill="FFF3E0" w:val="clear"/>
        <w:spacing w:after="60" w:before="200"/>
        <w:ind w:left="240"/>
      </w:pPr>
      <w:r>
        <w:rPr>
          <w:b/>
          <w:bCs/>
          <w:color w:val="B45309"/>
        </w:rPr>
        <w:t xml:space="preserve">Hiccup: Zombie Knowledge</w:t>
      </w:r>
    </w:p>
    <w:p>
      <w:pPr>
        <w:pBdr>
          <w:left w:val="single" w:color="F59E0B" w:sz="12" w:space="8"/>
        </w:pBdr>
        <w:shd w:fill="FFF3E0" w:val="clear"/>
        <w:spacing w:after="200"/>
        <w:ind w:left="240"/>
      </w:pPr>
      <w:r>
        <w:rPr>
          <w:sz w:val="20"/>
          <w:szCs w:val="20"/>
        </w:rPr>
        <w:t xml:space="preserve">The most dangerous outdated content is information that looks current but isn’t—regulatory frameworks that were updated, market assumptions pre-COVID, or strategic recommendations based on conditions that no longer hold. Unlike obviously dated content (a 2018 market sizing), zombie knowledge can be cited confidently by the RAG system because the text itself contains no staleness signals. Mitigation: Maintain a “known invalidation” list tied to major market events (COVID, regulatory changes, M&amp;A activity). Run batch re-scoring when new invalidation events are registered.</w:t>
      </w:r>
    </w:p>
    <w:p>
      <w:pPr>
        <w:pStyle w:val="Heading1"/>
        <w:spacing w:after="200" w:before="360"/>
      </w:pPr>
      <w:r>
        <w:t xml:space="preserve">6. GraphRAG Query Layer</w:t>
      </w:r>
    </w:p>
    <w:p>
      <w:pPr>
        <w:spacing w:after="160"/>
      </w:pPr>
      <w:r>
        <w:t xml:space="preserve">GraphRAG combines the structured traversal power of Neo4j with the semantic understanding of LLMs. The query layer translates natural-language questions into Cypher queries, retrieves relevant subgraphs, and synthesizes answers grounded in the actual knowledge graph.</w:t>
      </w:r>
    </w:p>
    <w:p>
      <w:pPr>
        <w:pStyle w:val="Heading2"/>
        <w:spacing w:after="160" w:before="280"/>
      </w:pPr>
      <w:r>
        <w:t xml:space="preserve">6.1 Query Architecture</w:t>
      </w:r>
    </w:p>
    <w:p>
      <w:pPr>
        <w:spacing w:after="160"/>
      </w:pPr>
      <w:r>
        <w:t xml:space="preserve">The query flow works in three steps:</w:t>
      </w:r>
    </w:p>
    <w:p>
      <w:pPr>
        <w:pStyle w:val="ListParagraph"/>
        <w:numPr>
          <w:ilvl w:val="0"/>
          <w:numId w:val="3"/>
        </w:numPr>
        <w:spacing w:after="80"/>
      </w:pPr>
      <w:r>
        <w:rPr>
          <w:b/>
          <w:bCs/>
        </w:rPr>
        <w:t xml:space="preserve">Intent classification + Cypher generation: </w:t>
      </w:r>
      <w:r>
        <w:t xml:space="preserve">The user’s question is sent to Claude, which classifies the query type (entity lookup, pattern search, comparison, recommendation) and generates one or more Cypher queries. The LLM also identifies which access tier is required.</w:t>
      </w:r>
    </w:p>
    <w:p>
      <w:pPr>
        <w:pStyle w:val="ListParagraph"/>
        <w:numPr>
          <w:ilvl w:val="0"/>
          <w:numId w:val="3"/>
        </w:numPr>
        <w:spacing w:after="80"/>
      </w:pPr>
      <w:r>
        <w:rPr>
          <w:b/>
          <w:bCs/>
        </w:rPr>
        <w:t xml:space="preserve">Graph retrieval + vector search: </w:t>
      </w:r>
      <w:r>
        <w:t xml:space="preserve">Cypher queries execute against Neo4j. Simultaneously, the question embedding is compared against Slide and Topic embeddings in Neo4j’s vector index for semantic matches that the structured query might miss.</w:t>
      </w:r>
    </w:p>
    <w:p>
      <w:pPr>
        <w:pStyle w:val="ListParagraph"/>
        <w:numPr>
          <w:ilvl w:val="0"/>
          <w:numId w:val="3"/>
        </w:numPr>
        <w:spacing w:after="80"/>
      </w:pPr>
      <w:r>
        <w:rPr>
          <w:b/>
          <w:bCs/>
        </w:rPr>
        <w:t xml:space="preserve">Synthesis with citation: </w:t>
      </w:r>
      <w:r>
        <w:t xml:space="preserve">Retrieved nodes, relationships, and vector-matched content are sent to Claude as context. The model synthesizes an answer with explicit citations to source deliverables, dates, and freshness scores.</w:t>
      </w:r>
    </w:p>
    <w:p>
      <w:pPr>
        <w:pStyle w:val="Heading2"/>
        <w:spacing w:after="160" w:before="280"/>
      </w:pPr>
      <w:r>
        <w:t xml:space="preserve">6.2 Example Queries</w:t>
      </w:r>
    </w:p>
    <w:p>
      <w:pPr>
        <w:shd w:fill="F4F4F4" w:val="clear"/>
        <w:spacing w:after="40"/>
        <w:ind w:left="360"/>
      </w:pPr>
      <w:r>
        <w:rPr>
          <w:rFonts w:ascii="Courier New" w:cs="Courier New" w:eastAsia="Courier New" w:hAnsi="Courier New"/>
          <w:color w:val="2D2D2D"/>
          <w:sz w:val="18"/>
          <w:szCs w:val="18"/>
        </w:rPr>
        <w:t xml:space="preserve">User: "What approaches have worked for retail bank branch optimization</w:t>
      </w:r>
    </w:p>
    <w:p>
      <w:pPr>
        <w:shd w:fill="F4F4F4" w:val="clear"/>
        <w:spacing w:after="40"/>
        <w:ind w:left="360"/>
      </w:pPr>
      <w:r>
        <w:rPr>
          <w:rFonts w:ascii="Courier New" w:cs="Courier New" w:eastAsia="Courier New" w:hAnsi="Courier New"/>
          <w:color w:val="2D2D2D"/>
          <w:sz w:val="18"/>
          <w:szCs w:val="18"/>
        </w:rPr>
        <w:t xml:space="preserve">       in Latin America?"</w:t>
      </w:r>
    </w:p>
    <w:p>
      <w:pPr>
        <w:shd w:fill="F4F4F4" w:val="clear"/>
        <w:spacing w:after="40"/>
        <w:ind w:left="360"/>
      </w:pPr>
      <w:r>
        <w:rPr>
          <w:rFonts w:ascii="Courier New" w:cs="Courier New" w:eastAsia="Courier New" w:hAnsi="Courier New"/>
          <w:color w:val="2D2D2D"/>
          <w:sz w:val="18"/>
          <w:szCs w:val="18"/>
        </w:rPr>
        <w:t xml:space="preserve"/>
      </w:r>
    </w:p>
    <w:p>
      <w:pPr>
        <w:shd w:fill="F4F4F4" w:val="clear"/>
        <w:spacing w:after="40"/>
        <w:ind w:left="360"/>
      </w:pPr>
      <w:r>
        <w:rPr>
          <w:rFonts w:ascii="Courier New" w:cs="Courier New" w:eastAsia="Courier New" w:hAnsi="Courier New"/>
          <w:color w:val="2D2D2D"/>
          <w:sz w:val="18"/>
          <w:szCs w:val="18"/>
        </w:rPr>
        <w:t xml:space="preserve">Generated Cypher:</w:t>
      </w:r>
    </w:p>
    <w:p>
      <w:pPr>
        <w:shd w:fill="F4F4F4" w:val="clear"/>
        <w:spacing w:after="40"/>
        <w:ind w:left="360"/>
      </w:pPr>
      <w:r>
        <w:rPr>
          <w:rFonts w:ascii="Courier New" w:cs="Courier New" w:eastAsia="Courier New" w:hAnsi="Courier New"/>
          <w:color w:val="2D2D2D"/>
          <w:sz w:val="18"/>
          <w:szCs w:val="18"/>
        </w:rPr>
        <w:t xml:space="preserve">MATCH (d:Deliverable)-[:USES_METHODOLOGY]-&gt;(m:Methodology),</w:t>
      </w:r>
    </w:p>
    <w:p>
      <w:pPr>
        <w:shd w:fill="F4F4F4" w:val="clear"/>
        <w:spacing w:after="40"/>
        <w:ind w:left="360"/>
      </w:pPr>
      <w:r>
        <w:rPr>
          <w:rFonts w:ascii="Courier New" w:cs="Courier New" w:eastAsia="Courier New" w:hAnsi="Courier New"/>
          <w:color w:val="2D2D2D"/>
          <w:sz w:val="18"/>
          <w:szCs w:val="18"/>
        </w:rPr>
        <w:t xml:space="preserve">      (d)-[:TARGETS_INDUSTRY]-&gt;(i:Industry {sub_sector:'retail_banking'}),</w:t>
      </w:r>
    </w:p>
    <w:p>
      <w:pPr>
        <w:shd w:fill="F4F4F4" w:val="clear"/>
        <w:spacing w:after="40"/>
        <w:ind w:left="360"/>
      </w:pPr>
      <w:r>
        <w:rPr>
          <w:rFonts w:ascii="Courier New" w:cs="Courier New" w:eastAsia="Courier New" w:hAnsi="Courier New"/>
          <w:color w:val="2D2D2D"/>
          <w:sz w:val="18"/>
          <w:szCs w:val="18"/>
        </w:rPr>
        <w:t xml:space="preserve">      (d)-[:BELONGS_TO]-&gt;(e:Engagement)-[:FOR_CLIENT]-&gt;(c:Client)</w:t>
      </w:r>
    </w:p>
    <w:p>
      <w:pPr>
        <w:shd w:fill="F4F4F4" w:val="clear"/>
        <w:spacing w:after="40"/>
        <w:ind w:left="360"/>
      </w:pPr>
      <w:r>
        <w:rPr>
          <w:rFonts w:ascii="Courier New" w:cs="Courier New" w:eastAsia="Courier New" w:hAnsi="Courier New"/>
          <w:color w:val="2D2D2D"/>
          <w:sz w:val="18"/>
          <w:szCs w:val="18"/>
        </w:rPr>
        <w:t xml:space="preserve">WHERE c.geography IN ['Mexico','Brazil','Colombia','Chile','Peru']</w:t>
      </w:r>
    </w:p>
    <w:p>
      <w:pPr>
        <w:shd w:fill="F4F4F4" w:val="clear"/>
        <w:spacing w:after="40"/>
        <w:ind w:left="360"/>
      </w:pPr>
      <w:r>
        <w:rPr>
          <w:rFonts w:ascii="Courier New" w:cs="Courier New" w:eastAsia="Courier New" w:hAnsi="Courier New"/>
          <w:color w:val="2D2D2D"/>
          <w:sz w:val="18"/>
          <w:szCs w:val="18"/>
        </w:rPr>
        <w:t xml:space="preserve">  AND d.freshness_score &gt; 0.4</w:t>
      </w:r>
    </w:p>
    <w:p>
      <w:pPr>
        <w:shd w:fill="F4F4F4" w:val="clear"/>
        <w:spacing w:after="40"/>
        <w:ind w:left="360"/>
      </w:pPr>
      <w:r>
        <w:rPr>
          <w:rFonts w:ascii="Courier New" w:cs="Courier New" w:eastAsia="Courier New" w:hAnsi="Courier New"/>
          <w:color w:val="2D2D2D"/>
          <w:sz w:val="18"/>
          <w:szCs w:val="18"/>
        </w:rPr>
        <w:t xml:space="preserve">RETURN d.title, m.name, d.created_date, d.freshness_score,</w:t>
      </w:r>
    </w:p>
    <w:p>
      <w:pPr>
        <w:shd w:fill="F4F4F4" w:val="clear"/>
        <w:spacing w:after="40"/>
        <w:ind w:left="360"/>
      </w:pPr>
      <w:r>
        <w:rPr>
          <w:rFonts w:ascii="Courier New" w:cs="Courier New" w:eastAsia="Courier New" w:hAnsi="Courier New"/>
          <w:color w:val="2D2D2D"/>
          <w:sz w:val="18"/>
          <w:szCs w:val="18"/>
        </w:rPr>
        <w:t xml:space="preserve">       c.anonymized_name, collect(DISTINCT m.name) as methods</w:t>
      </w:r>
    </w:p>
    <w:p>
      <w:pPr>
        <w:shd w:fill="F4F4F4" w:val="clear"/>
        <w:spacing w:after="40"/>
        <w:ind w:left="360"/>
      </w:pPr>
      <w:r>
        <w:rPr>
          <w:rFonts w:ascii="Courier New" w:cs="Courier New" w:eastAsia="Courier New" w:hAnsi="Courier New"/>
          <w:color w:val="2D2D2D"/>
          <w:sz w:val="18"/>
          <w:szCs w:val="18"/>
        </w:rPr>
        <w:t xml:space="preserve">ORDER BY d.freshness_score DESC</w:t>
      </w:r>
    </w:p>
    <w:p>
      <w:pPr>
        <w:shd w:fill="F4F4F4" w:val="clear"/>
        <w:spacing w:after="40"/>
        <w:ind w:left="360"/>
      </w:pPr>
      <w:r>
        <w:rPr>
          <w:rFonts w:ascii="Courier New" w:cs="Courier New" w:eastAsia="Courier New" w:hAnsi="Courier New"/>
          <w:color w:val="2D2D2D"/>
          <w:sz w:val="18"/>
          <w:szCs w:val="18"/>
        </w:rPr>
        <w:t xml:space="preserve">LIMIT 15</w:t>
      </w:r>
    </w:p>
    <w:p>
      <w:pPr>
        <w:spacing w:after="200"/>
      </w:pPr>
    </w:p>
    <w:p>
      <w:pPr>
        <w:pStyle w:val="Heading2"/>
        <w:spacing w:after="160" w:before="280"/>
      </w:pPr>
      <w:r>
        <w:t xml:space="preserve">6.3 Vector Index Configuration</w:t>
      </w:r>
    </w:p>
    <w:p>
      <w:pPr>
        <w:spacing w:after="160"/>
      </w:pPr>
      <w:r>
        <w:t xml:space="preserve">Neo4j 5.x supports native vector indexes. Configure two indexes for the PoC:</w:t>
      </w:r>
    </w:p>
    <w:p>
      <w:pPr>
        <w:pStyle w:val="ListParagraph"/>
        <w:numPr>
          <w:ilvl w:val="0"/>
          <w:numId w:val="2"/>
        </w:numPr>
        <w:spacing w:after="80"/>
      </w:pPr>
      <w:r>
        <w:rPr>
          <w:b/>
          <w:bCs/>
        </w:rPr>
        <w:t xml:space="preserve">Slide embeddings: </w:t>
      </w:r>
      <w:r>
        <w:t xml:space="preserve">Each slide’s text content is embedded using text-embedding-3-small (1536 dimensions). Stored as a vector property on Slide nodes. Enables semantic search for slides similar to a query, even when they use different terminology.</w:t>
      </w:r>
    </w:p>
    <w:p>
      <w:pPr>
        <w:pStyle w:val="ListParagraph"/>
        <w:numPr>
          <w:ilvl w:val="0"/>
          <w:numId w:val="2"/>
        </w:numPr>
        <w:spacing w:after="80"/>
      </w:pPr>
      <w:r>
        <w:rPr>
          <w:b/>
          <w:bCs/>
        </w:rPr>
        <w:t xml:space="preserve">Topic embeddings: </w:t>
      </w:r>
      <w:r>
        <w:t xml:space="preserve">Each Topic node’s name + description is embedded. Enables semantic topic matching (e.g., “customer lifetime value” matches “CLV optimization” without explicit synonyms).</w:t>
      </w:r>
    </w:p>
    <w:p>
      <w:pPr>
        <w:shd w:fill="F4F4F4" w:val="clear"/>
        <w:spacing w:after="40"/>
        <w:ind w:left="360"/>
      </w:pPr>
      <w:r>
        <w:rPr>
          <w:rFonts w:ascii="Courier New" w:cs="Courier New" w:eastAsia="Courier New" w:hAnsi="Courier New"/>
          <w:color w:val="2D2D2D"/>
          <w:sz w:val="18"/>
          <w:szCs w:val="18"/>
        </w:rPr>
        <w:t xml:space="preserve">// Neo4j vector index creation</w:t>
      </w:r>
    </w:p>
    <w:p>
      <w:pPr>
        <w:shd w:fill="F4F4F4" w:val="clear"/>
        <w:spacing w:after="40"/>
        <w:ind w:left="360"/>
      </w:pPr>
      <w:r>
        <w:rPr>
          <w:rFonts w:ascii="Courier New" w:cs="Courier New" w:eastAsia="Courier New" w:hAnsi="Courier New"/>
          <w:color w:val="2D2D2D"/>
          <w:sz w:val="18"/>
          <w:szCs w:val="18"/>
        </w:rPr>
        <w:t xml:space="preserve">CREATE VECTOR INDEX slide_embeddings FOR (s:Slide)</w:t>
      </w:r>
    </w:p>
    <w:p>
      <w:pPr>
        <w:shd w:fill="F4F4F4" w:val="clear"/>
        <w:spacing w:after="40"/>
        <w:ind w:left="360"/>
      </w:pPr>
      <w:r>
        <w:rPr>
          <w:rFonts w:ascii="Courier New" w:cs="Courier New" w:eastAsia="Courier New" w:hAnsi="Courier New"/>
          <w:color w:val="2D2D2D"/>
          <w:sz w:val="18"/>
          <w:szCs w:val="18"/>
        </w:rPr>
        <w:t xml:space="preserve">ON s.embedding OPTIONS {indexConfig: {</w:t>
      </w:r>
    </w:p>
    <w:p>
      <w:pPr>
        <w:shd w:fill="F4F4F4" w:val="clear"/>
        <w:spacing w:after="40"/>
        <w:ind w:left="360"/>
      </w:pPr>
      <w:r>
        <w:rPr>
          <w:rFonts w:ascii="Courier New" w:cs="Courier New" w:eastAsia="Courier New" w:hAnsi="Courier New"/>
          <w:color w:val="2D2D2D"/>
          <w:sz w:val="18"/>
          <w:szCs w:val="18"/>
        </w:rPr>
        <w:t xml:space="preserve">  `vector.dimensions`: 1536,</w:t>
      </w:r>
    </w:p>
    <w:p>
      <w:pPr>
        <w:shd w:fill="F4F4F4" w:val="clear"/>
        <w:spacing w:after="40"/>
        <w:ind w:left="360"/>
      </w:pPr>
      <w:r>
        <w:rPr>
          <w:rFonts w:ascii="Courier New" w:cs="Courier New" w:eastAsia="Courier New" w:hAnsi="Courier New"/>
          <w:color w:val="2D2D2D"/>
          <w:sz w:val="18"/>
          <w:szCs w:val="18"/>
        </w:rPr>
        <w:t xml:space="preserve">  `vector.similarity_function`: 'cosine'</w:t>
      </w:r>
    </w:p>
    <w:p>
      <w:pPr>
        <w:shd w:fill="F4F4F4" w:val="clear"/>
        <w:spacing w:after="40"/>
        <w:ind w:left="360"/>
      </w:pPr>
      <w:r>
        <w:rPr>
          <w:rFonts w:ascii="Courier New" w:cs="Courier New" w:eastAsia="Courier New" w:hAnsi="Courier New"/>
          <w:color w:val="2D2D2D"/>
          <w:sz w:val="18"/>
          <w:szCs w:val="18"/>
        </w:rPr>
        <w:t xml:space="preserve">}}</w:t>
      </w:r>
    </w:p>
    <w:p>
      <w:pPr>
        <w:spacing w:after="200"/>
      </w:pPr>
    </w:p>
    <w:p>
      <w:pPr>
        <w:pStyle w:val="Heading1"/>
        <w:spacing w:after="200" w:before="360"/>
      </w:pPr>
      <w:r>
        <w:t xml:space="preserve">7. Additional Hiccups and Mitigations</w:t>
      </w:r>
    </w:p>
    <w:p>
      <w:pPr>
        <w:pStyle w:val="Heading2"/>
        <w:spacing w:after="160" w:before="280"/>
      </w:pPr>
      <w:r>
        <w:t xml:space="preserve">7.1 PPTX Format Nightmares</w:t>
      </w:r>
    </w:p>
    <w:p>
      <w:pPr>
        <w:spacing w:after="160"/>
      </w:pPr>
      <w:r>
        <w:t xml:space="preserve">PowerPoint files in a consulting firm’s archive are notoriously inconsistent. Expect and plan for:</w:t>
      </w:r>
    </w:p>
    <w:p>
      <w:pPr>
        <w:pStyle w:val="ListParagraph"/>
        <w:numPr>
          <w:ilvl w:val="0"/>
          <w:numId w:val="2"/>
        </w:numPr>
        <w:spacing w:after="80"/>
      </w:pPr>
      <w:r>
        <w:rPr>
          <w:b/>
          <w:bCs/>
        </w:rPr>
        <w:t xml:space="preserve">Password-protected files: </w:t>
      </w:r>
      <w:r>
        <w:t xml:space="preserve">~5–10% of deliverables are password-protected. Queue these separately. Check if a master password exists in the KM system. Escalate to original authors for the rest.</w:t>
      </w:r>
    </w:p>
    <w:p>
      <w:pPr>
        <w:pStyle w:val="ListParagraph"/>
        <w:numPr>
          <w:ilvl w:val="0"/>
          <w:numId w:val="2"/>
        </w:numPr>
        <w:spacing w:after="80"/>
      </w:pPr>
      <w:r>
        <w:rPr>
          <w:b/>
          <w:bCs/>
        </w:rPr>
        <w:t xml:space="preserve">Corrupted files: </w:t>
      </w:r>
      <w:r>
        <w:t xml:space="preserve">Some PPTX files in old archives have corrupted ZIP structures. Use a try/except wrapper with python-pptx and fall back to direct ZIP extraction with lxml for partial recovery.</w:t>
      </w:r>
    </w:p>
    <w:p>
      <w:pPr>
        <w:pStyle w:val="ListParagraph"/>
        <w:numPr>
          <w:ilvl w:val="0"/>
          <w:numId w:val="2"/>
        </w:numPr>
        <w:spacing w:after="80"/>
      </w:pPr>
      <w:r>
        <w:rPr>
          <w:b/>
          <w:bCs/>
        </w:rPr>
        <w:t xml:space="preserve">Non-PPTX formats: </w:t>
      </w:r>
      <w:r>
        <w:t xml:space="preserve">The archive will contain .ppt (legacy binary), .ppsx (show files), .potx (templates), and .pdf exports. Convert .ppt to .pptx using LibreOffice headless. Skip .potx. Process PDFs with a separate OCR pipeline.</w:t>
      </w:r>
    </w:p>
    <w:p>
      <w:pPr>
        <w:pStyle w:val="ListParagraph"/>
        <w:numPr>
          <w:ilvl w:val="0"/>
          <w:numId w:val="2"/>
        </w:numPr>
        <w:spacing w:after="80"/>
      </w:pPr>
      <w:r>
        <w:rPr>
          <w:b/>
          <w:bCs/>
        </w:rPr>
        <w:t xml:space="preserve">Embedded OLE objects: </w:t>
      </w:r>
      <w:r>
        <w:t xml:space="preserve">Many OW decks embed Excel models, Word docs, or Visio diagrams. python-pptx cannot read these. Log them as linked assets and process separately if the embedded content has high knowledge value.</w:t>
      </w:r>
    </w:p>
    <w:p>
      <w:pPr>
        <w:pStyle w:val="Heading2"/>
        <w:spacing w:after="160" w:before="280"/>
      </w:pPr>
      <w:r>
        <w:t xml:space="preserve">7.2 Scale and Performance</w:t>
      </w:r>
    </w:p>
    <w:p>
      <w:pPr>
        <w:pStyle w:val="ListParagraph"/>
        <w:numPr>
          <w:ilvl w:val="0"/>
          <w:numId w:val="2"/>
        </w:numPr>
        <w:spacing w:after="80"/>
      </w:pPr>
      <w:r>
        <w:rPr>
          <w:b/>
          <w:bCs/>
        </w:rPr>
        <w:t xml:space="preserve">Batch processing: </w:t>
      </w:r>
      <w:r>
        <w:t xml:space="preserve">At 1,000 files, extraction runs in ~2–4 hours (dominated by Claude API calls). At the strategy’s target of 20,000+ files, this becomes 40–80 hours. Use the Anthropic Batch API for 50% cost reduction and run overnight.</w:t>
      </w:r>
    </w:p>
    <w:p>
      <w:pPr>
        <w:pStyle w:val="ListParagraph"/>
        <w:numPr>
          <w:ilvl w:val="0"/>
          <w:numId w:val="2"/>
        </w:numPr>
        <w:spacing w:after="80"/>
      </w:pPr>
      <w:r>
        <w:rPr>
          <w:b/>
          <w:bCs/>
        </w:rPr>
        <w:t xml:space="preserve">Neo4j sizing: </w:t>
      </w:r>
      <w:r>
        <w:t xml:space="preserve">1,000 deliverables generate roughly 50,000–100,000 nodes and 200,000–500,000 relationships. This is trivially small for Neo4j. Scale concerns only emerge at 100,000+ deliverables with real-time concurrent queries.</w:t>
      </w:r>
    </w:p>
    <w:p>
      <w:pPr>
        <w:pStyle w:val="ListParagraph"/>
        <w:numPr>
          <w:ilvl w:val="0"/>
          <w:numId w:val="2"/>
        </w:numPr>
        <w:spacing w:after="80"/>
      </w:pPr>
      <w:r>
        <w:rPr>
          <w:b/>
          <w:bCs/>
        </w:rPr>
        <w:t xml:space="preserve">Embedding costs: </w:t>
      </w:r>
      <w:r>
        <w:t xml:space="preserve">Embedding all slides (assume 25 slides × 1,000 files = 25,000 embeddings) costs ~$2–5 with text-embedding-3-small. Negligible.</w:t>
      </w:r>
    </w:p>
    <w:p>
      <w:pPr>
        <w:pStyle w:val="Heading2"/>
        <w:spacing w:after="160" w:before="280"/>
      </w:pPr>
      <w:r>
        <w:t xml:space="preserve">7.3 Organizational / Political Hiccups</w:t>
      </w:r>
    </w:p>
    <w:p>
      <w:pPr>
        <w:pStyle w:val="ListParagraph"/>
        <w:numPr>
          <w:ilvl w:val="0"/>
          <w:numId w:val="2"/>
        </w:numPr>
        <w:spacing w:after="80"/>
      </w:pPr>
      <w:r>
        <w:rPr>
          <w:b/>
          <w:bCs/>
        </w:rPr>
        <w:t xml:space="preserve">Partner resistance to knowledge extraction: </w:t>
      </w:r>
      <w:r>
        <w:t xml:space="preserve">The strategy document flags this explicitly. For the PoC, sidestep by using only already-uploaded repository content—no new capture required. Demonstrate value first, then push for broader participation.</w:t>
      </w:r>
    </w:p>
    <w:p>
      <w:pPr>
        <w:pStyle w:val="ListParagraph"/>
        <w:numPr>
          <w:ilvl w:val="0"/>
          <w:numId w:val="2"/>
        </w:numPr>
        <w:spacing w:after="80"/>
      </w:pPr>
      <w:r>
        <w:rPr>
          <w:b/>
          <w:bCs/>
        </w:rPr>
        <w:t xml:space="preserve">IT gatekeeping: </w:t>
      </w:r>
      <w:r>
        <w:t xml:space="preserve">Getting Neo4j deployed in OW’s infrastructure may require security review. For the PoC, use Neo4j AuraDB (cloud-managed) with VPN access or run locally on an approved cloud VM. Migrate to on-prem later.</w:t>
      </w:r>
    </w:p>
    <w:p>
      <w:pPr>
        <w:pStyle w:val="ListParagraph"/>
        <w:numPr>
          <w:ilvl w:val="0"/>
          <w:numId w:val="2"/>
        </w:numPr>
        <w:spacing w:after="80"/>
      </w:pPr>
      <w:r>
        <w:rPr>
          <w:b/>
          <w:bCs/>
        </w:rPr>
        <w:t xml:space="preserve">Legal review of anonymization: </w:t>
      </w:r>
      <w:r>
        <w:t xml:space="preserve">Before loading real client data into the graph, get Legal sign-off on the Tier 3 anonymization approach. For the PoC, consider using only internal/non-client deliverables or fully anonymized synthetic data to demonstrate the architecture without triggering a legal review cycle.</w:t>
      </w:r>
    </w:p>
    <w:p>
      <w:pPr>
        <w:pStyle w:val="Heading1"/>
        <w:spacing w:after="200" w:before="360"/>
      </w:pPr>
      <w:r>
        <w:t xml:space="preserve">8. PoC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AuraDB instance, Python env, Claude API access, sample corpus of 100 PPTX files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Engineering Lead</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Extraction Pipeline v1</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python-pptx extractor + Claude metadata classifier working end-to-end on sample corpus</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Data Engineering Lead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Schema + Loading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schema deployed, Cypher loading scripts, entity resolution pipeline, 100 files loaded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Engineering Lead</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7–8</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GraphRAG Integration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LangChain + Neo4j query layer, vector indexes, 10 sample queries working</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ML Engineer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Tiers + Freshness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classification model, freshness scoring, RBAC prototype, audit logging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 + Security</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11–12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Scale Test + Demo</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Full 1,000-file corpus loaded, demo UI, partner presentation, go/no-go recommendation</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Full Team</w:t>
            </w:r>
          </w:p>
        </w:tc>
      </w:tr>
    </w:tbl>
    <w:p>
      <w:pPr>
        <w:spacing w:after="200"/>
      </w:pPr>
    </w:p>
    <w:p>
      <w:pPr>
        <w:pStyle w:val="Heading1"/>
        <w:spacing w:after="200" w:before="360"/>
      </w:pPr>
      <w:r>
        <w:t xml:space="preserve">9.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5.x (AuraDB for PoC)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vector index support, mature Cypher, RBAC in Enterprise</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PPTX Parsing</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python-pptx + lxml</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Industry standard; handles 95% of PPTX variants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Extraction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 (Batch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structured output quality; batch mode for cost efficiency</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Cost-effective, 1536-dim, excellent for semantic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spaCy + custom OW pipeline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local inference; custom entity types for consulting domain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LangChain / LangGraph</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GraphRAG chain composition; Neo4j integration built-in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Resolution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thefuzz + sentence-transformers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matching + semantic similarity for deduplication</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Pipeline Orchestration</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Prefect or Airflow</w:t>
            </w:r>
          </w:p>
        </w:tc>
        <w:tc>
          <w:tcPr>
            <w:tcW w:type="dxa" w:w="351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Retry logic, monitoring, scheduling for batch runs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UI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 Neo4j Browser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path to a partner-demo-ready interface</w:t>
            </w:r>
          </w:p>
        </w:tc>
      </w:tr>
    </w:tbl>
    <w:p>
      <w:pPr>
        <w:spacing w:after="200"/>
      </w:pPr>
    </w:p>
    <w:p>
      <w:pPr>
        <w:pStyle w:val="Heading1"/>
        <w:spacing w:after="200" w:before="360"/>
      </w:pPr>
      <w:r>
        <w:t xml:space="preserve">10. PoC Success Criteria</w:t>
      </w:r>
    </w:p>
    <w:p>
      <w:pPr>
        <w:spacing w:after="160"/>
      </w:pPr>
      <w:r>
        <w:t xml:space="preserve">The PoC should be evaluated against these concrete criteria before recommending a full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 F1 on metadata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of 100 random files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Entity resolution precision</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&gt;90% (no false merges)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Expert review of person/client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answer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&gt;70% rated “useful” by consultants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test queries evaluated by 5 senior consultants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Tier classification accuracy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&gt;95% (zero Tier 4 leaks)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Legal + compliance review of 200 classifications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&lt;10s for typical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response time on test query set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Partner demo feedback</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&gt;3 partners advocate for scale investment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Post-demo survey + verbal commitments</w:t>
            </w:r>
          </w:p>
        </w:tc>
      </w:tr>
    </w:tbl>
    <w:p>
      <w:pPr>
        <w:spacing w:after="200"/>
      </w:pPr>
    </w:p>
    <w:p>
      <w:pPr>
        <w:pBdr>
          <w:left w:val="single" w:color="2E75B6" w:sz="12" w:space="8"/>
        </w:pBdr>
        <w:shd w:fill="E8F0F8" w:val="clear"/>
        <w:spacing w:after="60" w:before="200"/>
        <w:ind w:left="240"/>
      </w:pPr>
      <w:r>
        <w:rPr>
          <w:b/>
          <w:bCs/>
          <w:color w:val="1B3A5C"/>
        </w:rPr>
        <w:t xml:space="preserve">Next Step: From PoC to Production</w:t>
      </w:r>
    </w:p>
    <w:p>
      <w:pPr>
        <w:pBdr>
          <w:left w:val="single" w:color="2E75B6" w:sz="12" w:space="8"/>
        </w:pBdr>
        <w:shd w:fill="E8F0F8" w:val="clear"/>
        <w:spacing w:after="200"/>
        <w:ind w:left="240"/>
      </w:pPr>
      <w:r>
        <w:rPr>
          <w:i/>
          <w:iCs/>
          <w:sz w:val="20"/>
          <w:szCs w:val="20"/>
        </w:rPr>
        <w:t xml:space="preserve">If the PoC meets success criteria, the recommended next step is scaling to 5,000 files with a dedicated 3-person team (data engineer, ML engineer, KM specialist) over Q3–Q4 2026, targeting full integration with the OW Copilot platform described in Year 2 of the Knowledge Moat strategy.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Knowledge Graph PoC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2026-02-26T02:21:35.784Z</dcterms:created>
  <dcterms:modified xsi:type="dcterms:W3CDTF">2026-02-26T02:21:35.784Z</dcterms:modified>
</cp:coreProperties>
</file>

<file path=docProps/custom.xml><?xml version="1.0" encoding="utf-8"?>
<Properties xmlns="http://schemas.openxmlformats.org/officeDocument/2006/custom-properties" xmlns:vt="http://schemas.openxmlformats.org/officeDocument/2006/docPropsVTypes"/>
</file>