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075"/>
        <w:tblGridChange w:id="0">
          <w:tblGrid>
            <w:gridCol w:w="5925"/>
            <w:gridCol w:w="307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  <w:rtl w:val="0"/>
              </w:rPr>
              <w:t xml:space="preserve">Laboratorio de Computación III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0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775460" cy="57822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Fira Sans" w:cs="Fira Sans" w:eastAsia="Fira Sans" w:hAnsi="Fira Sans"/>
          <w:b w:val="1"/>
          <w:sz w:val="28"/>
          <w:szCs w:val="28"/>
        </w:rPr>
      </w:pPr>
      <w:r w:rsidDel="00000000" w:rsidR="00000000" w:rsidRPr="00000000">
        <w:rPr>
          <w:rFonts w:ascii="Fira Sans" w:cs="Fira Sans" w:eastAsia="Fira Sans" w:hAnsi="Fira Sans"/>
          <w:b w:val="1"/>
          <w:sz w:val="28"/>
          <w:szCs w:val="28"/>
          <w:rtl w:val="0"/>
        </w:rPr>
        <w:t xml:space="preserve">Actividad 1.3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un modelo lógico en papel en el cual se identifiquen todas las entidades y cómo se relacionan entre sí.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un script en lenguaje TSQL que genere la siguiente base de datos con sus respectivas tablas y restricciones.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857500" cy="7715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Blueprint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será un software dedicado a la gestión de proyectos a medida de todo tipo. En él, los administradores de proyectos serán capaces de poder registrar los proyectos, clientes, módulos, tareas, colaboradores y demás elementos necesarios para la gestión de proyectos.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En la primera etapa del desarrollo, el sistema requiere una base de datos en SQL Server Express que permita registrar la información de los clientes y los proyectos. 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El diseño de la base de datos debe garantizar que: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cliente pueda tener un código autonumérico que lo identifique.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cliente deba tener una razón social y un CUIT. Este último no puede repetirse.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cliente deba registrar un tipo de cliente y que el gestor de proyecto pueda definir los distintos tipos de clientes: "Estatal", "Multinacional", "Educativo privado", "Educativo público", "Sin fines de lucro", etc.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cliente pueda registrar un mail, teléfono y celular de contacto.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proyecto registre un nombre y pueda opcionalmente registrar una descripción larga.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proyecto registre un ID que lo identifique.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proyecto debe tener un cliente.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cliente puede tener muchos proyectos.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Dos o más clientes no pueden tener el mismo proyecto.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proyecto debe contener una fecha de inicio y una fecha de fin. Aunque esta última debe poder suministrarse tiempo después de haber registrado el proyecto.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proyecto debe registrar un costo estimado.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color w:val="434343"/>
          <w:u w:val="none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proyecto debe contener una marca que defina si se encuentra vigente o cancelado.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continuación se detalla un extracto de una planilla de cálculo con un ejemplo de la información que se registraría de cada elemento.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Roboto" w:cs="Roboto" w:eastAsia="Roboto" w:hAnsi="Roboto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Link a la planilla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jc w:val="right"/>
      <w:rPr>
        <w:rFonts w:ascii="Roboto" w:cs="Roboto" w:eastAsia="Roboto" w:hAnsi="Roboto"/>
        <w:color w:val="434343"/>
      </w:rPr>
    </w:pPr>
    <w:r w:rsidDel="00000000" w:rsidR="00000000" w:rsidRPr="00000000">
      <w:rPr>
        <w:rtl w:val="0"/>
      </w:rPr>
    </w:r>
  </w:p>
  <w:tbl>
    <w:tblPr>
      <w:tblStyle w:val="Table2"/>
      <w:tblW w:w="1035.0" w:type="dxa"/>
      <w:jc w:val="right"/>
      <w:tblLayout w:type="fixed"/>
      <w:tblLook w:val="0600"/>
    </w:tblPr>
    <w:tblGrid>
      <w:gridCol w:w="690"/>
      <w:gridCol w:w="345"/>
      <w:tblGridChange w:id="0">
        <w:tblGrid>
          <w:gridCol w:w="690"/>
          <w:gridCol w:w="345"/>
        </w:tblGrid>
      </w:tblGridChange>
    </w:tblGrid>
    <w:tr>
      <w:tc>
        <w:tcPr>
          <w:tcBorders>
            <w:top w:color="999999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26">
          <w:pPr>
            <w:rPr>
              <w:rFonts w:ascii="Roboto" w:cs="Roboto" w:eastAsia="Roboto" w:hAnsi="Roboto"/>
              <w:color w:val="434343"/>
            </w:rPr>
          </w:pPr>
          <w:r w:rsidDel="00000000" w:rsidR="00000000" w:rsidRPr="00000000">
            <w:rPr>
              <w:rFonts w:ascii="Roboto" w:cs="Roboto" w:eastAsia="Roboto" w:hAnsi="Roboto"/>
              <w:color w:val="434343"/>
            </w:rPr>
            <w:drawing>
              <wp:inline distB="114300" distT="114300" distL="114300" distR="114300">
                <wp:extent cx="247462" cy="247462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462" cy="2474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9999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27">
          <w:pPr>
            <w:rPr>
              <w:rFonts w:ascii="Roboto" w:cs="Roboto" w:eastAsia="Roboto" w:hAnsi="Roboto"/>
              <w:color w:val="434343"/>
            </w:rPr>
          </w:pPr>
          <w:r w:rsidDel="00000000" w:rsidR="00000000" w:rsidRPr="00000000">
            <w:rPr>
              <w:rFonts w:ascii="Roboto" w:cs="Roboto" w:eastAsia="Roboto" w:hAnsi="Roboto"/>
              <w:color w:val="434343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jc w:val="right"/>
      <w:rPr>
        <w:rFonts w:ascii="Roboto" w:cs="Roboto" w:eastAsia="Roboto" w:hAnsi="Roboto"/>
        <w:color w:val="434343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1O6whi5q0f76Znfx1HXwxqk_rSFyVprjFsq1PcJDb18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