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280"/>
        <w:jc w:val="both"/>
        <w:rPr>
          <w:lang w:val="en-US"/>
        </w:rPr>
      </w:pPr>
      <w:r>
        <w:rPr>
          <w:rStyle w:val="S1"/>
          <w:lang w:val="en-US"/>
        </w:rPr>
        <w:t xml:space="preserve">St. Petersburg Electrotechnical University is one of the world's largest educational and research centers with strong traditions. It was founded in 1886 as the Engineering College of the Post and Telegraph of Russia. In 1891, it was reorganized into the Imperial Electrotechnical Institute, which became the first institution of higher education in Europe for the training of engineers and researchers. The first rector of the institute was the inventor of the radio, professor of physics Alexander Popov. Many other outstanding Russian scientists worked at the institute. </w:t>
      </w:r>
    </w:p>
    <w:p>
      <w:pPr>
        <w:pStyle w:val="TextBody"/>
        <w:spacing w:before="0" w:after="280"/>
        <w:jc w:val="both"/>
        <w:rPr>
          <w:lang w:val="en-US"/>
        </w:rPr>
      </w:pPr>
      <w:r>
        <w:rPr>
          <w:rStyle w:val="S1"/>
          <w:lang w:val="en-US"/>
        </w:rPr>
        <w:t xml:space="preserve">Today St. Petersburg Electrotechnical University "LETI" is one of the leading educational, scientific and cultural centers, known both in Russia and abroad. The university employs over 1000 highly qualified teachers and professors, 70% of whom have a doctorate. rating and 30 winners of Russian and international prizes. More than 30 academicians and members of the Russian Academy of Sciences worked at LETU at different times. Every year more than 8000 students and 400 graduate students attend lectures and classes at seven faculties of the university. The university is also expanding international cooperation in the academic, scientific and cultural spheres, trying to intensify innovative activities. </w:t>
      </w:r>
    </w:p>
    <w:p>
      <w:pPr>
        <w:pStyle w:val="TextBody"/>
        <w:spacing w:before="0" w:after="280"/>
        <w:jc w:val="both"/>
        <w:rPr>
          <w:lang w:val="en-US"/>
        </w:rPr>
      </w:pPr>
      <w:r>
        <w:rPr>
          <w:rStyle w:val="S1"/>
          <w:lang w:val="en-US"/>
        </w:rPr>
        <w:t xml:space="preserve">The university has cooperation agreements with more than 30 universities in the UK, USA, Sweden, Germany and other countries, which include the exchange of students and teachers, joint development of educational programs, joint implementation of research projects. Currently, more than 500 students from Europe, Asia and Africa study at the preparatory and full-time departments of the university. Every year ETU students and postgraduates go to study and research in the USA, Finland, Sweden and Germany. ETU research results are being implemented in companies and research centers in the USA, Finland, China, and France. The university cooperates with companies such as Motorola, Intel, Microsoft, Parsytec, etc. </w:t>
      </w:r>
    </w:p>
    <w:p>
      <w:pPr>
        <w:pStyle w:val="TextBody"/>
        <w:spacing w:before="0" w:after="280"/>
        <w:jc w:val="both"/>
        <w:rPr>
          <w:lang w:val="en-US"/>
        </w:rPr>
      </w:pPr>
      <w:r>
        <w:rPr>
          <w:rStyle w:val="S1"/>
          <w:lang w:val="en-US"/>
        </w:rPr>
        <w:t xml:space="preserve">ETU has one of the oldest and largest university libraries in St. Petersburg. The library was based on the gifts of Alexander III, personal libraries of P. Voinarovsky, N. Bulygin, A. Popov and others. To date, the library fund includes 1 200 000 volumes of books and more than 27 000 titles of magazines. More than 400,000 readers visit the library annually. ETU library participates in national and international programs and projects. </w:t>
      </w:r>
    </w:p>
    <w:p>
      <w:pPr>
        <w:pStyle w:val="TextBody"/>
        <w:spacing w:before="0" w:after="280"/>
        <w:jc w:val="both"/>
        <w:rPr>
          <w:lang w:val="en-US"/>
        </w:rPr>
      </w:pPr>
      <w:r>
        <w:rPr>
          <w:rStyle w:val="S1"/>
          <w:lang w:val="en-US"/>
        </w:rPr>
        <w:t xml:space="preserve">I study at the Faculty of Computational Technology and Informatics. It provides excellent knowledge and skills in Computer Science and Information Technology. The emphasis in the educational process is on informatics, software and information systems. Faculty graduates work in industry, software companies, administrative structures, financial and banking institutions, as well as other enterprises in Russia and abroad. Under special agreements, students of the faculty are trained in such companies as Motorola, Microsoft Corporation, Parsytec. The undergraduate programs offered by the faculty include: Computer Security, Systems Analysis and Control, Management and Control of Information Systems and Resources, Applied Mathematics and Computer Science. </w:t>
      </w:r>
    </w:p>
    <w:p>
      <w:pPr>
        <w:pStyle w:val="TextBody"/>
        <w:spacing w:before="0" w:after="280"/>
        <w:jc w:val="both"/>
        <w:rPr>
          <w:lang w:val="en-US"/>
        </w:rPr>
      </w:pPr>
      <w:r>
        <w:rPr>
          <w:rStyle w:val="S1"/>
          <w:lang w:val="en-US"/>
        </w:rPr>
        <w:t xml:space="preserve">My department is Department of Software and Computer Applications. The initiator of the creation of the department was the then vice-rector of the institute for educational work Vladimir Ivanovich Timokhin. He also became the first head of the department and successfully headed it for 15 years. </w:t>
      </w:r>
    </w:p>
    <w:p>
      <w:pPr>
        <w:pStyle w:val="TextBody"/>
        <w:spacing w:before="0" w:after="280"/>
        <w:jc w:val="both"/>
        <w:rPr>
          <w:lang w:val="en-US"/>
        </w:rPr>
      </w:pPr>
      <w:r>
        <w:rPr>
          <w:rStyle w:val="S1"/>
          <w:lang w:val="en-US"/>
        </w:rPr>
        <w:t xml:space="preserve">Initially, the department had two main tasks: training engineers in the specialty "Applied Mathematics" and teaching programming to students of all faculties of LETI and students of faculties of advanced training of teachers and engineers. An important milestone in the educational and methodological work of the department was its active participation in the preparation of the opening in 1988 of a new specialty "Software for computer technology and automated systems", within the framework of which programmers were to receive training. On the basis of the department, the Russian Scientific and Methodological Council was created for this specialty. </w:t>
      </w:r>
    </w:p>
    <w:p>
      <w:pPr>
        <w:pStyle w:val="TextBody"/>
        <w:spacing w:before="0" w:after="280"/>
        <w:jc w:val="both"/>
        <w:rPr>
          <w:lang w:val="en-US"/>
        </w:rPr>
      </w:pPr>
      <w:r>
        <w:rPr>
          <w:rStyle w:val="S1"/>
          <w:lang w:val="en-US"/>
        </w:rPr>
        <w:t xml:space="preserve">In 1994, the first graduation of engineers took place separately in the specialties "Applied Mathematics" and "Software for Computing Machinery and Automated Systems", and in 1996-1999. the department moved to training personnel on a two-level scheme - bachelors and masters in the areas of "Applied Mathematics and Informatics" and "Informatics and Computer Engineering". </w:t>
      </w:r>
    </w:p>
    <w:p>
      <w:pPr>
        <w:pStyle w:val="TextBody"/>
        <w:spacing w:before="0" w:after="280"/>
        <w:jc w:val="both"/>
        <w:rPr>
          <w:lang w:val="en-US"/>
        </w:rPr>
      </w:pPr>
      <w:r>
        <w:rPr>
          <w:rStyle w:val="S1"/>
          <w:lang w:val="en-US"/>
        </w:rPr>
        <w:t xml:space="preserve">Since 2011, the department has been admitting in the direction of "Software Engineering", which is new for Russian higher professional education. Software engineering, as a scientific and technical activity and educational direction, is based on mathematics, computer science and information technology (computing), is engaged in the development of systematic models and reliable methods for the production of high-quality software. </w:t>
      </w:r>
    </w:p>
    <w:p>
      <w:pPr>
        <w:pStyle w:val="TextBody"/>
        <w:spacing w:before="0" w:after="280"/>
        <w:jc w:val="both"/>
        <w:rPr>
          <w:lang w:val="en-US"/>
        </w:rPr>
      </w:pPr>
      <w:r>
        <w:rPr>
          <w:rStyle w:val="S1"/>
          <w:lang w:val="en-US"/>
        </w:rPr>
        <w:t xml:space="preserve">The basis for the successful educational activities of the department has always been its research activities. The scientific directions of the department include research in the field of creating artificial intelligence systems, research related to image processing and recognition, research methods of processing, analysis and identification of signals from dynamic objects, development of automation systems for the design of system and applied software. </w:t>
      </w:r>
    </w:p>
    <w:p>
      <w:pPr>
        <w:pStyle w:val="TextBody"/>
        <w:spacing w:before="0" w:after="280"/>
        <w:jc w:val="both"/>
        <w:rPr>
          <w:lang w:val="en-US"/>
        </w:rPr>
      </w:pPr>
      <w:r>
        <w:rPr>
          <w:rStyle w:val="S1"/>
          <w:lang w:val="en-US"/>
        </w:rPr>
        <w:t xml:space="preserve">The department, since 1999, has been actively involved in international educational programs. Our students undergo internships at universities in Finland and Germany. In 2005, the department began training bachelors in the direction of "Informatics and Computer Engineering" for the Socialist Republic of Vietnam. For 10 years of cooperation, about a thousand students have been trained. At the origins of this program was Sergey Alekseevich Ivanovsky, who headed the department from 2010 to 2015. </w:t>
      </w:r>
    </w:p>
    <w:p>
      <w:pPr>
        <w:pStyle w:val="TextBody"/>
        <w:spacing w:before="0" w:after="280"/>
        <w:jc w:val="both"/>
        <w:rPr>
          <w:rStyle w:val="S1"/>
          <w:lang w:val="en-US"/>
        </w:rPr>
      </w:pPr>
      <w:r>
        <w:rPr>
          <w:rStyle w:val="S1"/>
          <w:lang w:val="en-US"/>
        </w:rPr>
        <w:t>Since 2016, Kirill Vladimirovich Krinkin has been the head of the Department of Computer Science. The department graduates bachelors and masters in two directions - "Applied Mathematics and Informatics" and "Software Engineering". The department prepares postgraduate students. By the efforts of the teachers and engineers of the department, research and contractual work is carried out.</w:t>
      </w:r>
    </w:p>
    <w:sectPr>
      <w:type w:val="nextPage"/>
      <w:pgSz w:w="11906" w:h="16838"/>
      <w:pgMar w:left="540" w:right="926"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semiHidden/>
    <w:qFormat/>
    <w:rPr/>
  </w:style>
  <w:style w:type="character" w:styleId="S1" w:customStyle="1">
    <w:name w:val="s1"/>
    <w:basedOn w:val="DefaultParagraphFont"/>
    <w:qFormat/>
    <w:rsid w:val="008a36d6"/>
    <w:rPr/>
  </w:style>
  <w:style w:type="character" w:styleId="S2" w:customStyle="1">
    <w:name w:val="s2"/>
    <w:basedOn w:val="DefaultParagraphFont"/>
    <w:qFormat/>
    <w:rsid w:val="008a36d6"/>
    <w:rPr/>
  </w:style>
  <w:style w:type="character" w:styleId="S3" w:customStyle="1">
    <w:name w:val="s3"/>
    <w:basedOn w:val="DefaultParagraphFont"/>
    <w:qFormat/>
    <w:rsid w:val="008a36d6"/>
    <w:rPr/>
  </w:style>
  <w:style w:type="character" w:styleId="S4" w:customStyle="1">
    <w:name w:val="s4"/>
    <w:basedOn w:val="DefaultParagraphFont"/>
    <w:qFormat/>
    <w:rsid w:val="008a36d6"/>
    <w:rPr/>
  </w:style>
  <w:style w:type="character" w:styleId="S5" w:customStyle="1">
    <w:name w:val="s5"/>
    <w:basedOn w:val="DefaultParagraphFont"/>
    <w:qFormat/>
    <w:rsid w:val="008a36d6"/>
    <w:rPr/>
  </w:style>
  <w:style w:type="character" w:styleId="S6" w:customStyle="1">
    <w:name w:val="s6"/>
    <w:basedOn w:val="DefaultParagraphFont"/>
    <w:qFormat/>
    <w:rsid w:val="008a36d6"/>
    <w:rPr/>
  </w:style>
  <w:style w:type="character" w:styleId="S7" w:customStyle="1">
    <w:name w:val="s7"/>
    <w:basedOn w:val="DefaultParagraphFont"/>
    <w:qFormat/>
    <w:rsid w:val="008a36d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2" w:customStyle="1">
    <w:name w:val="p2"/>
    <w:basedOn w:val="Normal"/>
    <w:qFormat/>
    <w:rsid w:val="008a36d6"/>
    <w:pPr>
      <w:spacing w:beforeAutospacing="1" w:afterAutospacing="1"/>
    </w:pPr>
    <w:rPr/>
  </w:style>
  <w:style w:type="paragraph" w:styleId="P3" w:customStyle="1">
    <w:name w:val="p3"/>
    <w:basedOn w:val="Normal"/>
    <w:qFormat/>
    <w:rsid w:val="008a36d6"/>
    <w:pPr>
      <w:spacing w:beforeAutospacing="1" w:afterAutospacing="1"/>
    </w:pPr>
    <w:rPr/>
  </w:style>
  <w:style w:type="paragraph" w:styleId="P4" w:customStyle="1">
    <w:name w:val="p4"/>
    <w:basedOn w:val="Normal"/>
    <w:qFormat/>
    <w:rsid w:val="008a36d6"/>
    <w:pPr>
      <w:spacing w:beforeAutospacing="1" w:afterAutospacing="1"/>
    </w:pPr>
    <w:rPr/>
  </w:style>
  <w:style w:type="paragraph" w:styleId="P5" w:customStyle="1">
    <w:name w:val="p5"/>
    <w:basedOn w:val="Normal"/>
    <w:qFormat/>
    <w:rsid w:val="008a36d6"/>
    <w:pPr>
      <w:spacing w:beforeAutospacing="1" w:afterAutospacing="1"/>
    </w:pPr>
    <w:rPr/>
  </w:style>
  <w:style w:type="paragraph" w:styleId="P6" w:customStyle="1">
    <w:name w:val="p6"/>
    <w:basedOn w:val="Normal"/>
    <w:qFormat/>
    <w:rsid w:val="008a36d6"/>
    <w:pPr>
      <w:spacing w:beforeAutospacing="1" w:afterAutospacing="1"/>
    </w:pPr>
    <w:rPr/>
  </w:style>
  <w:style w:type="paragraph" w:styleId="P7" w:customStyle="1">
    <w:name w:val="p7"/>
    <w:basedOn w:val="Normal"/>
    <w:qFormat/>
    <w:rsid w:val="008a36d6"/>
    <w:pPr>
      <w:spacing w:beforeAutospacing="1" w:afterAutospacing="1"/>
    </w:pPr>
    <w:rPr/>
  </w:style>
  <w:style w:type="paragraph" w:styleId="P8" w:customStyle="1">
    <w:name w:val="p8"/>
    <w:basedOn w:val="Normal"/>
    <w:qFormat/>
    <w:rsid w:val="008a36d6"/>
    <w:pPr>
      <w:spacing w:beforeAutospacing="1" w:afterAutospacing="1"/>
    </w:pPr>
    <w:rPr/>
  </w:style>
  <w:style w:type="paragraph" w:styleId="P9" w:customStyle="1">
    <w:name w:val="p9"/>
    <w:basedOn w:val="Normal"/>
    <w:qFormat/>
    <w:rsid w:val="008a36d6"/>
    <w:pPr>
      <w:spacing w:beforeAutospacing="1" w:afterAutospacing="1"/>
    </w:pPr>
    <w:rPr/>
  </w:style>
  <w:style w:type="paragraph" w:styleId="P10" w:customStyle="1">
    <w:name w:val="p10"/>
    <w:basedOn w:val="Normal"/>
    <w:qFormat/>
    <w:rsid w:val="008a36d6"/>
    <w:pPr>
      <w:spacing w:beforeAutospacing="1" w:afterAutospacing="1"/>
    </w:pPr>
    <w:rPr/>
  </w:style>
  <w:style w:type="paragraph" w:styleId="P11" w:customStyle="1">
    <w:name w:val="p11"/>
    <w:basedOn w:val="Normal"/>
    <w:qFormat/>
    <w:rsid w:val="008a36d6"/>
    <w:pPr>
      <w:spacing w:beforeAutospacing="1" w:afterAutospacing="1"/>
    </w:pPr>
    <w:rPr/>
  </w:style>
  <w:style w:type="paragraph" w:styleId="P12" w:customStyle="1">
    <w:name w:val="p12"/>
    <w:basedOn w:val="Normal"/>
    <w:qFormat/>
    <w:rsid w:val="008a36d6"/>
    <w:pPr>
      <w:spacing w:beforeAutospacing="1" w:afterAutospacing="1"/>
    </w:pPr>
    <w:rPr/>
  </w:style>
  <w:style w:type="paragraph" w:styleId="P13" w:customStyle="1">
    <w:name w:val="p13"/>
    <w:basedOn w:val="Normal"/>
    <w:qFormat/>
    <w:rsid w:val="008a36d6"/>
    <w:pPr>
      <w:spacing w:beforeAutospacing="1" w:afterAutospacing="1"/>
    </w:pPr>
    <w:rPr/>
  </w:style>
  <w:style w:type="paragraph" w:styleId="P14" w:customStyle="1">
    <w:name w:val="p14"/>
    <w:basedOn w:val="Normal"/>
    <w:qFormat/>
    <w:rsid w:val="008a36d6"/>
    <w:pPr>
      <w:spacing w:beforeAutospacing="1" w:afterAutospacing="1"/>
    </w:pPr>
    <w:rPr/>
  </w:style>
  <w:style w:type="paragraph" w:styleId="P15" w:customStyle="1">
    <w:name w:val="p15"/>
    <w:basedOn w:val="Normal"/>
    <w:qFormat/>
    <w:rsid w:val="008a36d6"/>
    <w:pPr>
      <w:spacing w:beforeAutospacing="1" w:afterAutospacing="1"/>
    </w:pPr>
    <w:rPr/>
  </w:style>
  <w:style w:type="paragraph" w:styleId="P16" w:customStyle="1">
    <w:name w:val="p16"/>
    <w:basedOn w:val="Normal"/>
    <w:qFormat/>
    <w:rsid w:val="008a36d6"/>
    <w:pPr>
      <w:spacing w:beforeAutospacing="1" w:afterAutospacing="1"/>
    </w:pPr>
    <w:rPr/>
  </w:style>
  <w:style w:type="paragraph" w:styleId="P17" w:customStyle="1">
    <w:name w:val="p17"/>
    <w:basedOn w:val="Normal"/>
    <w:qFormat/>
    <w:rsid w:val="008a36d6"/>
    <w:pPr>
      <w:spacing w:beforeAutospacing="1" w:afterAutospacing="1"/>
    </w:pPr>
    <w:rPr/>
  </w:style>
  <w:style w:type="paragraph" w:styleId="P18" w:customStyle="1">
    <w:name w:val="p18"/>
    <w:basedOn w:val="Normal"/>
    <w:qFormat/>
    <w:rsid w:val="008a36d6"/>
    <w:pPr>
      <w:spacing w:beforeAutospacing="1" w:afterAutospacing="1"/>
    </w:pPr>
    <w:rPr/>
  </w:style>
  <w:style w:type="numbering" w:styleId="NoList" w:default="1">
    <w:name w:val="No List"/>
    <w:semiHidden/>
    <w:qFormat/>
  </w:style>
  <w:style w:type="table" w:default="1" w:styleId="a1">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LibreOffice/6.4.6.2$Linux_X86_64 LibreOffice_project/40$Build-2</Application>
  <Pages>2</Pages>
  <Words>914</Words>
  <Characters>5379</Characters>
  <CharactersWithSpaces>6292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2020-11-15T11:56:00Z</dcterms:created>
  <dc:creator>Julia2</dc:creator>
  <dc:description/>
  <dc:language>en-GB</dc:language>
  <cp:lastModifiedBy/>
  <dcterms:modified xsi:type="dcterms:W3CDTF">2021-03-21T13:32:31Z</dcterms:modified>
  <cp:revision>4</cp:revision>
  <dc:subject/>
  <dc:title>SAINT PETERSBURG ELECTROTECHNICAL UNIVERSITY (LETI)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