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|13r|gandole tutte come false e transitorie, a quelle vere e sempiterne rivolgersi. Ma tempo è omai che, posto fine a’ proemii, diamo, col nome e favore di Colui il quale, essendo Egli la stessa verità, ama e difende tutti coloro che il vero dicono, felice cominciamento alla 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Storia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