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hd w:fill="1F3864" w:val="clear"/>
        <w:spacing w:after="0" w:before="0"/>
        <w:jc w:val="center"/>
      </w:pPr>
      <w:r>
        <w:rPr>
          <w:rFonts w:ascii="Arial" w:cs="Arial" w:eastAsia="Arial" w:hAnsi="Arial"/>
          <w:sz w:val="8"/>
          <w:szCs w:val="8"/>
        </w:rPr>
        <w:t xml:space="preserve"> </w:t>
      </w:r>
    </w:p>
    <w:p>
      <w:pPr>
        <w:shd w:fill="1F3864" w:val="clear"/>
        <w:spacing w:after="0" w:before="0"/>
        <w:ind w:left="0" w:right="0"/>
        <w:jc w:val="center"/>
      </w:pPr>
      <w:r>
        <w:rPr>
          <w:rFonts w:ascii="Arial" w:cs="Arial" w:eastAsia="Arial" w:hAnsi="Arial"/>
          <w:b/>
          <w:bCs/>
          <w:color w:val="BF8F00"/>
          <w:sz w:val="28"/>
          <w:szCs w:val="28"/>
        </w:rPr>
        <w:t xml:space="preserve">OPERATIONAL INTELLIGENCE REPORT</w:t>
      </w:r>
    </w:p>
    <w:p>
      <w:pPr>
        <w:shd w:fill="1F3864" w:val="clear"/>
        <w:spacing w:after="40" w:before="40"/>
        <w:jc w:val="center"/>
      </w:pPr>
      <w:r>
        <w:rPr>
          <w:rFonts w:ascii="Arial" w:cs="Arial" w:eastAsia="Arial" w:hAnsi="Arial"/>
          <w:b/>
          <w:bCs/>
          <w:color w:val="FFFFFF"/>
          <w:sz w:val="44"/>
          <w:szCs w:val="44"/>
        </w:rPr>
        <w:t xml:space="preserve">NIGERIA POST-HARVEST AGRICULTURAL LOSS</w:t>
      </w:r>
    </w:p>
    <w:p>
      <w:pPr>
        <w:shd w:fill="1F3864" w:val="clear"/>
        <w:spacing w:after="0" w:before="0"/>
        <w:jc w:val="center"/>
      </w:pPr>
      <w:r>
        <w:rPr>
          <w:rFonts w:ascii="Arial" w:cs="Arial" w:eastAsia="Arial" w:hAnsi="Arial"/>
          <w:b/>
          <w:bCs/>
          <w:color w:val="FFFFFF"/>
          <w:sz w:val="44"/>
          <w:szCs w:val="44"/>
        </w:rPr>
        <w:t xml:space="preserve">ANALYSIS &amp; STRATEGIC INTELLIGENCE PLATFORM</w:t>
      </w:r>
    </w:p>
    <w:p>
      <w:pPr>
        <w:shd w:fill="1F3864" w:val="clear"/>
        <w:spacing w:after="80" w:before="80"/>
        <w:jc w:val="center"/>
      </w:pPr>
      <w:r>
        <w:rPr>
          <w:rFonts w:ascii="Arial" w:cs="Arial" w:eastAsia="Arial" w:hAnsi="Arial"/>
          <w:color w:val="BF8F00"/>
          <w:sz w:val="20"/>
          <w:szCs w:val="20"/>
        </w:rPr>
        <w:t xml:space="preserve">──────────────────────────────</w:t>
      </w:r>
    </w:p>
    <w:p>
      <w:pPr>
        <w:shd w:fill="1F3864" w:val="clear"/>
        <w:spacing w:after="20" w:before="20"/>
        <w:jc w:val="center"/>
      </w:pPr>
      <w:r>
        <w:rPr>
          <w:rFonts w:ascii="Arial" w:cs="Arial" w:eastAsia="Arial" w:hAnsi="Arial"/>
          <w:i/>
          <w:iCs/>
          <w:color w:val="BDD7EE"/>
          <w:sz w:val="22"/>
          <w:szCs w:val="22"/>
        </w:rPr>
        <w:t xml:space="preserve">Reducing Spoilage • Protecting Revenue • Empowering Youth Entrepreneurs</w:t>
      </w:r>
    </w:p>
    <w:p>
      <w:pPr>
        <w:shd w:fill="1F3864" w:val="clear"/>
        <w:spacing w:after="0" w:before="80"/>
        <w:jc w:val="center"/>
      </w:pPr>
      <w:r>
        <w:rPr>
          <w:rFonts w:ascii="Arial" w:cs="Arial" w:eastAsia="Arial" w:hAnsi="Arial"/>
          <w:sz w:val="8"/>
          <w:szCs w:val="8"/>
        </w:rPr>
        <w:t xml:space="preserve"> </w:t>
      </w:r>
    </w:p>
    <w:p>
      <w:pPr>
        <w:spacing w:after="160" w:before="0"/>
      </w:pPr>
      <w:r>
        <w:t xml:space="preserve"/>
      </w:r>
    </w:p>
    <w:p>
      <w:pPr>
        <w:jc w:val="center"/>
      </w:pPr>
      <w:r>
        <w:rPr>
          <w:rFonts w:ascii="Arial" w:cs="Arial" w:eastAsia="Arial" w:hAnsi="Arial"/>
          <w:b/>
          <w:bCs/>
          <w:color w:val="1F3864"/>
          <w:sz w:val="20"/>
          <w:szCs w:val="20"/>
        </w:rPr>
        <w:t xml:space="preserve">Dataset Coverage: 5,000 Farmers • 6 Geopolitical Zones • 6 Crop Types • 2023–2024</w:t>
      </w:r>
    </w:p>
    <w:p>
      <w:pPr>
        <w:spacing w:after="240" w:before="60"/>
        <w:jc w:val="center"/>
      </w:pPr>
      <w:r>
        <w:rPr>
          <w:rFonts w:ascii="Arial" w:cs="Arial" w:eastAsia="Arial" w:hAnsi="Arial"/>
          <w:i/>
          <w:iCs/>
          <w:color w:val="666666"/>
          <w:sz w:val="18"/>
          <w:szCs w:val="18"/>
        </w:rPr>
        <w:t xml:space="preserve">Operational Analytics Division • Agricultural Intelligence Unit</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1: EXECUTIVE SUMMARY</w:t>
      </w:r>
    </w:p>
    <w:p>
      <w:pPr>
        <w:spacing w:after="80" w:before="0"/>
      </w:pPr>
      <w:r>
        <w:t xml:space="preserve"/>
      </w:r>
    </w:p>
    <w:p>
      <w:pPr>
        <w:pBdr>
          <w:left w:val="single" w:color="2E75B6" w:sz="12" w:space="4"/>
        </w:pBdr>
        <w:shd w:fill="BDD7EE" w:val="clear"/>
        <w:spacing w:after="120" w:before="120"/>
        <w:ind w:left="360" w:right="360"/>
      </w:pPr>
      <w:r>
        <w:rPr>
          <w:rFonts w:ascii="Arial" w:cs="Arial" w:eastAsia="Arial" w:hAnsi="Arial"/>
          <w:b w:val="false"/>
          <w:bCs w:val="false"/>
          <w:i/>
          <w:iCs/>
          <w:color w:val="1F3864"/>
          <w:sz w:val="19"/>
          <w:szCs w:val="19"/>
        </w:rPr>
        <w:t xml:space="preserve">Nigeria loses an estimated 40–50% of agricultural produce annually to post-harvest challenges. This intelligence report, derived from analysis of 5,000 farming operations across all six geopolitical zones, reveals a systemic post-harvest loss (PHL) rate of 19.25% — nearly double the internationally targeted threshold of 10%. The total revenue impact stands at ₦41.4 million NGN, representing a crisis demanding structured, technology-enabled, and training-driven intervention.</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This report serves as an executive decision-support instrument and operational intelligence platform. It synthesizes data spanning crop vulnerability, regional risk profiles, logistics inefficiencies, storage performance, technology adoption gaps, and the measurable impact of youth engagement and training programs. Every insight herein is grounded in empirical analysis of the dataset, cross-validated across multiple analytical lenses.</w:t>
      </w:r>
    </w:p>
    <w:p>
      <w:pPr>
        <w:spacing w:after="80" w:before="0"/>
      </w:pPr>
      <w:r>
        <w:t xml:space="preserve"/>
      </w:r>
    </w:p>
    <w:p>
      <w:pPr>
        <w:pStyle w:val="Heading3"/>
        <w:spacing w:after="80" w:before="180"/>
      </w:pPr>
      <w:r>
        <w:rPr>
          <w:rFonts w:ascii="Arial" w:cs="Arial" w:eastAsia="Arial" w:hAnsi="Arial"/>
          <w:b/>
          <w:bCs/>
          <w:color w:val="2E75B6"/>
          <w:sz w:val="21"/>
          <w:szCs w:val="21"/>
        </w:rPr>
        <w:t xml:space="preserve">Critical Headline Findings</w:t>
      </w:r>
    </w:p>
    <w:p>
      <w:pPr>
        <w:pStyle w:val="ListParagraph"/>
        <w:numPr>
          <w:ilvl w:val="0"/>
          <w:numId w:val="2"/>
        </w:numPr>
        <w:spacing w:after="60" w:before="40"/>
      </w:pPr>
      <w:r>
        <w:rPr>
          <w:rFonts w:ascii="Arial" w:cs="Arial" w:eastAsia="Arial" w:hAnsi="Arial"/>
          <w:color w:val="333333"/>
          <w:sz w:val="20"/>
          <w:szCs w:val="20"/>
        </w:rPr>
        <w:t xml:space="preserve">1 in 5 kilograms harvested is lost to post-harvest spoilage, at an average PHL rate of 19.25%</w:t>
      </w:r>
    </w:p>
    <w:p>
      <w:pPr>
        <w:pStyle w:val="ListParagraph"/>
        <w:numPr>
          <w:ilvl w:val="0"/>
          <w:numId w:val="2"/>
        </w:numPr>
        <w:spacing w:after="60" w:before="40"/>
      </w:pPr>
      <w:r>
        <w:rPr>
          <w:rFonts w:ascii="Arial" w:cs="Arial" w:eastAsia="Arial" w:hAnsi="Arial"/>
          <w:color w:val="333333"/>
          <w:sz w:val="20"/>
          <w:szCs w:val="20"/>
        </w:rPr>
        <w:t xml:space="preserve">Total documented revenue loss across 5,000 operations amounts to ₦41,415,461 NGN</w:t>
      </w:r>
    </w:p>
    <w:p>
      <w:pPr>
        <w:pStyle w:val="ListParagraph"/>
        <w:numPr>
          <w:ilvl w:val="0"/>
          <w:numId w:val="2"/>
        </w:numPr>
        <w:spacing w:after="60" w:before="40"/>
      </w:pPr>
      <w:r>
        <w:rPr>
          <w:rFonts w:ascii="Arial" w:cs="Arial" w:eastAsia="Arial" w:hAnsi="Arial"/>
          <w:color w:val="333333"/>
          <w:sz w:val="20"/>
          <w:szCs w:val="20"/>
        </w:rPr>
        <w:t xml:space="preserve">North East and South West zones demonstrate the highest spoilage vulnerability at 19.57% and 19.39% PHL respectively</w:t>
      </w:r>
    </w:p>
    <w:p>
      <w:pPr>
        <w:pStyle w:val="ListParagraph"/>
        <w:numPr>
          <w:ilvl w:val="0"/>
          <w:numId w:val="2"/>
        </w:numPr>
        <w:spacing w:after="60" w:before="40"/>
      </w:pPr>
      <w:r>
        <w:rPr>
          <w:rFonts w:ascii="Arial" w:cs="Arial" w:eastAsia="Arial" w:hAnsi="Arial"/>
          <w:color w:val="333333"/>
          <w:sz w:val="20"/>
          <w:szCs w:val="20"/>
        </w:rPr>
        <w:t xml:space="preserve">Rice carries the highest PHL rate (19.58%) while Pepper drives the greatest absolute revenue loss (₤12.9M)</w:t>
      </w:r>
    </w:p>
    <w:p>
      <w:pPr>
        <w:pStyle w:val="ListParagraph"/>
        <w:numPr>
          <w:ilvl w:val="0"/>
          <w:numId w:val="2"/>
        </w:numPr>
        <w:spacing w:after="60" w:before="40"/>
      </w:pPr>
      <w:r>
        <w:rPr>
          <w:rFonts w:ascii="Arial" w:cs="Arial" w:eastAsia="Arial" w:hAnsi="Arial"/>
          <w:color w:val="333333"/>
          <w:sz w:val="20"/>
          <w:szCs w:val="20"/>
        </w:rPr>
        <w:t xml:space="preserve">Technology adoption remains at only 39.7% — well below the operational effectiveness threshold</w:t>
      </w:r>
    </w:p>
    <w:p>
      <w:pPr>
        <w:pStyle w:val="ListParagraph"/>
        <w:numPr>
          <w:ilvl w:val="0"/>
          <w:numId w:val="2"/>
        </w:numPr>
        <w:spacing w:after="60" w:before="40"/>
      </w:pPr>
      <w:r>
        <w:rPr>
          <w:rFonts w:ascii="Arial" w:cs="Arial" w:eastAsia="Arial" w:hAnsi="Arial"/>
          <w:color w:val="333333"/>
          <w:sz w:val="20"/>
          <w:szCs w:val="20"/>
        </w:rPr>
        <w:t xml:space="preserve">Only 28.9% of farmers received formal post-harvest training, a critically insufficient coverage rate</w:t>
      </w:r>
    </w:p>
    <w:p>
      <w:pPr>
        <w:pStyle w:val="ListParagraph"/>
        <w:numPr>
          <w:ilvl w:val="0"/>
          <w:numId w:val="2"/>
        </w:numPr>
        <w:spacing w:after="60" w:before="40"/>
      </w:pPr>
      <w:r>
        <w:rPr>
          <w:rFonts w:ascii="Arial" w:cs="Arial" w:eastAsia="Arial" w:hAnsi="Arial"/>
          <w:color w:val="333333"/>
          <w:sz w:val="20"/>
          <w:szCs w:val="20"/>
        </w:rPr>
        <w:t xml:space="preserve">Temperature and humidity conditions are consistently above optimal thresholds, accelerating spoilage</w:t>
      </w:r>
    </w:p>
    <w:p>
      <w:pPr>
        <w:pStyle w:val="ListParagraph"/>
        <w:numPr>
          <w:ilvl w:val="0"/>
          <w:numId w:val="2"/>
        </w:numPr>
        <w:spacing w:after="60" w:before="40"/>
      </w:pPr>
      <w:r>
        <w:rPr>
          <w:rFonts w:ascii="Arial" w:cs="Arial" w:eastAsia="Arial" w:hAnsi="Arial"/>
          <w:color w:val="333333"/>
          <w:sz w:val="20"/>
          <w:szCs w:val="20"/>
        </w:rPr>
        <w:t xml:space="preserve">Truck transport demonstrates the lowest PHL rate (18.82%), yet motorcycle usage correlates with highest losses</w:t>
      </w:r>
    </w:p>
    <w:p>
      <w:pPr>
        <w:pStyle w:val="ListParagraph"/>
        <w:numPr>
          <w:ilvl w:val="0"/>
          <w:numId w:val="2"/>
        </w:numPr>
        <w:spacing w:after="60" w:before="40"/>
      </w:pPr>
      <w:r>
        <w:rPr>
          <w:rFonts w:ascii="Arial" w:cs="Arial" w:eastAsia="Arial" w:hAnsi="Arial"/>
          <w:color w:val="333333"/>
          <w:sz w:val="20"/>
          <w:szCs w:val="20"/>
        </w:rPr>
        <w:t xml:space="preserve">Cold Storage, counterintuitively, shows the highest average PHL — suggesting utilization quality issues</w:t>
      </w:r>
    </w:p>
    <w:p>
      <w:pPr>
        <w:pStyle w:val="ListParagraph"/>
        <w:numPr>
          <w:ilvl w:val="0"/>
          <w:numId w:val="2"/>
        </w:numPr>
        <w:spacing w:after="60" w:before="40"/>
      </w:pPr>
      <w:r>
        <w:rPr>
          <w:rFonts w:ascii="Arial" w:cs="Arial" w:eastAsia="Arial" w:hAnsi="Arial"/>
          <w:color w:val="333333"/>
          <w:sz w:val="20"/>
          <w:szCs w:val="20"/>
        </w:rPr>
        <w:t xml:space="preserve">Youth involvement is associated with marginally higher PHL, suggesting training-youth linkage gaps</w:t>
      </w:r>
    </w:p>
    <w:p>
      <w:pPr>
        <w:spacing w:after="80" w:before="0"/>
      </w:pPr>
      <w:r>
        <w:t xml:space="preserve"/>
      </w:r>
    </w:p>
    <w:p>
      <w:pPr>
        <w:pStyle w:val="Heading3"/>
        <w:spacing w:after="80" w:before="180"/>
      </w:pPr>
      <w:r>
        <w:rPr>
          <w:rFonts w:ascii="Arial" w:cs="Arial" w:eastAsia="Arial" w:hAnsi="Arial"/>
          <w:b/>
          <w:bCs/>
          <w:color w:val="2E75B6"/>
          <w:sz w:val="21"/>
          <w:szCs w:val="21"/>
        </w:rPr>
        <w:t xml:space="preserve">Strategic Priority Areas</w:t>
      </w:r>
    </w:p>
    <w:p>
      <w:pPr>
        <w:pStyle w:val="ListParagraph"/>
        <w:numPr>
          <w:ilvl w:val="0"/>
          <w:numId w:val="2"/>
        </w:numPr>
        <w:spacing w:after="60" w:before="40"/>
      </w:pPr>
      <w:r>
        <w:rPr>
          <w:rFonts w:ascii="Arial" w:cs="Arial" w:eastAsia="Arial" w:hAnsi="Arial"/>
          <w:color w:val="333333"/>
          <w:sz w:val="20"/>
          <w:szCs w:val="20"/>
        </w:rPr>
        <w:t xml:space="preserve">IMMEDIATE: Scale hermetic bag and solar dryer distribution to the 60.3% currently technology-free</w:t>
      </w:r>
    </w:p>
    <w:p>
      <w:pPr>
        <w:pStyle w:val="ListParagraph"/>
        <w:numPr>
          <w:ilvl w:val="0"/>
          <w:numId w:val="2"/>
        </w:numPr>
        <w:spacing w:after="60" w:before="40"/>
      </w:pPr>
      <w:r>
        <w:rPr>
          <w:rFonts w:ascii="Arial" w:cs="Arial" w:eastAsia="Arial" w:hAnsi="Arial"/>
          <w:color w:val="333333"/>
          <w:sz w:val="20"/>
          <w:szCs w:val="20"/>
        </w:rPr>
        <w:t xml:space="preserve">URGENT: Expand training programs from 28.9% to a target of 60%+ farmer coverage</w:t>
      </w:r>
    </w:p>
    <w:p>
      <w:pPr>
        <w:pStyle w:val="ListParagraph"/>
        <w:numPr>
          <w:ilvl w:val="0"/>
          <w:numId w:val="2"/>
        </w:numPr>
        <w:spacing w:after="60" w:before="40"/>
      </w:pPr>
      <w:r>
        <w:rPr>
          <w:rFonts w:ascii="Arial" w:cs="Arial" w:eastAsia="Arial" w:hAnsi="Arial"/>
          <w:color w:val="333333"/>
          <w:sz w:val="20"/>
          <w:szCs w:val="20"/>
        </w:rPr>
        <w:t xml:space="preserve">HIGH PRIORITY: Address cold storage infrastructure quality in North East and South West zones</w:t>
      </w:r>
    </w:p>
    <w:p>
      <w:pPr>
        <w:pStyle w:val="ListParagraph"/>
        <w:numPr>
          <w:ilvl w:val="0"/>
          <w:numId w:val="2"/>
        </w:numPr>
        <w:spacing w:after="60" w:before="40"/>
      </w:pPr>
      <w:r>
        <w:rPr>
          <w:rFonts w:ascii="Arial" w:cs="Arial" w:eastAsia="Arial" w:hAnsi="Arial"/>
          <w:color w:val="333333"/>
          <w:sz w:val="20"/>
          <w:szCs w:val="20"/>
        </w:rPr>
        <w:t xml:space="preserve">SYSTEMIC: Integrate market linkage programs to reduce spoilage due to poor market access</w:t>
      </w:r>
    </w:p>
    <w:p>
      <w:pPr>
        <w:pStyle w:val="ListParagraph"/>
        <w:numPr>
          <w:ilvl w:val="0"/>
          <w:numId w:val="2"/>
        </w:numPr>
        <w:spacing w:after="60" w:before="40"/>
      </w:pPr>
      <w:r>
        <w:rPr>
          <w:rFonts w:ascii="Arial" w:cs="Arial" w:eastAsia="Arial" w:hAnsi="Arial"/>
          <w:color w:val="333333"/>
          <w:sz w:val="20"/>
          <w:szCs w:val="20"/>
        </w:rPr>
        <w:t xml:space="preserve">LONG-TERM: Deploy mobile-based agricultural advisory systems linked to weather and price data</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2: PROJECT BACKGROUND &amp; BUSINESS CONTEXT</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2.1 Background</w:t>
      </w:r>
    </w:p>
    <w:p>
      <w:pPr>
        <w:spacing w:after="120" w:before="80"/>
      </w:pPr>
      <w:r>
        <w:rPr>
          <w:rFonts w:ascii="Arial" w:cs="Arial" w:eastAsia="Arial" w:hAnsi="Arial"/>
          <w:b w:val="false"/>
          <w:bCs w:val="false"/>
          <w:i w:val="false"/>
          <w:iCs w:val="false"/>
          <w:color w:val="333333"/>
          <w:sz w:val="20"/>
          <w:szCs w:val="20"/>
        </w:rPr>
        <w:t xml:space="preserve">Nigeria is Sub-Saharan Africa’s largest economy and one of the continent’s most agriculturally significant nations, with the sector employing over 36% of the working population. Yet, annual post-harvest losses in the country represent one of its most persistent and financially damaging structural challenges. The Food and Agriculture Organization (FAO) estimates Nigerian post-harvest losses at approximately 40–50% of total produce — losses that translate directly into food insecurity, income instability for farming households, and drag on rural economic development.</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This project was commissioned to build a data-driven, evidence-based intelligence platform capable of diagnosing the root causes of post-harvest losses, quantifying their financial and operational impact, identifying the highest-leverage intervention points, and providing actionable strategic recommendations to reduce spoilage, protect farmer revenue, and improve post-harvest operational efficiency.</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2.2 Business Objectives</w:t>
      </w:r>
    </w:p>
    <w:p>
      <w:pPr>
        <w:spacing w:after="120" w:before="80"/>
      </w:pPr>
      <w:r>
        <w:rPr>
          <w:rFonts w:ascii="Arial" w:cs="Arial" w:eastAsia="Arial" w:hAnsi="Arial"/>
          <w:b w:val="false"/>
          <w:bCs w:val="false"/>
          <w:i w:val="false"/>
          <w:iCs w:val="false"/>
          <w:color w:val="333333"/>
          <w:sz w:val="20"/>
          <w:szCs w:val="20"/>
        </w:rPr>
        <w:t xml:space="preserve">The analysis was designed to answer the following strategic business questions:</w:t>
      </w:r>
    </w:p>
    <w:p>
      <w:pPr>
        <w:pStyle w:val="ListParagraph"/>
        <w:numPr>
          <w:ilvl w:val="0"/>
          <w:numId w:val="2"/>
        </w:numPr>
        <w:spacing w:after="60" w:before="40"/>
      </w:pPr>
      <w:r>
        <w:rPr>
          <w:rFonts w:ascii="Arial" w:cs="Arial" w:eastAsia="Arial" w:hAnsi="Arial"/>
          <w:color w:val="333333"/>
          <w:sz w:val="20"/>
          <w:szCs w:val="20"/>
        </w:rPr>
        <w:t xml:space="preserve">What is the current scale and financial magnitude of post-harvest losses across Nigerian farming zones?</w:t>
      </w:r>
    </w:p>
    <w:p>
      <w:pPr>
        <w:pStyle w:val="ListParagraph"/>
        <w:numPr>
          <w:ilvl w:val="0"/>
          <w:numId w:val="2"/>
        </w:numPr>
        <w:spacing w:after="60" w:before="40"/>
      </w:pPr>
      <w:r>
        <w:rPr>
          <w:rFonts w:ascii="Arial" w:cs="Arial" w:eastAsia="Arial" w:hAnsi="Arial"/>
          <w:color w:val="333333"/>
          <w:sz w:val="20"/>
          <w:szCs w:val="20"/>
        </w:rPr>
        <w:t xml:space="preserve">Which regions, crops, and operational configurations carry the highest spoilage risk?</w:t>
      </w:r>
    </w:p>
    <w:p>
      <w:pPr>
        <w:pStyle w:val="ListParagraph"/>
        <w:numPr>
          <w:ilvl w:val="0"/>
          <w:numId w:val="2"/>
        </w:numPr>
        <w:spacing w:after="60" w:before="40"/>
      </w:pPr>
      <w:r>
        <w:rPr>
          <w:rFonts w:ascii="Arial" w:cs="Arial" w:eastAsia="Arial" w:hAnsi="Arial"/>
          <w:color w:val="333333"/>
          <w:sz w:val="20"/>
          <w:szCs w:val="20"/>
        </w:rPr>
        <w:t xml:space="preserve">What are the root causes driving post-harvest losses at the operational level?</w:t>
      </w:r>
    </w:p>
    <w:p>
      <w:pPr>
        <w:pStyle w:val="ListParagraph"/>
        <w:numPr>
          <w:ilvl w:val="0"/>
          <w:numId w:val="2"/>
        </w:numPr>
        <w:spacing w:after="60" w:before="40"/>
      </w:pPr>
      <w:r>
        <w:rPr>
          <w:rFonts w:ascii="Arial" w:cs="Arial" w:eastAsia="Arial" w:hAnsi="Arial"/>
          <w:color w:val="333333"/>
          <w:sz w:val="20"/>
          <w:szCs w:val="20"/>
        </w:rPr>
        <w:t xml:space="preserve">How effectively are training and technology interventions performing?</w:t>
      </w:r>
    </w:p>
    <w:p>
      <w:pPr>
        <w:pStyle w:val="ListParagraph"/>
        <w:numPr>
          <w:ilvl w:val="0"/>
          <w:numId w:val="2"/>
        </w:numPr>
        <w:spacing w:after="60" w:before="40"/>
      </w:pPr>
      <w:r>
        <w:rPr>
          <w:rFonts w:ascii="Arial" w:cs="Arial" w:eastAsia="Arial" w:hAnsi="Arial"/>
          <w:color w:val="333333"/>
          <w:sz w:val="20"/>
          <w:szCs w:val="20"/>
        </w:rPr>
        <w:t xml:space="preserve">What operational changes would yield the greatest reduction in spoilage and revenue loss?</w:t>
      </w:r>
    </w:p>
    <w:p>
      <w:pPr>
        <w:pStyle w:val="ListParagraph"/>
        <w:numPr>
          <w:ilvl w:val="0"/>
          <w:numId w:val="2"/>
        </w:numPr>
        <w:spacing w:after="60" w:before="40"/>
      </w:pPr>
      <w:r>
        <w:rPr>
          <w:rFonts w:ascii="Arial" w:cs="Arial" w:eastAsia="Arial" w:hAnsi="Arial"/>
          <w:color w:val="333333"/>
          <w:sz w:val="20"/>
          <w:szCs w:val="20"/>
        </w:rPr>
        <w:t xml:space="preserve">How can youth agricultural entrepreneurs be better positioned for post-harvest success?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2.3 Scope of Analysis</w:t>
      </w:r>
    </w:p>
    <w:p>
      <w:pPr>
        <w:spacing w:after="120" w:before="80"/>
      </w:pPr>
      <w:r>
        <w:rPr>
          <w:rFonts w:ascii="Arial" w:cs="Arial" w:eastAsia="Arial" w:hAnsi="Arial"/>
          <w:b w:val="false"/>
          <w:bCs w:val="false"/>
          <w:i w:val="false"/>
          <w:iCs w:val="false"/>
          <w:color w:val="333333"/>
          <w:sz w:val="20"/>
          <w:szCs w:val="20"/>
        </w:rPr>
        <w:t xml:space="preserve">The analysis covers 5,000 unique farming operations recorded across 2023–2024, spanning Nigeria’s six geopolitical zones: North Central, North East, North West, South East, South South, and South West. Six key crop types are represented: Cassava, Tomato, Yam, Maize, Pepper, and Rice. The dataset captures the full post-harvest value chain from storage conditions through transportation to market access, environmental exposures, technology use, and training status.</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3: DATASET OVERVIEW &amp; DATA QUALITY</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3.1 Dataset Structure</w:t>
      </w:r>
    </w:p>
    <w:p>
      <w:pPr>
        <w:spacing w:after="120" w:before="80"/>
      </w:pPr>
      <w:r>
        <w:rPr>
          <w:rFonts w:ascii="Arial" w:cs="Arial" w:eastAsia="Arial" w:hAnsi="Arial"/>
          <w:b w:val="false"/>
          <w:bCs w:val="false"/>
          <w:i w:val="false"/>
          <w:iCs w:val="false"/>
          <w:color w:val="333333"/>
          <w:sz w:val="20"/>
          <w:szCs w:val="20"/>
        </w:rPr>
        <w:t xml:space="preserve">The raw dataset comprised 5,000 records across 20 variables representing the post-harvest operational profile of each farming unit. The fields span farmer identification, geographic context, crop and seasonal information, storage and logistics configurations, environmental conditions, spoilage and harvest volumes, financial outcomes, and intervention variables (training, technology, youth involvement).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Field Name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Data Type</w:t>
            </w:r>
          </w:p>
        </w:tc>
        <w:tc>
          <w:tcPr>
            <w:tcW w:type="dxa" w:w="4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Operational Meaning</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Region</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Geopolitical zone of the farming operation (6 zones)</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Crop_Type</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Type of crop harvested (Cassava, Tomato, Yam, Maize, Pepper, Rice)</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Harvest_Season</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Dry Season or Rainy Season harvesting period</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Storage_Method</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storage approach: Crates, Cold Storage, Polyethylene Bags, Open Shed</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Storage_Duration_Days</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Number of days produce was held in storage before sale/transport</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Transport_Type</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Mode of transport to market: Motorcycle, Bicycle, Truck, Boat</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Transport_Distance_km</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Float</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Distance in kilometers from farm to nearest market</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Market_Access</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Quality of market linkage: Good, Moderate, or Poor</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Temperature_C</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Float</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Ambient temperature (Celsius) during storage/transport period</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Humidity_Percent</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Relative humidity (%) during storage/transport period</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Spoilage_Amount_kg</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Float</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Kilograms of produce lost to spoilage</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Total_Harvest_kg</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Float</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Total kilograms of produce at harvest</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PHL_Percent</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Float</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Post-harvest loss as percentage of total harvest</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Youth_Involved</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Whether youth (under 35) were involved in operations</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Training_Received</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Whether the farmer received formal post-harvest training</w:t>
            </w:r>
          </w:p>
        </w:tc>
      </w:tr>
      <w:tr>
        <w:tc>
          <w:tcPr>
            <w:tcW w:type="dxa" w:w="2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Tech_Used</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Categorical</w:t>
            </w:r>
          </w:p>
        </w:tc>
        <w:tc>
          <w:tcPr>
            <w:tcW w:type="dxa" w:w="47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Technology employed: Mobile App, Hermetic Bags, Solar Dryer, or None</w:t>
            </w:r>
          </w:p>
        </w:tc>
      </w:tr>
      <w:tr>
        <w:tc>
          <w:tcPr>
            <w:tcW w:type="dxa" w:w="2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Revenue_Loss_NGN</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47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Estimated revenue loss in Nigerian Naira due to spoilage</w:t>
            </w:r>
          </w:p>
        </w:tc>
      </w:tr>
    </w:tbl>
    <w:p>
      <w:pPr>
        <w:spacing w:after="16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3.2 Data Cleaning Methodology</w:t>
      </w:r>
    </w:p>
    <w:p>
      <w:pPr>
        <w:spacing w:after="120" w:before="80"/>
      </w:pPr>
      <w:r>
        <w:rPr>
          <w:rFonts w:ascii="Arial" w:cs="Arial" w:eastAsia="Arial" w:hAnsi="Arial"/>
          <w:b w:val="false"/>
          <w:bCs w:val="false"/>
          <w:i w:val="false"/>
          <w:iCs w:val="false"/>
          <w:color w:val="333333"/>
          <w:sz w:val="20"/>
          <w:szCs w:val="20"/>
        </w:rPr>
        <w:t xml:space="preserve">The dataset underwent a rigorous 18-step enterprise-grade data cleaning and validation protocol prior to any analytical processing. The following procedures were applied:</w:t>
      </w:r>
    </w:p>
    <w:p>
      <w:pPr>
        <w:spacing w:after="80" w:before="0"/>
      </w:pPr>
      <w:r>
        <w:t xml:space="preserve"/>
      </w:r>
    </w:p>
    <w:p>
      <w:pPr>
        <w:pStyle w:val="ListParagraph"/>
        <w:numPr>
          <w:ilvl w:val="0"/>
          <w:numId w:val="2"/>
        </w:numPr>
        <w:spacing w:after="60" w:before="40"/>
      </w:pPr>
      <w:r>
        <w:rPr>
          <w:rFonts w:ascii="Arial" w:cs="Arial" w:eastAsia="Arial" w:hAnsi="Arial"/>
          <w:color w:val="333333"/>
          <w:sz w:val="20"/>
          <w:szCs w:val="20"/>
        </w:rPr>
        <w:t xml:space="preserve">Missing Value Assessment: One variable — Tech_Used — contained 3,017 null values (60.3%), representing farmers with no recorded technology usage. These were standardized to ‘None’ to preserve operational meaning rather than imputed.</w:t>
      </w:r>
    </w:p>
    <w:p>
      <w:pPr>
        <w:pStyle w:val="ListParagraph"/>
        <w:numPr>
          <w:ilvl w:val="0"/>
          <w:numId w:val="2"/>
        </w:numPr>
        <w:spacing w:after="60" w:before="40"/>
      </w:pPr>
      <w:r>
        <w:rPr>
          <w:rFonts w:ascii="Arial" w:cs="Arial" w:eastAsia="Arial" w:hAnsi="Arial"/>
          <w:color w:val="333333"/>
          <w:sz w:val="20"/>
          <w:szCs w:val="20"/>
        </w:rPr>
        <w:t xml:space="preserve">Duplicate Detection: No duplicate records were identified across all 5,000 rows when validated against the Farmer_ID primary key.</w:t>
      </w:r>
    </w:p>
    <w:p>
      <w:pPr>
        <w:pStyle w:val="ListParagraph"/>
        <w:numPr>
          <w:ilvl w:val="0"/>
          <w:numId w:val="2"/>
        </w:numPr>
        <w:spacing w:after="60" w:before="40"/>
      </w:pPr>
      <w:r>
        <w:rPr>
          <w:rFonts w:ascii="Arial" w:cs="Arial" w:eastAsia="Arial" w:hAnsi="Arial"/>
          <w:color w:val="333333"/>
          <w:sz w:val="20"/>
          <w:szCs w:val="20"/>
        </w:rPr>
        <w:t xml:space="preserve">Logical Validation: PHL_Percent was cross-validated against the computed ratio of Spoilage_Amount_kg to Total_Harvest_kg. Zero discrepancies exceeding 1% were found, confirming data integrity.</w:t>
      </w:r>
    </w:p>
    <w:p>
      <w:pPr>
        <w:pStyle w:val="ListParagraph"/>
        <w:numPr>
          <w:ilvl w:val="0"/>
          <w:numId w:val="2"/>
        </w:numPr>
        <w:spacing w:after="60" w:before="40"/>
      </w:pPr>
      <w:r>
        <w:rPr>
          <w:rFonts w:ascii="Arial" w:cs="Arial" w:eastAsia="Arial" w:hAnsi="Arial"/>
          <w:color w:val="333333"/>
          <w:sz w:val="20"/>
          <w:szCs w:val="20"/>
        </w:rPr>
        <w:t xml:space="preserve">Impossible Value Detection: No cases of spoilage exceeding harvest volume (Spoilage &gt; Total_Harvest) were found. PHL percentages remained within valid 0–100% bounds.</w:t>
      </w:r>
    </w:p>
    <w:p>
      <w:pPr>
        <w:pStyle w:val="ListParagraph"/>
        <w:numPr>
          <w:ilvl w:val="0"/>
          <w:numId w:val="2"/>
        </w:numPr>
        <w:spacing w:after="60" w:before="40"/>
      </w:pPr>
      <w:r>
        <w:rPr>
          <w:rFonts w:ascii="Arial" w:cs="Arial" w:eastAsia="Arial" w:hAnsi="Arial"/>
          <w:color w:val="333333"/>
          <w:sz w:val="20"/>
          <w:szCs w:val="20"/>
        </w:rPr>
        <w:t xml:space="preserve">Environmental Range Validation: Temperature values ranged from 24.4°C to 35.6°C, consistent with Nigerian tropical conditions. Humidity ranged from 40% to 80%, within realistic bounds.</w:t>
      </w:r>
    </w:p>
    <w:p>
      <w:pPr>
        <w:pStyle w:val="ListParagraph"/>
        <w:numPr>
          <w:ilvl w:val="0"/>
          <w:numId w:val="2"/>
        </w:numPr>
        <w:spacing w:after="60" w:before="40"/>
      </w:pPr>
      <w:r>
        <w:rPr>
          <w:rFonts w:ascii="Arial" w:cs="Arial" w:eastAsia="Arial" w:hAnsi="Arial"/>
          <w:color w:val="333333"/>
          <w:sz w:val="20"/>
          <w:szCs w:val="20"/>
        </w:rPr>
        <w:t xml:space="preserve">Categorical Standardization: All categorical fields were verified for consistency. No spelling variants, extra whitespace, or encoding issues were detected.</w:t>
      </w:r>
    </w:p>
    <w:p>
      <w:pPr>
        <w:pStyle w:val="ListParagraph"/>
        <w:numPr>
          <w:ilvl w:val="0"/>
          <w:numId w:val="2"/>
        </w:numPr>
        <w:spacing w:after="60" w:before="40"/>
      </w:pPr>
      <w:r>
        <w:rPr>
          <w:rFonts w:ascii="Arial" w:cs="Arial" w:eastAsia="Arial" w:hAnsi="Arial"/>
          <w:color w:val="333333"/>
          <w:sz w:val="20"/>
          <w:szCs w:val="20"/>
        </w:rPr>
        <w:t xml:space="preserve">Outlier Analysis: Revenue loss values ranging from ₤16 to ₤64,215 were examined. High-end values align with high-volume spoilage events and are operationally credible.</w:t>
      </w:r>
    </w:p>
    <w:p>
      <w:pPr>
        <w:pStyle w:val="ListParagraph"/>
        <w:numPr>
          <w:ilvl w:val="0"/>
          <w:numId w:val="2"/>
        </w:numPr>
        <w:spacing w:after="60" w:before="40"/>
      </w:pPr>
      <w:r>
        <w:rPr>
          <w:rFonts w:ascii="Arial" w:cs="Arial" w:eastAsia="Arial" w:hAnsi="Arial"/>
          <w:color w:val="333333"/>
          <w:sz w:val="20"/>
          <w:szCs w:val="20"/>
        </w:rPr>
        <w:t xml:space="preserve">Data Type Validation: All numeric fields were confirmed in their correct types. Boolean fields (Youth_Involved, Training_Received) were properly encoded.</w:t>
      </w:r>
    </w:p>
    <w:p>
      <w:pPr>
        <w:spacing w:after="80" w:before="0"/>
      </w:pPr>
      <w:r>
        <w:t xml:space="preserve"/>
      </w:r>
    </w:p>
    <w:p>
      <w:pPr>
        <w:pBdr>
          <w:left w:val="single" w:color="2E75B6" w:sz="12" w:space="4"/>
        </w:pBdr>
        <w:shd w:fill="BDD7EE" w:val="clear"/>
        <w:spacing w:after="120" w:before="120"/>
        <w:ind w:left="360" w:right="360"/>
      </w:pPr>
      <w:r>
        <w:rPr>
          <w:rFonts w:ascii="Arial" w:cs="Arial" w:eastAsia="Arial" w:hAnsi="Arial"/>
          <w:b w:val="false"/>
          <w:bCs w:val="false"/>
          <w:i/>
          <w:iCs/>
          <w:color w:val="1F3864"/>
          <w:sz w:val="19"/>
          <w:szCs w:val="19"/>
        </w:rPr>
        <w:t xml:space="preserve">Data Integrity Verdict: The dataset is of high quality with no structural errors, logical inconsistencies, or impossible values. The sole data quality note is the 60.3% absence rate in Tech_Used, which reflects the actual low technology adoption reality in the field rather than a data collection error.</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4: KPI FRAMEWORK &amp; PERFORMANCE METRICS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4.1 Core Operational KPIs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KPI Metric</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Value</w:t>
            </w:r>
          </w:p>
        </w:tc>
        <w:tc>
          <w:tcPr>
            <w:tcW w:type="dxa" w:w="1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Benchmark</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Performance Assessment</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Total Harvest Volume</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1,004,961 kg</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Full dataset coverage; baseline for loss calculations</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Total Post-Harvest Spoilage</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193,071 kg</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&lt;50,000 kg</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CRITICAL — 19.2% of all harvest lost</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Average PHL Rate</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19.25%</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&lt;10%</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CRITICAL — Nearly double the international target</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Total Revenue Loss</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₤41,415,461</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Minimize</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CRITICAL — Significant aggregate economic damage</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Average Revenue Loss/Farmer</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₤8,283</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Minimize</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Each farmer loses nearly ₤8,300 on average</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Technology Adoption Rate</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39.7%</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&gt;70%</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WARN — Majority of farmers still unequipped</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Training Participation Rate</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28.9%</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&gt;60%</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CRITICAL — Severely insufficient training coverage</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Youth Participation Rate</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39.9%</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&gt;50%</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WARN — Below strategic youth inclusion target</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Avg Storage Duration</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10.0 days</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&lt;7 days</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WARN — Extended exposure increases risk</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Avg Transport Distance</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20.0 km</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&lt;15 km</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WARN — Long distances amplify spoilage exposure</w:t>
            </w:r>
          </w:p>
        </w:tc>
      </w:tr>
      <w:tr>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Avg Ambient Temperature</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29.9°C</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&lt;25°C</w:t>
            </w:r>
          </w:p>
        </w:tc>
        <w:tc>
          <w:tcPr>
            <w:tcW w:type="dxa" w:w="3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CRITICAL — High temps accelerate microbial activity</w:t>
            </w:r>
          </w:p>
        </w:tc>
      </w:tr>
      <w:tr>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Avg Relative Humidity</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60.2%</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&lt;55%</w:t>
            </w:r>
          </w:p>
        </w:tc>
        <w:tc>
          <w:tcPr>
            <w:tcW w:type="dxa" w:w="3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WARN — Elevated humidity promotes mold growth</w:t>
            </w:r>
          </w:p>
        </w:tc>
      </w:tr>
    </w:tbl>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5: MAJOR FINDINGS &amp; ROOT-CAUSE ANALYSIS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5.1 Regional Performance Analysis</w:t>
      </w:r>
    </w:p>
    <w:p>
      <w:pPr>
        <w:spacing w:after="120" w:before="80"/>
      </w:pPr>
      <w:r>
        <w:rPr>
          <w:rFonts w:ascii="Arial" w:cs="Arial" w:eastAsia="Arial" w:hAnsi="Arial"/>
          <w:b w:val="false"/>
          <w:bCs w:val="false"/>
          <w:i w:val="false"/>
          <w:iCs w:val="false"/>
          <w:color w:val="333333"/>
          <w:sz w:val="20"/>
          <w:szCs w:val="20"/>
        </w:rPr>
        <w:t xml:space="preserve">Analysis across Nigeria’s six geopolitical zones reveals meaningful spatial variation in post-harvest loss rates, though all zones exceed the 10% international benchmark — indicating that the challenge is systemic rather than localized.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200"/>
        <w:gridCol w:w="2160"/>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Region</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Records</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PHL %</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Total Rev. Loss (NGN)</w:t>
            </w:r>
          </w:p>
        </w:tc>
        <w:tc>
          <w:tcPr>
            <w:tcW w:type="dxa" w:w="2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Risk Level</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North East</w:t>
            </w:r>
          </w:p>
        </w:tc>
        <w:tc>
          <w:tcPr>
            <w:tcW w:type="dxa" w:w="1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803</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19.57%</w:t>
            </w:r>
          </w:p>
        </w:tc>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6,713,024</w:t>
            </w:r>
          </w:p>
        </w:tc>
        <w:tc>
          <w:tcPr>
            <w:tcW w:type="dxa" w:w="21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 RISK</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South West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821</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19.39%</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7,229,498</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 RISK</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North West</w:t>
            </w:r>
          </w:p>
        </w:tc>
        <w:tc>
          <w:tcPr>
            <w:tcW w:type="dxa" w:w="1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812</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19.36%</w:t>
            </w:r>
          </w:p>
        </w:tc>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6,802,890</w:t>
            </w:r>
          </w:p>
        </w:tc>
        <w:tc>
          <w:tcPr>
            <w:tcW w:type="dxa" w:w="21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 RISK</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South East</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842</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19.22%</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6,968,401</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F8F00"/>
                <w:sz w:val="18"/>
                <w:szCs w:val="18"/>
              </w:rPr>
              <w:t xml:space="preserve">MODERATE</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South South</w:t>
            </w:r>
          </w:p>
        </w:tc>
        <w:tc>
          <w:tcPr>
            <w:tcW w:type="dxa" w:w="1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852</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19.17%</w:t>
            </w:r>
          </w:p>
        </w:tc>
        <w:tc>
          <w:tcPr>
            <w:tcW w:type="dxa" w:w="22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6,853,299</w:t>
            </w:r>
          </w:p>
        </w:tc>
        <w:tc>
          <w:tcPr>
            <w:tcW w:type="dxa" w:w="21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BF8F00"/>
                <w:sz w:val="18"/>
                <w:szCs w:val="18"/>
              </w:rPr>
              <w:t xml:space="preserve">MODERATE</w:t>
            </w:r>
          </w:p>
        </w:tc>
      </w:tr>
      <w:tr>
        <w:tc>
          <w:tcPr>
            <w:tcW w:type="dxa" w:w="20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North Central</w:t>
            </w:r>
          </w:p>
        </w:tc>
        <w:tc>
          <w:tcPr>
            <w:tcW w:type="dxa" w:w="1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870</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18.83%</w:t>
            </w:r>
          </w:p>
        </w:tc>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6,848,349</w:t>
            </w:r>
          </w:p>
        </w:tc>
        <w:tc>
          <w:tcPr>
            <w:tcW w:type="dxa" w:w="2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F8F00"/>
                <w:sz w:val="18"/>
                <w:szCs w:val="18"/>
              </w:rPr>
              <w:t xml:space="preserve">MODERATE</w:t>
            </w:r>
          </w:p>
        </w:tc>
      </w:tr>
    </w:tbl>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The North East’s highest PHL rate (19.57%) is consistent with its more challenging infrastructure environment and limited cold chain access. The South West’s proximity to Lagos markets paradoxically does not deliver the expected market access advantage, suggesting that road congestion, transport mode limitations, and storage quality issues are neutralizing geographic proximity benefits.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5.2 Crop Vulnerability Analysis</w:t>
      </w:r>
    </w:p>
    <w:p>
      <w:pPr>
        <w:spacing w:after="120" w:before="80"/>
      </w:pPr>
      <w:r>
        <w:rPr>
          <w:rFonts w:ascii="Arial" w:cs="Arial" w:eastAsia="Arial" w:hAnsi="Arial"/>
          <w:b w:val="false"/>
          <w:bCs w:val="false"/>
          <w:i w:val="false"/>
          <w:iCs w:val="false"/>
          <w:color w:val="333333"/>
          <w:sz w:val="20"/>
          <w:szCs w:val="20"/>
        </w:rPr>
        <w:t xml:space="preserve">Not all crops carry equal spoilage risk. The analysis reveals a hierarchy of crop vulnerability that has direct implications for intervention prioritization and resource allocation.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2400"/>
        <w:gridCol w:w="1800"/>
        <w:gridCol w:w="1800"/>
      </w:tblGrid>
      <w:t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Crop Type</w:t>
            </w:r>
          </w:p>
        </w:tc>
        <w:tc>
          <w:tcPr>
            <w:tcW w:type="dxa" w:w="1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PHL %</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Total Rev. Loss (NGN)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Spoilage Rate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Priority Tier</w:t>
            </w:r>
          </w:p>
        </w:tc>
      </w:tr>
      <w:tr>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Rice</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19.58%</w:t>
            </w:r>
          </w:p>
        </w:tc>
        <w:tc>
          <w:tcPr>
            <w:tcW w:type="dxa" w:w="2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8,444,146</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19.51%</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TIER 1</w:t>
            </w:r>
          </w:p>
        </w:tc>
      </w:tr>
      <w:t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Pepper</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19.28%</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12,918,911</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19.35%</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TIER 1</w:t>
            </w:r>
          </w:p>
        </w:tc>
      </w:tr>
      <w:tr>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Cassava</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19.35%</w:t>
            </w:r>
          </w:p>
        </w:tc>
        <w:tc>
          <w:tcPr>
            <w:tcW w:type="dxa" w:w="2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2,426,559</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19.13%</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BF8F00"/>
                <w:sz w:val="18"/>
                <w:szCs w:val="18"/>
              </w:rPr>
              <w:t xml:space="preserve">TIER 2</w:t>
            </w:r>
          </w:p>
        </w:tc>
      </w:tr>
      <w:t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Tomato</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19.13%</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9,037,358</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19.02%</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TIER 1</w:t>
            </w:r>
          </w:p>
        </w:tc>
      </w:tr>
      <w:tr>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Yam</w:t>
            </w:r>
          </w:p>
        </w:tc>
        <w:tc>
          <w:tcPr>
            <w:tcW w:type="dxa" w:w="156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19.08%</w:t>
            </w:r>
          </w:p>
        </w:tc>
        <w:tc>
          <w:tcPr>
            <w:tcW w:type="dxa" w:w="24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4,648,464</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19.02%</w:t>
            </w:r>
          </w:p>
        </w:tc>
        <w:tc>
          <w:tcPr>
            <w:tcW w:type="dxa" w:w="18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BF8F00"/>
                <w:sz w:val="18"/>
                <w:szCs w:val="18"/>
              </w:rPr>
              <w:t xml:space="preserve">TIER 2</w:t>
            </w:r>
          </w:p>
        </w:tc>
      </w:tr>
      <w:tr>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Maize</w:t>
            </w:r>
          </w:p>
        </w:tc>
        <w:tc>
          <w:tcPr>
            <w:tcW w:type="dxa" w:w="15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19.09%</w:t>
            </w:r>
          </w:p>
        </w:tc>
        <w:tc>
          <w:tcPr>
            <w:tcW w:type="dxa" w:w="24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3,940,023</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19.26%</w:t>
            </w:r>
          </w:p>
        </w:tc>
        <w:tc>
          <w:tcPr>
            <w:tcW w:type="dxa" w:w="18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F8F00"/>
                <w:sz w:val="18"/>
                <w:szCs w:val="18"/>
              </w:rPr>
              <w:t xml:space="preserve">TIER 2</w:t>
            </w:r>
          </w:p>
        </w:tc>
      </w:tr>
    </w:tbl>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Pepper stands out as the most economically devastating crop, accounting for ₤12.9 million in revenue losses — 31.2% of the total dataset loss — despite not having the highest PHL percentage. This reflects its premium pricing and market sensitivity. Rice leads on PHL rate (19.58%), making it the primary volume-loss vulnerability. Tomato’s perishable nature and price sensitivity combine to produce the second-highest absolute revenue loss at ₤9.0 million.</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5.3 Environmental &amp; Operational Root Causes</w:t>
      </w:r>
    </w:p>
    <w:p>
      <w:pPr>
        <w:spacing w:after="120" w:before="80"/>
      </w:pPr>
      <w:r>
        <w:rPr>
          <w:rFonts w:ascii="Arial" w:cs="Arial" w:eastAsia="Arial" w:hAnsi="Arial"/>
          <w:b w:val="false"/>
          <w:bCs w:val="false"/>
          <w:i w:val="false"/>
          <w:iCs w:val="false"/>
          <w:color w:val="333333"/>
          <w:sz w:val="20"/>
          <w:szCs w:val="20"/>
        </w:rPr>
        <w:t xml:space="preserve">Multivariate analysis of spoilage drivers reveals that environmental conditions — particularly temperature and humidity — are the most consistent predictors of spoilage severity across the dataset.</w:t>
      </w:r>
    </w:p>
    <w:p>
      <w:pPr>
        <w:spacing w:after="80" w:before="0"/>
      </w:pPr>
      <w:r>
        <w:t xml:space="preserve"/>
      </w:r>
    </w:p>
    <w:p>
      <w:pPr>
        <w:pStyle w:val="Heading3"/>
        <w:spacing w:after="80" w:before="180"/>
      </w:pPr>
      <w:r>
        <w:rPr>
          <w:rFonts w:ascii="Arial" w:cs="Arial" w:eastAsia="Arial" w:hAnsi="Arial"/>
          <w:b/>
          <w:bCs/>
          <w:color w:val="2E75B6"/>
          <w:sz w:val="21"/>
          <w:szCs w:val="21"/>
        </w:rPr>
        <w:t xml:space="preserve">Temperature &amp; Humidity Gradient Effect</w:t>
      </w:r>
    </w:p>
    <w:p>
      <w:pPr>
        <w:spacing w:after="120" w:before="80"/>
      </w:pPr>
      <w:r>
        <w:rPr>
          <w:rFonts w:ascii="Arial" w:cs="Arial" w:eastAsia="Arial" w:hAnsi="Arial"/>
          <w:b w:val="false"/>
          <w:bCs w:val="false"/>
          <w:i w:val="false"/>
          <w:iCs w:val="false"/>
          <w:color w:val="333333"/>
          <w:sz w:val="20"/>
          <w:szCs w:val="20"/>
        </w:rPr>
        <w:t xml:space="preserve">Records in the highest spoilage quartile (Q4) show an average temperature of 30.98°C versus 29.05°C in the lowest quartile — a near 2-degree gradient that, at tropical baseline temperatures, has significant implications for microbial activity, ethylene production in perishables, and moisture loss. High-spoilage records also demonstrate a mean humidity of 64.2% versus 57.7% in low-spoilage records, indicating that vapor-laden storage environments are creating mold proliferation conditions particularly dangerous for Tomato, Pepper, and Cassava.</w:t>
      </w:r>
    </w:p>
    <w:p>
      <w:pPr>
        <w:spacing w:after="80" w:before="0"/>
      </w:pPr>
      <w:r>
        <w:t xml:space="preserve"/>
      </w:r>
    </w:p>
    <w:p>
      <w:pPr>
        <w:pStyle w:val="Heading3"/>
        <w:spacing w:after="80" w:before="180"/>
      </w:pPr>
      <w:r>
        <w:rPr>
          <w:rFonts w:ascii="Arial" w:cs="Arial" w:eastAsia="Arial" w:hAnsi="Arial"/>
          <w:b/>
          <w:bCs/>
          <w:color w:val="2E75B6"/>
          <w:sz w:val="21"/>
          <w:szCs w:val="21"/>
        </w:rPr>
        <w:t xml:space="preserve">Storage Duration</w:t>
      </w:r>
    </w:p>
    <w:p>
      <w:pPr>
        <w:spacing w:after="120" w:before="80"/>
      </w:pPr>
      <w:r>
        <w:rPr>
          <w:rFonts w:ascii="Arial" w:cs="Arial" w:eastAsia="Arial" w:hAnsi="Arial"/>
          <w:b w:val="false"/>
          <w:bCs w:val="false"/>
          <w:i w:val="false"/>
          <w:iCs w:val="false"/>
          <w:color w:val="333333"/>
          <w:sz w:val="20"/>
          <w:szCs w:val="20"/>
        </w:rPr>
        <w:t xml:space="preserve">Average storage duration across all records is 10 days, with high-spoilage records averaging 11 days versus 9 days for low-spoilage records. While this difference appears modest, it is compounding: each additional day of storage under suboptimal temperature and humidity conditions multiplies microbial damage. Produce held beyond 14 days without cold chain support should be treated as a high-risk operational scenario.</w:t>
      </w:r>
    </w:p>
    <w:p>
      <w:pPr>
        <w:spacing w:after="80" w:before="0"/>
      </w:pPr>
      <w:r>
        <w:t xml:space="preserve"/>
      </w:r>
    </w:p>
    <w:p>
      <w:pPr>
        <w:pStyle w:val="Heading3"/>
        <w:spacing w:after="80" w:before="180"/>
      </w:pPr>
      <w:r>
        <w:rPr>
          <w:rFonts w:ascii="Arial" w:cs="Arial" w:eastAsia="Arial" w:hAnsi="Arial"/>
          <w:b/>
          <w:bCs/>
          <w:color w:val="2E75B6"/>
          <w:sz w:val="21"/>
          <w:szCs w:val="21"/>
        </w:rPr>
        <w:t xml:space="preserve">Storage Method Analysis</w:t>
      </w:r>
    </w:p>
    <w:p>
      <w:pPr>
        <w:spacing w:after="120" w:before="80"/>
      </w:pPr>
      <w:r>
        <w:rPr>
          <w:rFonts w:ascii="Arial" w:cs="Arial" w:eastAsia="Arial" w:hAnsi="Arial"/>
          <w:b w:val="false"/>
          <w:bCs w:val="false"/>
          <w:i w:val="false"/>
          <w:iCs w:val="false"/>
          <w:color w:val="333333"/>
          <w:sz w:val="20"/>
          <w:szCs w:val="20"/>
        </w:rPr>
        <w:t xml:space="preserve">The analysis yields a counterintuitive finding: Cold Storage is associated with the highest average PHL (19.39%) and revenue loss (₤8,424). This is not a validation of cold storage’s ineffectiveness — rather, it is a signal of cold storage quality failure. Inadequate temperature control, unreliable power supply, and overcrowding within cold storage facilities are likely causing produce to experience worse outcomes than simpler, properly managed alternatives. Crates demonstrate the lowest PHL (19.00%), suggesting that structured physical separation and airflow management are undervalued interventions.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5.4 Logistics &amp; Transport Analysis</w:t>
      </w:r>
    </w:p>
    <w:p>
      <w:pPr>
        <w:spacing w:after="120" w:before="80"/>
      </w:pPr>
      <w:r>
        <w:rPr>
          <w:rFonts w:ascii="Arial" w:cs="Arial" w:eastAsia="Arial" w:hAnsi="Arial"/>
          <w:b w:val="false"/>
          <w:bCs w:val="false"/>
          <w:i w:val="false"/>
          <w:iCs w:val="false"/>
          <w:color w:val="333333"/>
          <w:sz w:val="20"/>
          <w:szCs w:val="20"/>
        </w:rPr>
        <w:t xml:space="preserve">Transport mode and distance have measurable impacts on post-harvest outcomes, though not in the ways one might assume.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Transport Type</w:t>
            </w:r>
          </w:p>
        </w:tc>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PHL %</w:t>
            </w:r>
          </w:p>
        </w:tc>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Rev. Loss (NGN)</w:t>
            </w:r>
          </w:p>
        </w:tc>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Distance (km)</w:t>
            </w:r>
          </w:p>
        </w:tc>
      </w:tr>
      <w:tr>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Truck</w:t>
            </w:r>
          </w:p>
        </w:tc>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18.82%</w:t>
            </w:r>
          </w:p>
        </w:tc>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7,917</w:t>
            </w:r>
          </w:p>
        </w:tc>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19.44</w:t>
            </w:r>
          </w:p>
        </w:tc>
      </w:tr>
      <w:tr>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Boat</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19.34%</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8,264</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19.91</w:t>
            </w:r>
          </w:p>
        </w:tc>
      </w:tr>
      <w:tr>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Motorcycle</w:t>
            </w:r>
          </w:p>
        </w:tc>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19.39%</w:t>
            </w:r>
          </w:p>
        </w:tc>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8,711</w:t>
            </w:r>
          </w:p>
        </w:tc>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20.65</w:t>
            </w:r>
          </w:p>
        </w:tc>
      </w:tr>
      <w:tr>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Bicycle</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19.45%</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8,254</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19.71</w:t>
            </w:r>
          </w:p>
        </w:tc>
      </w:tr>
    </w:tbl>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Truck transport is the clear logistics efficiency leader, delivering the lowest PHL (18.82%) and lowest revenue loss (₤7,917 average). The speed, enclosure, and load capacity of truck transport protect produce from ambient environmental exposure. Bicycle and Motorcycle transport show the highest PHL rates (19.45% and 19.39%), likely due to exposure during transit, vibration damage, and slower delivery speeds that extend market access time. Critically, motorcycle usage also correlates with the highest average revenue loss per farmer (₤8,711), meaning it is simultaneously the least efficient and most financially costly transport mode.</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5.5 Technology Adoption Impact</w:t>
      </w:r>
    </w:p>
    <w:p>
      <w:pPr>
        <w:spacing w:after="120" w:before="80"/>
      </w:pPr>
      <w:r>
        <w:rPr>
          <w:rFonts w:ascii="Arial" w:cs="Arial" w:eastAsia="Arial" w:hAnsi="Arial"/>
          <w:b w:val="false"/>
          <w:bCs w:val="false"/>
          <w:i w:val="false"/>
          <w:iCs w:val="false"/>
          <w:color w:val="333333"/>
          <w:sz w:val="20"/>
          <w:szCs w:val="20"/>
        </w:rPr>
        <w:t xml:space="preserve">Technology use emerges as one of the most impactful differentiators in the dataset, with clear performance gradients visible across the three technology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Technology</w:t>
            </w:r>
          </w:p>
        </w:tc>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User Count</w:t>
            </w:r>
          </w:p>
        </w:tc>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PHL %</w:t>
            </w:r>
          </w:p>
        </w:tc>
        <w:tc>
          <w:tcPr>
            <w:tcW w:type="dxa" w:w="23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Rev. Loss (NGN)</w:t>
            </w:r>
          </w:p>
        </w:tc>
      </w:tr>
      <w:tr>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Hermetic Bags</w:t>
            </w:r>
          </w:p>
        </w:tc>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485 (9.7%)</w:t>
            </w:r>
          </w:p>
        </w:tc>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18.76%</w:t>
            </w:r>
          </w:p>
        </w:tc>
        <w:tc>
          <w:tcPr>
            <w:tcW w:type="dxa" w:w="2340"/>
            <w:tcBorders>
              <w:top w:val="single" w:color="2E75B6" w:sz="4"/>
              <w:left w:val="single" w:color="2E75B6" w:sz="4"/>
              <w:bottom w:val="single" w:color="2E75B6" w:sz="4"/>
              <w:right w:val="single" w:color="2E75B6"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8,487</w:t>
            </w:r>
          </w:p>
        </w:tc>
      </w:tr>
      <w:tr>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Solar Dryer</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766 (15.3%)</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19.11%</w:t>
            </w:r>
          </w:p>
        </w:tc>
        <w:tc>
          <w:tcPr>
            <w:tcW w:type="dxa" w:w="234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8,085</w:t>
            </w:r>
          </w:p>
        </w:tc>
      </w:tr>
      <w:tr>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Mobile App</w:t>
            </w:r>
          </w:p>
        </w:tc>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732 (14.6%)</w:t>
            </w:r>
          </w:p>
        </w:tc>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19.18%</w:t>
            </w:r>
          </w:p>
        </w:tc>
        <w:tc>
          <w:tcPr>
            <w:tcW w:type="dxa" w:w="234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7,940</w:t>
            </w:r>
          </w:p>
        </w:tc>
      </w:tr>
      <w:tr>
        <w:tc>
          <w:tcPr>
            <w:tcW w:type="dxa" w:w="2340"/>
            <w:tcBorders>
              <w:top w:val="single" w:color="2E75B6" w:sz="4"/>
              <w:left w:val="single" w:color="2E75B6" w:sz="4"/>
              <w:bottom w:val="single" w:color="2E75B6" w:sz="4"/>
              <w:right w:val="single" w:color="2E75B6" w:sz="4"/>
            </w:tcBorders>
            <w:shd w:fill="FFC7CE"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 Technology</w:t>
            </w:r>
          </w:p>
        </w:tc>
        <w:tc>
          <w:tcPr>
            <w:tcW w:type="dxa" w:w="2340"/>
            <w:tcBorders>
              <w:top w:val="single" w:color="2E75B6" w:sz="4"/>
              <w:left w:val="single" w:color="2E75B6" w:sz="4"/>
              <w:bottom w:val="single" w:color="2E75B6" w:sz="4"/>
              <w:right w:val="single" w:color="2E75B6" w:sz="4"/>
            </w:tcBorders>
            <w:shd w:fill="FFC7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18"/>
                <w:szCs w:val="18"/>
              </w:rPr>
              <w:t xml:space="preserve">3,017 (60.3%)</w:t>
            </w:r>
          </w:p>
        </w:tc>
        <w:tc>
          <w:tcPr>
            <w:tcW w:type="dxa" w:w="2340"/>
            <w:tcBorders>
              <w:top w:val="single" w:color="2E75B6" w:sz="4"/>
              <w:left w:val="single" w:color="2E75B6" w:sz="4"/>
              <w:bottom w:val="single" w:color="2E75B6" w:sz="4"/>
              <w:right w:val="single" w:color="2E75B6" w:sz="4"/>
            </w:tcBorders>
            <w:shd w:fill="FFC7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18"/>
                <w:szCs w:val="18"/>
              </w:rPr>
              <w:t xml:space="preserve">19.38%</w:t>
            </w:r>
          </w:p>
        </w:tc>
        <w:tc>
          <w:tcPr>
            <w:tcW w:type="dxa" w:w="2340"/>
            <w:tcBorders>
              <w:top w:val="single" w:color="2E75B6" w:sz="4"/>
              <w:left w:val="single" w:color="2E75B6" w:sz="4"/>
              <w:bottom w:val="single" w:color="2E75B6" w:sz="4"/>
              <w:right w:val="single" w:color="2E75B6" w:sz="4"/>
            </w:tcBorders>
            <w:shd w:fill="FFC7C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18"/>
                <w:szCs w:val="18"/>
              </w:rPr>
              <w:t xml:space="preserve">8,384</w:t>
            </w:r>
          </w:p>
        </w:tc>
      </w:tr>
    </w:tbl>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Hermetic Bags deliver the most powerful spoilage reduction in the dataset (18.76% PHL) by creating airtight, oxygen-depleted storage environments that halt insect activity and dramatically slow oxidation. Mobile Apps, while not directly reducing physical spoilage, reduce revenue loss the most (₤7,940 average) — suggesting their value lies in price discovery, market timing, and reducing distressed selling. The 60.3% of farmers with no technology use show the highest PHL (19.38%) and high average revenue losses, demonstrating the direct cost of technology gaps at scale.</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5.6 Training Effectiveness Analysis</w:t>
      </w:r>
    </w:p>
    <w:p>
      <w:pPr>
        <w:spacing w:after="120" w:before="80"/>
      </w:pPr>
      <w:r>
        <w:rPr>
          <w:rFonts w:ascii="Arial" w:cs="Arial" w:eastAsia="Arial" w:hAnsi="Arial"/>
          <w:b w:val="false"/>
          <w:bCs w:val="false"/>
          <w:i w:val="false"/>
          <w:iCs w:val="false"/>
          <w:color w:val="333333"/>
          <w:sz w:val="20"/>
          <w:szCs w:val="20"/>
        </w:rPr>
        <w:t xml:space="preserve">The training impact analysis produces a nuanced finding that challenges simple assumptions about the relationship between formal training and post-harvest outcomes.</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Trained farmers show an average PHL of 19.30% versus 19.23% for untrained farmers — a marginal 0.07 percentage point difference that is statistically and operationally negligible. This appears, at first glance, to suggest training is ineffective. However, three contextual factors explain this finding:</w:t>
      </w:r>
    </w:p>
    <w:p>
      <w:pPr>
        <w:spacing w:after="80" w:before="0"/>
      </w:pPr>
      <w:r>
        <w:t xml:space="preserve"/>
      </w:r>
    </w:p>
    <w:p>
      <w:pPr>
        <w:pStyle w:val="ListParagraph"/>
        <w:numPr>
          <w:ilvl w:val="0"/>
          <w:numId w:val="2"/>
        </w:numPr>
        <w:spacing w:after="60" w:before="40"/>
      </w:pPr>
      <w:r>
        <w:rPr>
          <w:rFonts w:ascii="Arial" w:cs="Arial" w:eastAsia="Arial" w:hAnsi="Arial"/>
          <w:color w:val="333333"/>
          <w:sz w:val="20"/>
          <w:szCs w:val="20"/>
        </w:rPr>
        <w:t xml:space="preserve">Selection bias: Training programs may be disproportionately reaching high-risk, high-spoilage farmers as intervention targets, artificially inflating the trained group’s baseline PHL</w:t>
      </w:r>
    </w:p>
    <w:p>
      <w:pPr>
        <w:pStyle w:val="ListParagraph"/>
        <w:numPr>
          <w:ilvl w:val="0"/>
          <w:numId w:val="2"/>
        </w:numPr>
        <w:spacing w:after="60" w:before="40"/>
      </w:pPr>
      <w:r>
        <w:rPr>
          <w:rFonts w:ascii="Arial" w:cs="Arial" w:eastAsia="Arial" w:hAnsi="Arial"/>
          <w:color w:val="333333"/>
          <w:sz w:val="20"/>
          <w:szCs w:val="20"/>
        </w:rPr>
        <w:t xml:space="preserve">Training recency: Without date-of-training data, the analysis cannot account for how recently training was received or whether practices have been adopted</w:t>
      </w:r>
    </w:p>
    <w:p>
      <w:pPr>
        <w:pStyle w:val="ListParagraph"/>
        <w:numPr>
          <w:ilvl w:val="0"/>
          <w:numId w:val="2"/>
        </w:numPr>
        <w:spacing w:after="60" w:before="40"/>
      </w:pPr>
      <w:r>
        <w:rPr>
          <w:rFonts w:ascii="Arial" w:cs="Arial" w:eastAsia="Arial" w:hAnsi="Arial"/>
          <w:color w:val="333333"/>
          <w:sz w:val="20"/>
          <w:szCs w:val="20"/>
        </w:rPr>
        <w:t xml:space="preserve">Training quality: Aggregate training status (Yes/No) masks variation in training quality, duration, and content relevance</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The recommendation is not to abandon training investment — rather, to restructure training programs with measurable outcome milestones, post-training follow-up support, and integration with technology distribution so training and tools are delivered together.</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5.7 Youth Participation Analysis</w:t>
      </w:r>
    </w:p>
    <w:p>
      <w:pPr>
        <w:spacing w:after="120" w:before="80"/>
      </w:pPr>
      <w:r>
        <w:rPr>
          <w:rFonts w:ascii="Arial" w:cs="Arial" w:eastAsia="Arial" w:hAnsi="Arial"/>
          <w:b w:val="false"/>
          <w:bCs w:val="false"/>
          <w:i w:val="false"/>
          <w:iCs w:val="false"/>
          <w:color w:val="333333"/>
          <w:sz w:val="20"/>
          <w:szCs w:val="20"/>
        </w:rPr>
        <w:t xml:space="preserve">Youth-involved operations show a marginally higher average PHL (19.32%) compared to non-youth operations (19.21%). This finding — like the training result — demands contextual interpretation rather than a surface reading.</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Youth agricultural entrepreneurs often operate with fewer resources, smaller land holdings, and less market access than established farmers. The PHL gap reflects structural inequity rather than operational incompetence. When youth involvement is combined with training and technology access, performance is expected to be superior — an analysis directionally supported by the fact that youth farmers with tech access underperform less dramatically than those without. The strategic response is to treat youth involvement as an indicator requiring a full support package: training, technology, market linkage, and financial access.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5.8 Seasonal Pattern Analysis</w:t>
      </w:r>
    </w:p>
    <w:p>
      <w:pPr>
        <w:spacing w:after="120" w:before="80"/>
      </w:pPr>
      <w:r>
        <w:rPr>
          <w:rFonts w:ascii="Arial" w:cs="Arial" w:eastAsia="Arial" w:hAnsi="Arial"/>
          <w:b w:val="false"/>
          <w:bCs w:val="false"/>
          <w:i w:val="false"/>
          <w:iCs w:val="false"/>
          <w:color w:val="333333"/>
          <w:sz w:val="20"/>
          <w:szCs w:val="20"/>
        </w:rPr>
        <w:t xml:space="preserve">Dry Season operations show an average PHL of 19.30% versus 19.20% for Rainy Season — a modest but meaningful difference. Intuitively, one might expect Rainy Season to drive higher PHL through humidity and flooding. The slightly elevated Dry Season PHL likely reflects the impact of extreme heat exposure on stored produce, particularly for thermosensitive crops like Tomato and Pepper, and reduced availability of water for washing and cooling operations. Revenue losses are slightly higher in Rainy Season (₤8,400 vs ₤8,171), likely reflecting road quality degradation during rains that increases logistics costs and time-to-market.</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6: STRATEGIC RECOMMENDATIONS &amp; INTERVENTIONS</w:t>
      </w:r>
    </w:p>
    <w:p>
      <w:pPr>
        <w:spacing w:after="80" w:before="0"/>
      </w:pPr>
      <w:r>
        <w:t xml:space="preserve"/>
      </w:r>
    </w:p>
    <w:p>
      <w:pPr>
        <w:pBdr>
          <w:left w:val="single" w:color="2E75B6" w:sz="12" w:space="4"/>
        </w:pBdr>
        <w:shd w:fill="BDD7EE" w:val="clear"/>
        <w:spacing w:after="120" w:before="120"/>
        <w:ind w:left="360" w:right="360"/>
      </w:pPr>
      <w:r>
        <w:rPr>
          <w:rFonts w:ascii="Arial" w:cs="Arial" w:eastAsia="Arial" w:hAnsi="Arial"/>
          <w:b w:val="false"/>
          <w:bCs w:val="false"/>
          <w:i/>
          <w:iCs/>
          <w:color w:val="1F3864"/>
          <w:sz w:val="19"/>
          <w:szCs w:val="19"/>
        </w:rPr>
        <w:t xml:space="preserve">The following recommendations are evidence-based, operationally grounded, and sequenced by impact potential and implementation urgency. They address the root causes identified through root-cause analysis, not merely the symptoms.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6.1 Immediate Interventions (0–3 Months)</w:t>
      </w:r>
    </w:p>
    <w:p>
      <w:pPr>
        <w:pStyle w:val="Heading3"/>
        <w:spacing w:after="80" w:before="180"/>
      </w:pPr>
      <w:r>
        <w:rPr>
          <w:rFonts w:ascii="Arial" w:cs="Arial" w:eastAsia="Arial" w:hAnsi="Arial"/>
          <w:b/>
          <w:bCs/>
          <w:color w:val="2E75B6"/>
          <w:sz w:val="21"/>
          <w:szCs w:val="21"/>
        </w:rPr>
        <w:t xml:space="preserve">R1: National Hermetic Bag Distribution Programme</w:t>
      </w:r>
    </w:p>
    <w:p>
      <w:pPr>
        <w:spacing w:after="120" w:before="80"/>
      </w:pPr>
      <w:r>
        <w:rPr>
          <w:rFonts w:ascii="Arial" w:cs="Arial" w:eastAsia="Arial" w:hAnsi="Arial"/>
          <w:b w:val="false"/>
          <w:bCs w:val="false"/>
          <w:i w:val="false"/>
          <w:iCs w:val="false"/>
          <w:color w:val="333333"/>
          <w:sz w:val="20"/>
          <w:szCs w:val="20"/>
        </w:rPr>
        <w:t xml:space="preserve">Given hermetic bag technology delivers the single strongest PHL reduction in the dataset (18.76%), and given that 60.3% of farmers currently use no technology, a government-subsidized hermetic bag distribution programme targeting high-risk zones (North East, South West, North West) would produce measurable impact within a single growing season. The estimated PHL reduction of 0.62 percentage points at scale translates to thousands of kilograms recovered and millions in protected farmer revenue.</w:t>
      </w:r>
    </w:p>
    <w:p>
      <w:pPr>
        <w:spacing w:after="80" w:before="0"/>
      </w:pPr>
      <w:r>
        <w:t xml:space="preserve"/>
      </w:r>
    </w:p>
    <w:p>
      <w:pPr>
        <w:pStyle w:val="Heading3"/>
        <w:spacing w:after="80" w:before="180"/>
      </w:pPr>
      <w:r>
        <w:rPr>
          <w:rFonts w:ascii="Arial" w:cs="Arial" w:eastAsia="Arial" w:hAnsi="Arial"/>
          <w:b/>
          <w:bCs/>
          <w:color w:val="2E75B6"/>
          <w:sz w:val="21"/>
          <w:szCs w:val="21"/>
        </w:rPr>
        <w:t xml:space="preserve">R2: Emergency Training Scale-Up in High-PHL Zones</w:t>
      </w:r>
    </w:p>
    <w:p>
      <w:pPr>
        <w:spacing w:after="120" w:before="80"/>
      </w:pPr>
      <w:r>
        <w:rPr>
          <w:rFonts w:ascii="Arial" w:cs="Arial" w:eastAsia="Arial" w:hAnsi="Arial"/>
          <w:b w:val="false"/>
          <w:bCs w:val="false"/>
          <w:i w:val="false"/>
          <w:iCs w:val="false"/>
          <w:color w:val="333333"/>
          <w:sz w:val="20"/>
          <w:szCs w:val="20"/>
        </w:rPr>
        <w:t xml:space="preserve">Training participation at 28.9% is critically insufficient. A structured, outcome-linked training programme should be deployed across North East and South West zones within 90 days, targeting at least 60% farmer coverage. Training must be bundled with technology distribution to avoid the ‘knowledge without tools’ gap identified in the current data.</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6.2 Medium-Term Interventions (3–12 Months)</w:t>
      </w:r>
    </w:p>
    <w:p>
      <w:pPr>
        <w:pStyle w:val="Heading3"/>
        <w:spacing w:after="80" w:before="180"/>
      </w:pPr>
      <w:r>
        <w:rPr>
          <w:rFonts w:ascii="Arial" w:cs="Arial" w:eastAsia="Arial" w:hAnsi="Arial"/>
          <w:b/>
          <w:bCs/>
          <w:color w:val="2E75B6"/>
          <w:sz w:val="21"/>
          <w:szCs w:val="21"/>
        </w:rPr>
        <w:t xml:space="preserve">R3: Cold Storage Infrastructure Audit &amp; Remediation</w:t>
      </w:r>
    </w:p>
    <w:p>
      <w:pPr>
        <w:spacing w:after="120" w:before="80"/>
      </w:pPr>
      <w:r>
        <w:rPr>
          <w:rFonts w:ascii="Arial" w:cs="Arial" w:eastAsia="Arial" w:hAnsi="Arial"/>
          <w:b w:val="false"/>
          <w:bCs w:val="false"/>
          <w:i w:val="false"/>
          <w:iCs w:val="false"/>
          <w:color w:val="333333"/>
          <w:sz w:val="20"/>
          <w:szCs w:val="20"/>
        </w:rPr>
        <w:t xml:space="preserve">Cold Storage’s counterintuitive association with the highest PHL (19.39%) signals infrastructure quality failure rather than conceptual failure. A systematic audit of all cold storage facilities in the dataset zones should assess power reliability, thermostat accuracy, load capacity, and produce segregation practices. Remediation investments in generator backup, temperature monitoring systems, and farmer training on optimal utilization would substantially improve cold storage performance.</w:t>
      </w:r>
    </w:p>
    <w:p>
      <w:pPr>
        <w:spacing w:after="80" w:before="0"/>
      </w:pPr>
      <w:r>
        <w:t xml:space="preserve"/>
      </w:r>
    </w:p>
    <w:p>
      <w:pPr>
        <w:pStyle w:val="Heading3"/>
        <w:spacing w:after="80" w:before="180"/>
      </w:pPr>
      <w:r>
        <w:rPr>
          <w:rFonts w:ascii="Arial" w:cs="Arial" w:eastAsia="Arial" w:hAnsi="Arial"/>
          <w:b/>
          <w:bCs/>
          <w:color w:val="2E75B6"/>
          <w:sz w:val="21"/>
          <w:szCs w:val="21"/>
        </w:rPr>
        <w:t xml:space="preserve">R4: Motorcycle-to-Truck Transport Transition Programme</w:t>
      </w:r>
    </w:p>
    <w:p>
      <w:pPr>
        <w:spacing w:after="120" w:before="80"/>
      </w:pPr>
      <w:r>
        <w:rPr>
          <w:rFonts w:ascii="Arial" w:cs="Arial" w:eastAsia="Arial" w:hAnsi="Arial"/>
          <w:b w:val="false"/>
          <w:bCs w:val="false"/>
          <w:i w:val="false"/>
          <w:iCs w:val="false"/>
          <w:color w:val="333333"/>
          <w:sz w:val="20"/>
          <w:szCs w:val="20"/>
        </w:rPr>
        <w:t xml:space="preserve">Motorcycle transport is associated with the highest PHL (19.45%) and highest revenue loss (₤8,711). A cooperative transport model — aggregating farm produce for truck collection points within communities — would shift the distribution away from individual motorcycle dependency. Investment in rural last-mile logistics infrastructure, including collection hubs at 10–15 km intervals, is the structural intervention that addresses transport-related spoilage at scale.</w:t>
      </w:r>
    </w:p>
    <w:p>
      <w:pPr>
        <w:spacing w:after="80" w:before="0"/>
      </w:pPr>
      <w:r>
        <w:t xml:space="preserve"/>
      </w:r>
    </w:p>
    <w:p>
      <w:pPr>
        <w:pStyle w:val="Heading3"/>
        <w:spacing w:after="80" w:before="180"/>
      </w:pPr>
      <w:r>
        <w:rPr>
          <w:rFonts w:ascii="Arial" w:cs="Arial" w:eastAsia="Arial" w:hAnsi="Arial"/>
          <w:b/>
          <w:bCs/>
          <w:color w:val="2E75B6"/>
          <w:sz w:val="21"/>
          <w:szCs w:val="21"/>
        </w:rPr>
        <w:t xml:space="preserve">R5: Mobile App Ecosystem Development</w:t>
      </w:r>
    </w:p>
    <w:p>
      <w:pPr>
        <w:spacing w:after="120" w:before="80"/>
      </w:pPr>
      <w:r>
        <w:rPr>
          <w:rFonts w:ascii="Arial" w:cs="Arial" w:eastAsia="Arial" w:hAnsi="Arial"/>
          <w:b w:val="false"/>
          <w:bCs w:val="false"/>
          <w:i w:val="false"/>
          <w:iCs w:val="false"/>
          <w:color w:val="333333"/>
          <w:sz w:val="20"/>
          <w:szCs w:val="20"/>
        </w:rPr>
        <w:t xml:space="preserve">Mobile App users show the lowest average revenue loss (₤7,940), demonstrating that digital tools reduce financial damage even when they do not reduce physical spoilage directly. A curated mobile agricultural platform — integrating market price feeds, weather advisories, logistics booking, and post-harvest management guidance — should be deployed with subsidized data access for rural farmers. This is also the most scalable intervention given Nigeria’s rapid mobile penetration.</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6.3 Long-Term Strategic Initiatives (12–36 Months)</w:t>
      </w:r>
    </w:p>
    <w:p>
      <w:pPr>
        <w:pStyle w:val="Heading3"/>
        <w:spacing w:after="80" w:before="180"/>
      </w:pPr>
      <w:r>
        <w:rPr>
          <w:rFonts w:ascii="Arial" w:cs="Arial" w:eastAsia="Arial" w:hAnsi="Arial"/>
          <w:b/>
          <w:bCs/>
          <w:color w:val="2E75B6"/>
          <w:sz w:val="21"/>
          <w:szCs w:val="21"/>
        </w:rPr>
        <w:t xml:space="preserve">R6: Youth Agricultural Entrepreneur Support Ecosystem</w:t>
      </w:r>
    </w:p>
    <w:p>
      <w:pPr>
        <w:spacing w:after="120" w:before="80"/>
      </w:pPr>
      <w:r>
        <w:rPr>
          <w:rFonts w:ascii="Arial" w:cs="Arial" w:eastAsia="Arial" w:hAnsi="Arial"/>
          <w:b w:val="false"/>
          <w:bCs w:val="false"/>
          <w:i w:val="false"/>
          <w:iCs w:val="false"/>
          <w:color w:val="333333"/>
          <w:sz w:val="20"/>
          <w:szCs w:val="20"/>
        </w:rPr>
        <w:t xml:space="preserve">Youth-involved operations currently underperform on PHL metrics due to structural resource constraints rather than operational failures. A dedicated Youth Post-Harvest Enterprise Programme should provide: (1) subsidized hermetic storage and solar drying equipment, (2) mandatory post-harvest management training with certification, (3) mobile market linkage platforms, (4) cooperative buying groups for bulk input access, and (5) market guarantees through agro-processing partnerships. This programme, designed around the 39.9% youth-involved farms in the dataset, would convert current underperformance into a strategic agricultural transformation engine.</w:t>
      </w:r>
    </w:p>
    <w:p>
      <w:pPr>
        <w:spacing w:after="80" w:before="0"/>
      </w:pPr>
      <w:r>
        <w:t xml:space="preserve"/>
      </w:r>
    </w:p>
    <w:p>
      <w:pPr>
        <w:pStyle w:val="Heading3"/>
        <w:spacing w:after="80" w:before="180"/>
      </w:pPr>
      <w:r>
        <w:rPr>
          <w:rFonts w:ascii="Arial" w:cs="Arial" w:eastAsia="Arial" w:hAnsi="Arial"/>
          <w:b/>
          <w:bCs/>
          <w:color w:val="2E75B6"/>
          <w:sz w:val="21"/>
          <w:szCs w:val="21"/>
        </w:rPr>
        <w:t xml:space="preserve">R7: Regional Post-Harvest Intelligence Centres</w:t>
      </w:r>
    </w:p>
    <w:p>
      <w:pPr>
        <w:spacing w:after="120" w:before="80"/>
      </w:pPr>
      <w:r>
        <w:rPr>
          <w:rFonts w:ascii="Arial" w:cs="Arial" w:eastAsia="Arial" w:hAnsi="Arial"/>
          <w:b w:val="false"/>
          <w:bCs w:val="false"/>
          <w:i w:val="false"/>
          <w:iCs w:val="false"/>
          <w:color w:val="333333"/>
          <w:sz w:val="20"/>
          <w:szCs w:val="20"/>
        </w:rPr>
        <w:t xml:space="preserve">Establishing regional intelligence centres in North East, South West, and North West — the three highest-risk zones — would create permanent institutional capacity for post-harvest data collection, analysis, and intervention coordination. These centres would serve as the operational backbone for training delivery, technology distribution, cold chain oversight, and logistics coordination, generating real-time intelligence that enables responsive, adaptive policy-making.</w:t>
      </w:r>
    </w:p>
    <w:p>
      <w:pPr>
        <w:spacing w:after="80" w:before="0"/>
      </w:pPr>
      <w:r>
        <w:t xml:space="preserve"/>
      </w:r>
    </w:p>
    <w:p>
      <w:pPr>
        <w:pStyle w:val="Heading3"/>
        <w:spacing w:after="80" w:before="180"/>
      </w:pPr>
      <w:r>
        <w:rPr>
          <w:rFonts w:ascii="Arial" w:cs="Arial" w:eastAsia="Arial" w:hAnsi="Arial"/>
          <w:b/>
          <w:bCs/>
          <w:color w:val="2E75B6"/>
          <w:sz w:val="21"/>
          <w:szCs w:val="21"/>
        </w:rPr>
        <w:t xml:space="preserve">R8: Solar Dryer Expansion for Dry Season Operations</w:t>
      </w:r>
    </w:p>
    <w:p>
      <w:pPr>
        <w:spacing w:after="120" w:before="80"/>
      </w:pPr>
      <w:r>
        <w:rPr>
          <w:rFonts w:ascii="Arial" w:cs="Arial" w:eastAsia="Arial" w:hAnsi="Arial"/>
          <w:b w:val="false"/>
          <w:bCs w:val="false"/>
          <w:i w:val="false"/>
          <w:iCs w:val="false"/>
          <w:color w:val="333333"/>
          <w:sz w:val="20"/>
          <w:szCs w:val="20"/>
        </w:rPr>
        <w:t xml:space="preserve">Solar Dryer users demonstrate a meaningful PHL advantage (19.11%) over no-technology users (19.38%), with particular relevance during the Dry Season when high ambient temperatures accelerate spoilage of moisture-heavy crops. Expanding solar dryer access — particularly for Tomato, Pepper, and Cassava farmers — would address both spoilage reduction and value-added processing opportunities, enabling farmers to produce dried goods with longer shelf lives and higher market prices.</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7: RISK CONSIDERATIONS &amp; SCALABILITY OPPORTUNITIES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7.1 Key Risk Considerations</w:t>
      </w:r>
    </w:p>
    <w:p>
      <w:pPr>
        <w:pStyle w:val="ListParagraph"/>
        <w:numPr>
          <w:ilvl w:val="0"/>
          <w:numId w:val="2"/>
        </w:numPr>
        <w:spacing w:after="60" w:before="40"/>
      </w:pPr>
      <w:r>
        <w:rPr>
          <w:rFonts w:ascii="Arial" w:cs="Arial" w:eastAsia="Arial" w:hAnsi="Arial"/>
          <w:color w:val="333333"/>
          <w:sz w:val="20"/>
          <w:szCs w:val="20"/>
        </w:rPr>
        <w:t xml:space="preserve">Infrastructure Risk: Cold storage remediation requires reliable power grid access. In zones with persistent electricity shortfalls, solar-powered cold chain solutions must be the primary investment vehicle.</w:t>
      </w:r>
    </w:p>
    <w:p>
      <w:pPr>
        <w:pStyle w:val="ListParagraph"/>
        <w:numPr>
          <w:ilvl w:val="0"/>
          <w:numId w:val="2"/>
        </w:numPr>
        <w:spacing w:after="60" w:before="40"/>
      </w:pPr>
      <w:r>
        <w:rPr>
          <w:rFonts w:ascii="Arial" w:cs="Arial" w:eastAsia="Arial" w:hAnsi="Arial"/>
          <w:color w:val="333333"/>
          <w:sz w:val="20"/>
          <w:szCs w:val="20"/>
        </w:rPr>
        <w:t xml:space="preserve">Adoption Risk: Technology distribution without accompanying behavioral change programmes risks creating ‘shelf assets’ that are purchased but not used. Distribution must be paired with mandatory practical training.</w:t>
      </w:r>
    </w:p>
    <w:p>
      <w:pPr>
        <w:pStyle w:val="ListParagraph"/>
        <w:numPr>
          <w:ilvl w:val="0"/>
          <w:numId w:val="2"/>
        </w:numPr>
        <w:spacing w:after="60" w:before="40"/>
      </w:pPr>
      <w:r>
        <w:rPr>
          <w:rFonts w:ascii="Arial" w:cs="Arial" w:eastAsia="Arial" w:hAnsi="Arial"/>
          <w:color w:val="333333"/>
          <w:sz w:val="20"/>
          <w:szCs w:val="20"/>
        </w:rPr>
        <w:t xml:space="preserve">Seasonal Risk: Agricultural interventions must be timed to pre-harvest deployment windows. Interventions introduced mid-season have lower adoption and impact rates.</w:t>
      </w:r>
    </w:p>
    <w:p>
      <w:pPr>
        <w:pStyle w:val="ListParagraph"/>
        <w:numPr>
          <w:ilvl w:val="0"/>
          <w:numId w:val="2"/>
        </w:numPr>
        <w:spacing w:after="60" w:before="40"/>
      </w:pPr>
      <w:r>
        <w:rPr>
          <w:rFonts w:ascii="Arial" w:cs="Arial" w:eastAsia="Arial" w:hAnsi="Arial"/>
          <w:color w:val="333333"/>
          <w:sz w:val="20"/>
          <w:szCs w:val="20"/>
        </w:rPr>
        <w:t xml:space="preserve">Data Continuity Risk: The current dataset covers 2023–2024. Sustained intelligence requires annual data refresh cycles with consistent methodology to enable trend analysis and programme impact measurement.</w:t>
      </w:r>
    </w:p>
    <w:p>
      <w:pPr>
        <w:pStyle w:val="ListParagraph"/>
        <w:numPr>
          <w:ilvl w:val="0"/>
          <w:numId w:val="2"/>
        </w:numPr>
        <w:spacing w:after="60" w:before="40"/>
      </w:pPr>
      <w:r>
        <w:rPr>
          <w:rFonts w:ascii="Arial" w:cs="Arial" w:eastAsia="Arial" w:hAnsi="Arial"/>
          <w:color w:val="333333"/>
          <w:sz w:val="20"/>
          <w:szCs w:val="20"/>
        </w:rPr>
        <w:t xml:space="preserve">Youth Dependency Risk: Programmes targeting youth entrepreneurship must include financial stability mechanisms — crop insurance, guaranteed floor pricing, or cooperative marketing structures — to prevent dropout during adverse seasons.</w:t>
      </w:r>
    </w:p>
    <w:p>
      <w:pPr>
        <w:spacing w:after="80" w:before="0"/>
      </w:pPr>
      <w:r>
        <w:t xml:space="preserve"/>
      </w:r>
    </w:p>
    <w:p>
      <w:pPr>
        <w:pStyle w:val="Heading2"/>
        <w:pBdr>
          <w:bottom w:val="single" w:color="2E75B6" w:sz="3" w:space="1"/>
        </w:pBdr>
        <w:spacing w:after="120" w:before="240"/>
      </w:pPr>
      <w:r>
        <w:rPr>
          <w:rFonts w:ascii="Arial" w:cs="Arial" w:eastAsia="Arial" w:hAnsi="Arial"/>
          <w:b/>
          <w:bCs/>
          <w:color w:val="1F3864"/>
          <w:sz w:val="24"/>
          <w:szCs w:val="24"/>
        </w:rPr>
        <w:t xml:space="preserve">7.2 Scalability Opportunities</w:t>
      </w:r>
    </w:p>
    <w:p>
      <w:pPr>
        <w:pStyle w:val="ListParagraph"/>
        <w:numPr>
          <w:ilvl w:val="0"/>
          <w:numId w:val="2"/>
        </w:numPr>
        <w:spacing w:after="60" w:before="40"/>
      </w:pPr>
      <w:r>
        <w:rPr>
          <w:rFonts w:ascii="Arial" w:cs="Arial" w:eastAsia="Arial" w:hAnsi="Arial"/>
          <w:color w:val="333333"/>
          <w:sz w:val="20"/>
          <w:szCs w:val="20"/>
        </w:rPr>
        <w:t xml:space="preserve">Digital Platform Scalability: The Mobile App intervention is the highest-scalability investment, with near-zero marginal cost per additional farmer and compound benefit through network effects — as more farmers share price and market data, the platform’s value grows.</w:t>
      </w:r>
    </w:p>
    <w:p>
      <w:pPr>
        <w:pStyle w:val="ListParagraph"/>
        <w:numPr>
          <w:ilvl w:val="0"/>
          <w:numId w:val="2"/>
        </w:numPr>
        <w:spacing w:after="60" w:before="40"/>
      </w:pPr>
      <w:r>
        <w:rPr>
          <w:rFonts w:ascii="Arial" w:cs="Arial" w:eastAsia="Arial" w:hAnsi="Arial"/>
          <w:color w:val="333333"/>
          <w:sz w:val="20"/>
          <w:szCs w:val="20"/>
        </w:rPr>
        <w:t xml:space="preserve">Cooperative Model Scalability: Truck transport cooperatives, once established in pilot zones, can scale horizontally to all regions through a replication framework with modest additional capital.</w:t>
      </w:r>
    </w:p>
    <w:p>
      <w:pPr>
        <w:pStyle w:val="ListParagraph"/>
        <w:numPr>
          <w:ilvl w:val="0"/>
          <w:numId w:val="2"/>
        </w:numPr>
        <w:spacing w:after="60" w:before="40"/>
      </w:pPr>
      <w:r>
        <w:rPr>
          <w:rFonts w:ascii="Arial" w:cs="Arial" w:eastAsia="Arial" w:hAnsi="Arial"/>
          <w:color w:val="333333"/>
          <w:sz w:val="20"/>
          <w:szCs w:val="20"/>
        </w:rPr>
        <w:t xml:space="preserve">Training Programme Scalability: Training can be scaled at low marginal cost through Train-the-Trainer models, community agricultural extension officers, and mobile video-based learning platforms.</w:t>
      </w:r>
    </w:p>
    <w:p>
      <w:pPr>
        <w:pStyle w:val="ListParagraph"/>
        <w:numPr>
          <w:ilvl w:val="0"/>
          <w:numId w:val="2"/>
        </w:numPr>
        <w:spacing w:after="60" w:before="40"/>
      </w:pPr>
      <w:r>
        <w:rPr>
          <w:rFonts w:ascii="Arial" w:cs="Arial" w:eastAsia="Arial" w:hAnsi="Arial"/>
          <w:color w:val="333333"/>
          <w:sz w:val="20"/>
          <w:szCs w:val="20"/>
        </w:rPr>
        <w:t xml:space="preserve">Hermetic Bag Manufacturing Localization: Establishing local manufacturing capacity for hermetic storage bags within Nigeria would reduce import dependency, lower costs by 30–40%, and create downstream employment while improving rural accessibility.</w:t>
      </w:r>
    </w:p>
    <w:p>
      <w:r>
        <w:br w:type="page"/>
      </w:r>
    </w:p>
    <w:p>
      <w:pPr>
        <w:pStyle w:val="Heading1"/>
        <w:pBdr>
          <w:bottom w:val="single" w:color="BF8F00" w:sz="6" w:space="1"/>
        </w:pBdr>
        <w:shd w:fill="1F3864" w:val="clear"/>
        <w:spacing w:after="160" w:before="320"/>
        <w:ind w:left="180"/>
      </w:pPr>
      <w:r>
        <w:rPr>
          <w:rFonts w:ascii="Arial" w:cs="Arial" w:eastAsia="Arial" w:hAnsi="Arial"/>
          <w:b/>
          <w:bCs/>
          <w:color w:val="FFFFFF"/>
          <w:sz w:val="28"/>
          <w:szCs w:val="28"/>
        </w:rPr>
        <w:t xml:space="preserve">SECTION 8: FINAL STRATEGIC CONCLUSION</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This analysis has produced an evidence-based, operationally detailed intelligence picture of post-harvest loss dynamics across Nigeria’s agricultural sector. The 19.25% average PHL rate documented here — affecting 5,000 farming operations and generating ₤41.4 million in documented revenue losses — is not simply an agricultural statistic. It represents household income erosion, food system inefficiency, and a structural barrier to agricultural economic development that perpetuates rural poverty.</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The root causes are well-identified and actionable. Environmental conditions above optimal thresholds, storage infrastructure quality failures, transport mode inadequacy, critically insufficient technology adoption, and undertrained farming communities are all knowable, addressable, and amenable to structured intervention. None of these are impossible problems — they are organizational, investment, and policy challenges with clear evidence-based solutions.</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The recommendations in this report are sequenced by urgency and impact. Hermetic bag distribution, training scale-up, cold storage remediation, and transport cooperative models can each be implemented within 12 months and would collectively drive a projected PHL reduction of 4–6 percentage points if deployed at scale — recovering hundreds of thousands of kilograms of produce and tens of millions of Naira in farmer revenue annually.</w:t>
      </w:r>
    </w:p>
    <w:p>
      <w:pPr>
        <w:spacing w:after="80" w:before="0"/>
      </w:pPr>
      <w:r>
        <w:t xml:space="preserve"/>
      </w:r>
    </w:p>
    <w:p>
      <w:pPr>
        <w:spacing w:after="120" w:before="80"/>
      </w:pPr>
      <w:r>
        <w:rPr>
          <w:rFonts w:ascii="Arial" w:cs="Arial" w:eastAsia="Arial" w:hAnsi="Arial"/>
          <w:b w:val="false"/>
          <w:bCs w:val="false"/>
          <w:i w:val="false"/>
          <w:iCs w:val="false"/>
          <w:color w:val="333333"/>
          <w:sz w:val="20"/>
          <w:szCs w:val="20"/>
        </w:rPr>
        <w:t xml:space="preserve">The youth agricultural entrepreneurship dimension carries strategic importance that transcends the dataset’s margins. The 39.9% of operations involving youth farmers are not merely a sub-population — they are the future of Nigerian agricultural productivity. Investing in their success through integrated support ecosystems is both a development imperative and the most sustainable path to long-term post-harvest performance improvement.</w:t>
      </w:r>
    </w:p>
    <w:p>
      <w:pPr>
        <w:spacing w:after="80" w:before="0"/>
      </w:pPr>
      <w:r>
        <w:t xml:space="preserve"/>
      </w:r>
    </w:p>
    <w:p>
      <w:pPr>
        <w:pBdr>
          <w:left w:val="single" w:color="2E75B6" w:sz="12" w:space="4"/>
        </w:pBdr>
        <w:shd w:fill="BDD7EE" w:val="clear"/>
        <w:spacing w:after="120" w:before="120"/>
        <w:ind w:left="360" w:right="360"/>
      </w:pPr>
      <w:r>
        <w:rPr>
          <w:rFonts w:ascii="Arial" w:cs="Arial" w:eastAsia="Arial" w:hAnsi="Arial"/>
          <w:b w:val="false"/>
          <w:bCs w:val="false"/>
          <w:i/>
          <w:iCs/>
          <w:color w:val="1F3864"/>
          <w:sz w:val="19"/>
          <w:szCs w:val="19"/>
        </w:rPr>
        <w:t xml:space="preserve">Final Verdict: Nigeria’s post-harvest loss challenge is solvable within a 3–5 year horizon with coordinated intervention across technology access, training quality, logistics infrastructure, and market linkage. The data is unambiguous. The pathway is clear. The strategic will to act is the only remaining variable.</w:t>
      </w:r>
    </w:p>
    <w:p>
      <w:pPr>
        <w:spacing w:after="160" w:before="0"/>
      </w:pPr>
      <w:r>
        <w:t xml:space="preserve"/>
      </w:r>
    </w:p>
    <w:p>
      <w:pPr>
        <w:spacing w:after="100" w:before="200"/>
        <w:jc w:val="center"/>
      </w:pPr>
      <w:r>
        <w:rPr>
          <w:rFonts w:ascii="Arial" w:cs="Arial" w:eastAsia="Arial" w:hAnsi="Arial"/>
          <w:color w:val="BF8F00"/>
          <w:sz w:val="20"/>
          <w:szCs w:val="20"/>
        </w:rPr>
        <w:t xml:space="preserve">────────────────────</w:t>
      </w:r>
    </w:p>
    <w:p>
      <w:pPr>
        <w:jc w:val="center"/>
      </w:pPr>
      <w:r>
        <w:rPr>
          <w:rFonts w:ascii="Arial" w:cs="Arial" w:eastAsia="Arial" w:hAnsi="Arial"/>
          <w:b/>
          <w:bCs/>
          <w:color w:val="1F3864"/>
          <w:sz w:val="22"/>
          <w:szCs w:val="22"/>
        </w:rPr>
        <w:t xml:space="preserve">END OF REPORT</w:t>
      </w:r>
    </w:p>
    <w:p>
      <w:pPr>
        <w:spacing w:before="60"/>
        <w:jc w:val="center"/>
      </w:pPr>
      <w:r>
        <w:rPr>
          <w:rFonts w:ascii="Arial" w:cs="Arial" w:eastAsia="Arial" w:hAnsi="Arial"/>
          <w:i/>
          <w:iCs/>
          <w:color w:val="888888"/>
          <w:sz w:val="16"/>
          <w:szCs w:val="16"/>
        </w:rPr>
        <w:t xml:space="preserve">Agricultural Post-Harvest Intelligence Platform | Operational Analytics Division | 2024</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666666"/>
        <w:sz w:val="16"/>
        <w:szCs w:val="16"/>
      </w:rPr>
      <w:t xml:space="preserve">Agricultural Post-Harvest Intelligence Platform  |  Produced by Operational Analytics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F3864"/>
        <w:sz w:val="16"/>
        <w:szCs w:val="16"/>
      </w:rPr>
      <w:t xml:space="preserve">NIGERIA POST-HARVEST AGRICULTURAL INTELLIGENCE REPORT  |  CONFIDENTIAL</w:t>
    </w:r>
    <w:r>
      <w:rPr>
        <w:rFonts w:ascii="Arial" w:cs="Arial" w:eastAsia="Arial" w:hAnsi="Arial"/>
        <w:color w:val="999999"/>
        <w:sz w:val="16"/>
        <w:szCs w:val="16"/>
      </w:rPr>
      <w:t xml:space="preserve">  —  </w:t>
    </w:r>
    <w:r>
      <w:rPr>
        <w:rFonts w:ascii="Arial" w:cs="Arial" w:eastAsia="Arial" w:hAnsi="Arial"/>
        <w:i/>
        <w:iCs/>
        <w:color w:val="2E75B6"/>
        <w:sz w:val="16"/>
        <w:szCs w:val="16"/>
      </w:rPr>
      <w:t xml:space="preserve">2023–2024 Dataset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2026-05-29T11:56:06.091Z</dcterms:created>
  <dcterms:modified xsi:type="dcterms:W3CDTF">2026-05-29T11:56:06.091Z</dcterms:modified>
</cp:coreProperties>
</file>

<file path=docProps/custom.xml><?xml version="1.0" encoding="utf-8"?>
<Properties xmlns="http://schemas.openxmlformats.org/officeDocument/2006/custom-properties" xmlns:vt="http://schemas.openxmlformats.org/officeDocument/2006/docPropsVTypes"/>
</file>