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03A58" w14:textId="77777777" w:rsidR="00E801CB" w:rsidRPr="00E801CB" w:rsidRDefault="00E801CB" w:rsidP="00546F35">
      <w:pPr>
        <w:rPr>
          <w:b/>
          <w:lang w:val="en-GB" w:eastAsia="he-IL" w:bidi="he-IL"/>
        </w:rPr>
      </w:pPr>
    </w:p>
    <w:p w14:paraId="3DDF453D" w14:textId="7D83CF9B" w:rsidR="00E801CB" w:rsidRPr="002751DA" w:rsidRDefault="002C6889" w:rsidP="00E801CB">
      <w:pPr>
        <w:jc w:val="center"/>
        <w:rPr>
          <w:b/>
          <w:lang w:eastAsia="he-IL" w:bidi="he-IL"/>
        </w:rPr>
      </w:pPr>
      <w:r>
        <w:rPr>
          <w:b/>
          <w:lang w:val="en-GB" w:eastAsia="he-IL" w:bidi="he-IL"/>
        </w:rPr>
        <w:t>SLA</w:t>
      </w:r>
      <w:r w:rsidR="00E801CB" w:rsidRPr="00E801CB">
        <w:rPr>
          <w:b/>
          <w:lang w:val="en-GB" w:eastAsia="he-IL" w:bidi="he-IL"/>
        </w:rPr>
        <w:t xml:space="preserve"> to the </w:t>
      </w:r>
      <w:r w:rsidR="00E801CB">
        <w:rPr>
          <w:b/>
          <w:lang w:val="en-GB" w:eastAsia="he-IL" w:bidi="he-IL"/>
        </w:rPr>
        <w:t>S</w:t>
      </w:r>
      <w:r>
        <w:rPr>
          <w:b/>
          <w:lang w:val="en-GB" w:eastAsia="he-IL" w:bidi="he-IL"/>
        </w:rPr>
        <w:t>ervices agreement dated</w:t>
      </w:r>
      <w:r w:rsidR="00E801CB" w:rsidRPr="00E801CB">
        <w:rPr>
          <w:b/>
          <w:lang w:val="en-GB" w:eastAsia="he-IL" w:bidi="he-IL"/>
        </w:rPr>
        <w:t xml:space="preserve"> </w:t>
      </w:r>
      <w:r w:rsidR="002751DA" w:rsidRPr="002751DA">
        <w:rPr>
          <w:b/>
          <w:lang w:eastAsia="he-IL" w:bidi="he-IL"/>
        </w:rPr>
        <w:t>____________</w:t>
      </w:r>
    </w:p>
    <w:p w14:paraId="187751F8" w14:textId="44C07501" w:rsidR="00E801CB" w:rsidRPr="008261B0" w:rsidRDefault="00E801CB" w:rsidP="00E801CB">
      <w:pPr>
        <w:rPr>
          <w:lang w:eastAsia="he-IL" w:bidi="he-IL"/>
        </w:rPr>
      </w:pPr>
      <w:r w:rsidRPr="00E801CB">
        <w:rPr>
          <w:highlight w:val="yellow"/>
          <w:lang w:val="en-GB" w:eastAsia="he-IL" w:bidi="he-IL"/>
        </w:rPr>
        <w:t xml:space="preserve">Creation Date: </w:t>
      </w:r>
      <w:r w:rsidR="002751DA" w:rsidRPr="008261B0">
        <w:rPr>
          <w:lang w:eastAsia="he-IL" w:bidi="he-IL"/>
        </w:rPr>
        <w:t>_________________</w:t>
      </w:r>
    </w:p>
    <w:p w14:paraId="1F1641DA" w14:textId="39700389" w:rsidR="00E801CB" w:rsidRDefault="00E801CB" w:rsidP="00E801CB">
      <w:pPr>
        <w:rPr>
          <w:lang w:val="en-GB" w:eastAsia="he-IL" w:bidi="he-IL"/>
        </w:rPr>
      </w:pPr>
      <w:r w:rsidRPr="00E801CB">
        <w:rPr>
          <w:lang w:val="en-GB" w:eastAsia="he-IL" w:bidi="he-IL"/>
        </w:rPr>
        <w:t>Entere</w:t>
      </w:r>
      <w:r>
        <w:rPr>
          <w:lang w:val="en-GB" w:eastAsia="he-IL" w:bidi="he-IL"/>
        </w:rPr>
        <w:t>d by and between "The Parties":</w:t>
      </w:r>
    </w:p>
    <w:tbl>
      <w:tblPr>
        <w:tblW w:w="10179" w:type="dxa"/>
        <w:jc w:val="center"/>
        <w:tblLayout w:type="fixed"/>
        <w:tblCellMar>
          <w:top w:w="108" w:type="dxa"/>
          <w:right w:w="0" w:type="dxa"/>
        </w:tblCellMar>
        <w:tblLook w:val="04A0" w:firstRow="1" w:lastRow="0" w:firstColumn="1" w:lastColumn="0" w:noHBand="0" w:noVBand="1"/>
      </w:tblPr>
      <w:tblGrid>
        <w:gridCol w:w="10179"/>
      </w:tblGrid>
      <w:tr w:rsidR="00E801CB" w:rsidRPr="00B55A26" w14:paraId="689B90E6" w14:textId="77777777" w:rsidTr="00A75734">
        <w:trPr>
          <w:jc w:val="center"/>
        </w:trPr>
        <w:tc>
          <w:tcPr>
            <w:tcW w:w="10179" w:type="dxa"/>
          </w:tcPr>
          <w:p w14:paraId="5A5FFF5B" w14:textId="19447876" w:rsidR="00E801CB" w:rsidRPr="00B55A26" w:rsidRDefault="00E801CB" w:rsidP="00E801CB">
            <w:pPr>
              <w:spacing w:after="0" w:line="259" w:lineRule="auto"/>
              <w:rPr>
                <w:rFonts w:eastAsiaTheme="minorHAnsi"/>
                <w:b/>
                <w:lang w:val="en-GB" w:eastAsia="en-US"/>
              </w:rPr>
            </w:pPr>
            <w:r>
              <w:rPr>
                <w:rFonts w:eastAsiaTheme="minorHAnsi"/>
                <w:b/>
                <w:lang w:val="en-GB" w:eastAsia="en-US"/>
              </w:rPr>
              <w:t xml:space="preserve">         </w:t>
            </w:r>
            <w:r w:rsidRPr="00B55A26">
              <w:rPr>
                <w:rFonts w:eastAsiaTheme="minorHAnsi"/>
                <w:b/>
                <w:lang w:val="en-GB" w:eastAsia="en-US"/>
              </w:rPr>
              <w:t>Bet Invest Ltd.</w:t>
            </w:r>
          </w:p>
          <w:p w14:paraId="2FD41C14" w14:textId="72CE0A99" w:rsidR="00E801CB" w:rsidRPr="00B55A26" w:rsidRDefault="00E801CB" w:rsidP="00E801CB">
            <w:pPr>
              <w:spacing w:after="0" w:line="259" w:lineRule="auto"/>
              <w:rPr>
                <w:rFonts w:eastAsiaTheme="minorHAnsi"/>
                <w:lang w:val="en-GB" w:eastAsia="en-US"/>
              </w:rPr>
            </w:pPr>
            <w:r>
              <w:rPr>
                <w:rFonts w:eastAsiaTheme="minorHAnsi"/>
                <w:lang w:val="en-GB" w:eastAsia="en-US"/>
              </w:rPr>
              <w:t xml:space="preserve">         </w:t>
            </w:r>
            <w:r w:rsidRPr="00B55A26">
              <w:rPr>
                <w:rFonts w:eastAsiaTheme="minorHAnsi"/>
                <w:lang w:val="en-GB" w:eastAsia="en-US"/>
              </w:rPr>
              <w:t>Company number 8348255</w:t>
            </w:r>
          </w:p>
          <w:p w14:paraId="7745F2D2" w14:textId="65799793" w:rsidR="00E801CB" w:rsidRPr="00B55A26" w:rsidRDefault="00E801CB" w:rsidP="00E801CB">
            <w:pPr>
              <w:spacing w:after="0" w:line="259" w:lineRule="auto"/>
              <w:rPr>
                <w:rFonts w:eastAsiaTheme="minorHAnsi"/>
                <w:lang w:val="en-GB" w:eastAsia="en-US"/>
              </w:rPr>
            </w:pPr>
            <w:r>
              <w:rPr>
                <w:rFonts w:eastAsiaTheme="minorHAnsi"/>
                <w:lang w:val="en-GB" w:eastAsia="en-US"/>
              </w:rPr>
              <w:t xml:space="preserve">         </w:t>
            </w:r>
            <w:r w:rsidRPr="00B55A26">
              <w:rPr>
                <w:rFonts w:eastAsiaTheme="minorHAnsi"/>
                <w:lang w:val="en-GB" w:eastAsia="en-US"/>
              </w:rPr>
              <w:t>Office 11, 43 Bedford street, London, WC2E 9HA, UK</w:t>
            </w:r>
          </w:p>
          <w:p w14:paraId="51814E09" w14:textId="04B8D652" w:rsidR="00E801CB" w:rsidRPr="00B55A26" w:rsidRDefault="00E801CB" w:rsidP="00E801CB">
            <w:pPr>
              <w:spacing w:after="0" w:line="259" w:lineRule="auto"/>
              <w:rPr>
                <w:rFonts w:eastAsiaTheme="minorHAnsi"/>
                <w:lang w:val="en-GB" w:eastAsia="en-US"/>
              </w:rPr>
            </w:pPr>
            <w:r w:rsidRPr="00B55A26">
              <w:rPr>
                <w:rFonts w:eastAsiaTheme="minorHAnsi"/>
                <w:lang w:val="en-GB" w:eastAsia="en-US"/>
              </w:rPr>
              <w:t xml:space="preserve"> </w:t>
            </w:r>
            <w:r>
              <w:rPr>
                <w:rFonts w:eastAsiaTheme="minorHAnsi"/>
                <w:lang w:val="en-GB" w:eastAsia="en-US"/>
              </w:rPr>
              <w:t xml:space="preserve">        </w:t>
            </w:r>
            <w:r w:rsidRPr="00B55A26">
              <w:rPr>
                <w:rFonts w:eastAsiaTheme="minorHAnsi"/>
                <w:lang w:val="en-GB" w:eastAsia="en-US"/>
              </w:rPr>
              <w:t>(hereinafter referred to as the "</w:t>
            </w:r>
            <w:r w:rsidRPr="00B55A26">
              <w:rPr>
                <w:rFonts w:eastAsiaTheme="minorHAnsi"/>
                <w:b/>
                <w:bCs/>
                <w:lang w:val="en-GB" w:eastAsia="en-US"/>
              </w:rPr>
              <w:t>Provider</w:t>
            </w:r>
            <w:r w:rsidRPr="00B55A26">
              <w:rPr>
                <w:rFonts w:eastAsiaTheme="minorHAnsi"/>
                <w:lang w:val="en-GB" w:eastAsia="en-US"/>
              </w:rPr>
              <w:t>")</w:t>
            </w:r>
          </w:p>
        </w:tc>
      </w:tr>
      <w:tr w:rsidR="00E801CB" w:rsidRPr="00B55A26" w14:paraId="70ABE47C" w14:textId="77777777" w:rsidTr="00A75734">
        <w:trPr>
          <w:jc w:val="center"/>
        </w:trPr>
        <w:tc>
          <w:tcPr>
            <w:tcW w:w="10179" w:type="dxa"/>
          </w:tcPr>
          <w:p w14:paraId="3312BB65" w14:textId="4202BB31" w:rsidR="00E801CB" w:rsidRPr="00B55A26" w:rsidRDefault="00E801CB" w:rsidP="00E801CB">
            <w:pPr>
              <w:spacing w:after="0" w:line="259" w:lineRule="auto"/>
              <w:rPr>
                <w:rFonts w:eastAsiaTheme="minorHAnsi"/>
                <w:lang w:val="en-GB" w:eastAsia="en-US"/>
              </w:rPr>
            </w:pPr>
            <w:r>
              <w:rPr>
                <w:rFonts w:eastAsiaTheme="minorHAnsi"/>
                <w:lang w:val="en-GB" w:eastAsia="en-US"/>
              </w:rPr>
              <w:t xml:space="preserve">          </w:t>
            </w:r>
            <w:r w:rsidRPr="00B55A26">
              <w:rPr>
                <w:rFonts w:eastAsiaTheme="minorHAnsi"/>
                <w:lang w:val="en-GB" w:eastAsia="en-US"/>
              </w:rPr>
              <w:t>and</w:t>
            </w:r>
          </w:p>
        </w:tc>
      </w:tr>
      <w:tr w:rsidR="00E801CB" w:rsidRPr="00B55A26" w14:paraId="6804FA01" w14:textId="77777777" w:rsidTr="00A75734">
        <w:trPr>
          <w:jc w:val="center"/>
        </w:trPr>
        <w:tc>
          <w:tcPr>
            <w:tcW w:w="10179" w:type="dxa"/>
          </w:tcPr>
          <w:p w14:paraId="4E643C0B" w14:textId="605E6714" w:rsidR="00E801CB" w:rsidRPr="008261B0" w:rsidRDefault="00E801CB" w:rsidP="002751DA">
            <w:pPr>
              <w:spacing w:after="0" w:line="259" w:lineRule="auto"/>
              <w:rPr>
                <w:b/>
              </w:rPr>
            </w:pPr>
            <w:r>
              <w:rPr>
                <w:b/>
                <w:lang w:val="en-GB"/>
              </w:rPr>
              <w:t xml:space="preserve">       </w:t>
            </w:r>
            <w:r w:rsidR="002751DA" w:rsidRPr="008261B0">
              <w:rPr>
                <w:b/>
              </w:rPr>
              <w:t>____________________________________________</w:t>
            </w:r>
          </w:p>
          <w:p w14:paraId="228C7554" w14:textId="017DDCC1" w:rsidR="002751DA" w:rsidRPr="008261B0" w:rsidRDefault="002751DA" w:rsidP="002751DA">
            <w:pPr>
              <w:spacing w:after="0" w:line="259" w:lineRule="auto"/>
              <w:rPr>
                <w:b/>
              </w:rPr>
            </w:pPr>
            <w:r w:rsidRPr="008261B0">
              <w:rPr>
                <w:b/>
              </w:rPr>
              <w:t xml:space="preserve">       ____________________________________________</w:t>
            </w:r>
          </w:p>
          <w:p w14:paraId="548A854B" w14:textId="77777777" w:rsidR="002751DA" w:rsidRPr="008261B0" w:rsidRDefault="002751DA" w:rsidP="002751DA">
            <w:pPr>
              <w:spacing w:after="0" w:line="259" w:lineRule="auto"/>
            </w:pPr>
            <w:r w:rsidRPr="008261B0">
              <w:t xml:space="preserve">       ____________________________________________</w:t>
            </w:r>
          </w:p>
          <w:p w14:paraId="28DA78F0" w14:textId="77777777" w:rsidR="002751DA" w:rsidRPr="008261B0" w:rsidRDefault="002751DA" w:rsidP="002751DA">
            <w:pPr>
              <w:spacing w:after="0" w:line="259" w:lineRule="auto"/>
            </w:pPr>
          </w:p>
          <w:p w14:paraId="7B9B0005" w14:textId="77777777" w:rsidR="00E801CB" w:rsidRDefault="00E801CB" w:rsidP="00E801CB">
            <w:pPr>
              <w:spacing w:after="0" w:line="259" w:lineRule="auto"/>
              <w:rPr>
                <w:rFonts w:eastAsiaTheme="minorHAnsi"/>
                <w:lang w:val="en-GB" w:eastAsia="en-US"/>
              </w:rPr>
            </w:pPr>
            <w:r>
              <w:rPr>
                <w:rFonts w:eastAsiaTheme="minorHAnsi"/>
                <w:lang w:val="en-GB" w:eastAsia="en-US"/>
              </w:rPr>
              <w:t xml:space="preserve">      </w:t>
            </w:r>
            <w:r w:rsidRPr="00B55A26">
              <w:rPr>
                <w:rFonts w:eastAsiaTheme="minorHAnsi"/>
                <w:lang w:val="en-GB" w:eastAsia="en-US"/>
              </w:rPr>
              <w:t xml:space="preserve"> </w:t>
            </w:r>
            <w:r>
              <w:rPr>
                <w:rFonts w:eastAsiaTheme="minorHAnsi"/>
                <w:lang w:val="en-GB" w:eastAsia="en-US"/>
              </w:rPr>
              <w:t xml:space="preserve">  </w:t>
            </w:r>
            <w:r w:rsidRPr="00B55A26">
              <w:rPr>
                <w:rFonts w:eastAsiaTheme="minorHAnsi"/>
                <w:lang w:val="en-GB" w:eastAsia="en-US"/>
              </w:rPr>
              <w:t>(hereinafter referred to as the "</w:t>
            </w:r>
            <w:r w:rsidRPr="00B55A26">
              <w:rPr>
                <w:rFonts w:eastAsiaTheme="minorHAnsi"/>
                <w:b/>
                <w:bCs/>
                <w:lang w:val="en-GB" w:eastAsia="en-US"/>
              </w:rPr>
              <w:t>Recipient</w:t>
            </w:r>
            <w:r w:rsidRPr="00B55A26">
              <w:rPr>
                <w:rFonts w:eastAsiaTheme="minorHAnsi"/>
                <w:lang w:val="en-GB" w:eastAsia="en-US"/>
              </w:rPr>
              <w:t>")</w:t>
            </w:r>
          </w:p>
          <w:p w14:paraId="766050B4" w14:textId="01C6B5D9" w:rsidR="00E801CB" w:rsidRPr="00B55A26" w:rsidRDefault="00E801CB" w:rsidP="00E801CB">
            <w:pPr>
              <w:spacing w:after="0" w:line="259" w:lineRule="auto"/>
              <w:rPr>
                <w:rFonts w:eastAsiaTheme="minorHAnsi"/>
                <w:lang w:val="en-GB" w:eastAsia="en-US"/>
              </w:rPr>
            </w:pPr>
          </w:p>
        </w:tc>
      </w:tr>
    </w:tbl>
    <w:p w14:paraId="08751353" w14:textId="0209CA20" w:rsidR="00E801CB" w:rsidRDefault="00E801CB" w:rsidP="00546F35">
      <w:pPr>
        <w:rPr>
          <w:lang w:val="en-GB" w:eastAsia="he-IL" w:bidi="he-IL"/>
        </w:rPr>
      </w:pPr>
      <w:r w:rsidRPr="00B55A26">
        <w:rPr>
          <w:rFonts w:eastAsiaTheme="minorHAnsi"/>
          <w:lang w:val="en-GB" w:eastAsia="en-US"/>
        </w:rPr>
        <w:t>as follows:</w:t>
      </w:r>
    </w:p>
    <w:tbl>
      <w:tblPr>
        <w:tblW w:w="9180" w:type="dxa"/>
        <w:tblInd w:w="-5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903"/>
        <w:gridCol w:w="1277"/>
      </w:tblGrid>
      <w:tr w:rsidR="002559E0" w14:paraId="35DA5DDE" w14:textId="77777777" w:rsidTr="002B53E1">
        <w:tc>
          <w:tcPr>
            <w:tcW w:w="7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52927E" w14:textId="77777777" w:rsidR="002559E0" w:rsidRDefault="002559E0" w:rsidP="002D3C4A">
            <w:pPr>
              <w:snapToGrid w:val="0"/>
              <w:spacing w:after="0"/>
              <w:rPr>
                <w:rFonts w:cs="Calibri"/>
                <w:color w:val="00000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ADF03" w14:textId="77777777" w:rsidR="002559E0" w:rsidRDefault="002559E0" w:rsidP="002D3C4A">
            <w:pPr>
              <w:spacing w:after="0"/>
              <w:jc w:val="both"/>
            </w:pPr>
            <w:r>
              <w:rPr>
                <w:rFonts w:cs="Calibri"/>
                <w:b/>
                <w:color w:val="000000"/>
              </w:rPr>
              <w:t>Periodi</w:t>
            </w:r>
            <w:r w:rsidR="007B2DEC">
              <w:rPr>
                <w:rFonts w:cs="Calibri"/>
                <w:b/>
                <w:color w:val="000000"/>
              </w:rPr>
              <w:t>ci</w:t>
            </w:r>
            <w:r>
              <w:rPr>
                <w:rFonts w:cs="Calibri"/>
                <w:b/>
                <w:color w:val="000000"/>
              </w:rPr>
              <w:t>ty</w:t>
            </w:r>
          </w:p>
        </w:tc>
      </w:tr>
      <w:tr w:rsidR="002559E0" w14:paraId="607F00F6" w14:textId="77777777" w:rsidTr="002B53E1">
        <w:trPr>
          <w:trHeight w:val="256"/>
        </w:trPr>
        <w:tc>
          <w:tcPr>
            <w:tcW w:w="7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14:paraId="154FD715" w14:textId="77777777" w:rsidR="002559E0" w:rsidRDefault="002559E0" w:rsidP="002D3C4A">
            <w:pPr>
              <w:spacing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iCs/>
                <w:color w:val="000000"/>
              </w:rPr>
              <w:t>Configuration, Set-up &amp; Integration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14:paraId="32FAF468" w14:textId="77777777" w:rsidR="002559E0" w:rsidRDefault="002559E0" w:rsidP="002D3C4A">
            <w:pPr>
              <w:snapToGrid w:val="0"/>
              <w:spacing w:after="0"/>
              <w:jc w:val="center"/>
              <w:rPr>
                <w:rFonts w:cs="Calibri"/>
                <w:color w:val="000000"/>
              </w:rPr>
            </w:pPr>
          </w:p>
        </w:tc>
      </w:tr>
      <w:tr w:rsidR="002559E0" w14:paraId="41E6E8A1" w14:textId="77777777" w:rsidTr="002B53E1">
        <w:tc>
          <w:tcPr>
            <w:tcW w:w="7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4CCA4" w14:textId="77777777" w:rsidR="0001285C" w:rsidRDefault="00203401" w:rsidP="002D3C4A">
            <w:pPr>
              <w:spacing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Branded Web-Site</w:t>
            </w:r>
          </w:p>
          <w:p w14:paraId="673B58F0" w14:textId="77777777" w:rsidR="002559E0" w:rsidRDefault="00203401" w:rsidP="002D3C4A">
            <w:pPr>
              <w:spacing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Branded Mobile Version</w:t>
            </w:r>
            <w:r w:rsidR="00B06550">
              <w:rPr>
                <w:rFonts w:cs="Calibri"/>
                <w:color w:val="000000"/>
              </w:rPr>
              <w:t>*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FD338" w14:textId="77777777" w:rsidR="002559E0" w:rsidRDefault="00203401" w:rsidP="002D3C4A">
            <w:pPr>
              <w:spacing w:after="0"/>
              <w:jc w:val="center"/>
            </w:pPr>
            <w:r>
              <w:rPr>
                <w:rFonts w:cs="Calibri"/>
                <w:color w:val="000000"/>
              </w:rPr>
              <w:t>Once</w:t>
            </w:r>
          </w:p>
        </w:tc>
      </w:tr>
      <w:tr w:rsidR="002559E0" w14:paraId="227640BD" w14:textId="77777777" w:rsidTr="002B53E1">
        <w:tc>
          <w:tcPr>
            <w:tcW w:w="7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7747DF" w14:textId="77777777" w:rsidR="002559E0" w:rsidRDefault="002559E0" w:rsidP="00203401">
            <w:pPr>
              <w:spacing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Hardware Set-up </w:t>
            </w:r>
            <w:r w:rsidR="00203401">
              <w:rPr>
                <w:rFonts w:cs="Calibri"/>
                <w:color w:val="000000"/>
              </w:rPr>
              <w:t>Assistance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D189E" w14:textId="77777777" w:rsidR="002559E0" w:rsidRDefault="00203401" w:rsidP="002D3C4A">
            <w:pPr>
              <w:snapToGrid w:val="0"/>
              <w:spacing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Once</w:t>
            </w:r>
          </w:p>
        </w:tc>
      </w:tr>
      <w:tr w:rsidR="002559E0" w14:paraId="212163D9" w14:textId="77777777" w:rsidTr="002B53E1">
        <w:tc>
          <w:tcPr>
            <w:tcW w:w="7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9E563F" w14:textId="77777777" w:rsidR="002559E0" w:rsidRDefault="00203401" w:rsidP="00203401">
            <w:pPr>
              <w:spacing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Sportbetting Software </w:t>
            </w:r>
            <w:r w:rsidR="002559E0">
              <w:rPr>
                <w:rFonts w:cs="Calibri"/>
                <w:color w:val="000000"/>
              </w:rPr>
              <w:t>set-up &amp; installation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F8295" w14:textId="77777777" w:rsidR="002559E0" w:rsidRDefault="00203401" w:rsidP="002D3C4A">
            <w:pPr>
              <w:snapToGrid w:val="0"/>
              <w:spacing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Once</w:t>
            </w:r>
          </w:p>
        </w:tc>
      </w:tr>
      <w:tr w:rsidR="002559E0" w14:paraId="3110C84B" w14:textId="77777777" w:rsidTr="002B53E1">
        <w:tc>
          <w:tcPr>
            <w:tcW w:w="7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004DE2" w14:textId="77777777" w:rsidR="002559E0" w:rsidRDefault="00203401" w:rsidP="00203401">
            <w:pPr>
              <w:spacing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Cashdesk Solution Distributive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8869B" w14:textId="77777777" w:rsidR="002559E0" w:rsidRDefault="00203401" w:rsidP="002D3C4A">
            <w:pPr>
              <w:snapToGrid w:val="0"/>
              <w:spacing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Once</w:t>
            </w:r>
          </w:p>
        </w:tc>
      </w:tr>
      <w:tr w:rsidR="002559E0" w14:paraId="3EF2670B" w14:textId="77777777" w:rsidTr="002B53E1">
        <w:tc>
          <w:tcPr>
            <w:tcW w:w="7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E0B2DF" w14:textId="77777777" w:rsidR="002559E0" w:rsidRDefault="00203401" w:rsidP="002D3C4A">
            <w:pPr>
              <w:spacing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BI system (Pentaho free version)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AF5BF" w14:textId="77777777" w:rsidR="002559E0" w:rsidRDefault="00203401" w:rsidP="002D3C4A">
            <w:pPr>
              <w:spacing w:after="0"/>
              <w:jc w:val="center"/>
            </w:pPr>
            <w:r>
              <w:rPr>
                <w:rFonts w:cs="Calibri"/>
                <w:color w:val="000000"/>
              </w:rPr>
              <w:t>Once</w:t>
            </w:r>
          </w:p>
        </w:tc>
      </w:tr>
      <w:tr w:rsidR="002559E0" w14:paraId="29E4BAE7" w14:textId="77777777" w:rsidTr="002B53E1">
        <w:tc>
          <w:tcPr>
            <w:tcW w:w="7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14:paraId="7467F5D9" w14:textId="77777777" w:rsidR="002559E0" w:rsidRDefault="002559E0" w:rsidP="002D3C4A">
            <w:pPr>
              <w:spacing w:after="0"/>
              <w:jc w:val="both"/>
              <w:rPr>
                <w:rFonts w:cs="Calibri"/>
                <w:b/>
                <w:iCs/>
                <w:color w:val="000000"/>
              </w:rPr>
            </w:pPr>
            <w:r>
              <w:rPr>
                <w:rFonts w:cs="Calibri"/>
                <w:b/>
                <w:iCs/>
                <w:color w:val="000000"/>
              </w:rPr>
              <w:t>Pre-Launch Activities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14:paraId="534F7267" w14:textId="77777777" w:rsidR="002559E0" w:rsidRDefault="002559E0" w:rsidP="002D3C4A">
            <w:pPr>
              <w:snapToGrid w:val="0"/>
              <w:spacing w:after="0"/>
              <w:jc w:val="center"/>
              <w:rPr>
                <w:rFonts w:cs="Calibri"/>
                <w:b/>
                <w:iCs/>
                <w:color w:val="000000"/>
              </w:rPr>
            </w:pPr>
          </w:p>
        </w:tc>
      </w:tr>
      <w:tr w:rsidR="002559E0" w14:paraId="7B7E4091" w14:textId="77777777" w:rsidTr="002B53E1">
        <w:tc>
          <w:tcPr>
            <w:tcW w:w="7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E2EF75" w14:textId="77777777" w:rsidR="002559E0" w:rsidRDefault="00203401" w:rsidP="002D3C4A">
            <w:pPr>
              <w:spacing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TSU Certification Assistance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9368C" w14:textId="77777777" w:rsidR="002559E0" w:rsidRDefault="00203401" w:rsidP="002D3C4A">
            <w:pPr>
              <w:spacing w:after="0"/>
              <w:jc w:val="center"/>
            </w:pPr>
            <w:r>
              <w:rPr>
                <w:rFonts w:cs="Calibri"/>
                <w:color w:val="000000"/>
              </w:rPr>
              <w:t>Once</w:t>
            </w:r>
          </w:p>
        </w:tc>
      </w:tr>
      <w:tr w:rsidR="002559E0" w14:paraId="585F9951" w14:textId="77777777" w:rsidTr="002B53E1">
        <w:tc>
          <w:tcPr>
            <w:tcW w:w="7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800538" w14:textId="77777777" w:rsidR="002559E0" w:rsidRDefault="00203401" w:rsidP="002D3C4A">
            <w:pPr>
              <w:spacing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Customer Support Team Training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509A4" w14:textId="77777777" w:rsidR="002559E0" w:rsidRDefault="002B53E1" w:rsidP="002D3C4A">
            <w:pPr>
              <w:spacing w:after="0"/>
              <w:jc w:val="center"/>
            </w:pPr>
            <w:r>
              <w:rPr>
                <w:rFonts w:cs="Calibri"/>
                <w:color w:val="000000"/>
              </w:rPr>
              <w:t>Once</w:t>
            </w:r>
          </w:p>
        </w:tc>
      </w:tr>
      <w:tr w:rsidR="00203401" w14:paraId="14C35BC4" w14:textId="77777777" w:rsidTr="002B53E1">
        <w:tc>
          <w:tcPr>
            <w:tcW w:w="7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898FDD" w14:textId="5CDC5617" w:rsidR="002A7C42" w:rsidRDefault="00203401" w:rsidP="002D3C4A">
            <w:pPr>
              <w:spacing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Cashdesk Support Team Training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11083" w14:textId="77777777" w:rsidR="00203401" w:rsidRDefault="002B53E1" w:rsidP="002D3C4A">
            <w:pPr>
              <w:spacing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Once</w:t>
            </w:r>
          </w:p>
        </w:tc>
      </w:tr>
      <w:tr w:rsidR="00203401" w14:paraId="7391F0F3" w14:textId="77777777" w:rsidTr="002B53E1">
        <w:tc>
          <w:tcPr>
            <w:tcW w:w="7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A43071" w14:textId="77777777" w:rsidR="00203401" w:rsidRDefault="00203401" w:rsidP="00203401">
            <w:pPr>
              <w:spacing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Sportbetting </w:t>
            </w:r>
            <w:r w:rsidR="002B53E1">
              <w:rPr>
                <w:rFonts w:cs="Calibri"/>
                <w:color w:val="000000"/>
              </w:rPr>
              <w:t>Odds Preparation (Printed Version and Web-Site) Training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32868" w14:textId="77777777" w:rsidR="00203401" w:rsidRDefault="002B53E1" w:rsidP="002D3C4A">
            <w:pPr>
              <w:spacing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Once</w:t>
            </w:r>
          </w:p>
        </w:tc>
      </w:tr>
      <w:tr w:rsidR="002A7C42" w14:paraId="69B0CD9A" w14:textId="77777777" w:rsidTr="002B53E1">
        <w:tc>
          <w:tcPr>
            <w:tcW w:w="7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0C7DF6" w14:textId="287F196A" w:rsidR="002A7C42" w:rsidRDefault="002A7C42" w:rsidP="00203401">
            <w:pPr>
              <w:spacing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IT Training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9077C" w14:textId="78DAFF8A" w:rsidR="002A7C42" w:rsidRDefault="002A7C42" w:rsidP="002D3C4A">
            <w:pPr>
              <w:spacing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Once</w:t>
            </w:r>
          </w:p>
        </w:tc>
      </w:tr>
    </w:tbl>
    <w:p w14:paraId="40D58BF2" w14:textId="77777777" w:rsidR="002559E0" w:rsidRPr="00127C38" w:rsidRDefault="00B06550" w:rsidP="00546F35">
      <w:pPr>
        <w:rPr>
          <w:lang w:eastAsia="he-IL" w:bidi="he-IL"/>
        </w:rPr>
      </w:pPr>
      <w:r>
        <w:rPr>
          <w:lang w:val="en-GB" w:eastAsia="he-IL" w:bidi="he-IL"/>
        </w:rPr>
        <w:t>* - For the current web-site available immediately, for the new version in 2 months after the launch</w:t>
      </w:r>
    </w:p>
    <w:tbl>
      <w:tblPr>
        <w:tblStyle w:val="aa"/>
        <w:tblW w:w="9180" w:type="dxa"/>
        <w:tblLayout w:type="fixed"/>
        <w:tblLook w:val="04A0" w:firstRow="1" w:lastRow="0" w:firstColumn="1" w:lastColumn="0" w:noHBand="0" w:noVBand="1"/>
      </w:tblPr>
      <w:tblGrid>
        <w:gridCol w:w="1857"/>
        <w:gridCol w:w="2646"/>
        <w:gridCol w:w="1559"/>
        <w:gridCol w:w="1559"/>
        <w:gridCol w:w="1559"/>
      </w:tblGrid>
      <w:tr w:rsidR="005D4856" w:rsidRPr="00DC2A81" w14:paraId="08034789" w14:textId="77777777" w:rsidTr="005D4856">
        <w:tc>
          <w:tcPr>
            <w:tcW w:w="9180" w:type="dxa"/>
            <w:gridSpan w:val="5"/>
            <w:shd w:val="clear" w:color="auto" w:fill="8EAADB" w:themeFill="accent5" w:themeFillTint="99"/>
            <w:vAlign w:val="center"/>
          </w:tcPr>
          <w:p w14:paraId="5B668B85" w14:textId="77777777" w:rsidR="005D4856" w:rsidRPr="005D4856" w:rsidRDefault="005D4856" w:rsidP="002D3C4A">
            <w:pPr>
              <w:spacing w:after="0"/>
              <w:jc w:val="both"/>
              <w:rPr>
                <w:rFonts w:cs="Calibri"/>
                <w:b/>
                <w:iCs/>
                <w:color w:val="66FF99"/>
              </w:rPr>
            </w:pPr>
            <w:r>
              <w:rPr>
                <w:rFonts w:cs="Calibri"/>
                <w:b/>
                <w:iCs/>
                <w:color w:val="000000"/>
              </w:rPr>
              <w:t>Ongoing Operation</w:t>
            </w:r>
          </w:p>
        </w:tc>
      </w:tr>
      <w:tr w:rsidR="005D4856" w14:paraId="7C5DBA2D" w14:textId="77777777" w:rsidTr="00AF0A6B">
        <w:tc>
          <w:tcPr>
            <w:tcW w:w="1857" w:type="dxa"/>
          </w:tcPr>
          <w:p w14:paraId="00DBFA90" w14:textId="77777777" w:rsidR="005D4856" w:rsidRPr="005D4856" w:rsidRDefault="005D4856" w:rsidP="00546F35">
            <w:pPr>
              <w:rPr>
                <w:lang w:eastAsia="he-IL" w:bidi="he-IL"/>
              </w:rPr>
            </w:pPr>
            <w:r>
              <w:rPr>
                <w:lang w:eastAsia="he-IL" w:bidi="he-IL"/>
              </w:rPr>
              <w:t>Critical level</w:t>
            </w:r>
          </w:p>
        </w:tc>
        <w:tc>
          <w:tcPr>
            <w:tcW w:w="2646" w:type="dxa"/>
          </w:tcPr>
          <w:p w14:paraId="122804BD" w14:textId="77777777" w:rsidR="005D4856" w:rsidRPr="005D4856" w:rsidRDefault="005D4856" w:rsidP="00546F35">
            <w:pPr>
              <w:rPr>
                <w:lang w:eastAsia="he-IL" w:bidi="he-IL"/>
              </w:rPr>
            </w:pPr>
            <w:r>
              <w:rPr>
                <w:lang w:eastAsia="he-IL" w:bidi="he-IL"/>
              </w:rPr>
              <w:t>Incident description</w:t>
            </w:r>
          </w:p>
        </w:tc>
        <w:tc>
          <w:tcPr>
            <w:tcW w:w="1559" w:type="dxa"/>
          </w:tcPr>
          <w:p w14:paraId="244A7066" w14:textId="77777777" w:rsidR="005D4856" w:rsidRPr="005D4856" w:rsidRDefault="005D4856" w:rsidP="00546F35">
            <w:pPr>
              <w:rPr>
                <w:lang w:eastAsia="he-IL" w:bidi="he-IL"/>
              </w:rPr>
            </w:pPr>
            <w:r>
              <w:rPr>
                <w:lang w:eastAsia="he-IL" w:bidi="he-IL"/>
              </w:rPr>
              <w:t>Response time</w:t>
            </w:r>
          </w:p>
        </w:tc>
        <w:tc>
          <w:tcPr>
            <w:tcW w:w="1559" w:type="dxa"/>
          </w:tcPr>
          <w:p w14:paraId="56C6BEB3" w14:textId="77777777" w:rsidR="005D4856" w:rsidRPr="00196BB4" w:rsidRDefault="00196BB4" w:rsidP="00546F35">
            <w:pPr>
              <w:rPr>
                <w:lang w:eastAsia="he-IL" w:bidi="he-IL"/>
              </w:rPr>
            </w:pPr>
            <w:r>
              <w:rPr>
                <w:lang w:eastAsia="he-IL" w:bidi="he-IL"/>
              </w:rPr>
              <w:t>Clearing time</w:t>
            </w:r>
          </w:p>
        </w:tc>
        <w:tc>
          <w:tcPr>
            <w:tcW w:w="1559" w:type="dxa"/>
          </w:tcPr>
          <w:p w14:paraId="218EBFB8" w14:textId="77777777" w:rsidR="005D4856" w:rsidRPr="00196BB4" w:rsidRDefault="00196BB4" w:rsidP="00546F35">
            <w:pPr>
              <w:rPr>
                <w:lang w:eastAsia="he-IL" w:bidi="he-IL"/>
              </w:rPr>
            </w:pPr>
            <w:r>
              <w:rPr>
                <w:lang w:eastAsia="he-IL" w:bidi="he-IL"/>
              </w:rPr>
              <w:t>Staff uptime</w:t>
            </w:r>
          </w:p>
        </w:tc>
      </w:tr>
      <w:tr w:rsidR="005D4856" w:rsidRPr="009A0C7B" w14:paraId="6A739B6A" w14:textId="77777777" w:rsidTr="00AF0A6B">
        <w:tc>
          <w:tcPr>
            <w:tcW w:w="1857" w:type="dxa"/>
          </w:tcPr>
          <w:p w14:paraId="32BC435D" w14:textId="77777777" w:rsidR="005D4856" w:rsidRPr="00AE7F35" w:rsidRDefault="00AE7F35" w:rsidP="00546F35">
            <w:pPr>
              <w:rPr>
                <w:lang w:eastAsia="he-IL" w:bidi="he-IL"/>
              </w:rPr>
            </w:pPr>
            <w:r>
              <w:rPr>
                <w:lang w:eastAsia="he-IL" w:bidi="he-IL"/>
              </w:rPr>
              <w:lastRenderedPageBreak/>
              <w:t>Action level</w:t>
            </w:r>
          </w:p>
        </w:tc>
        <w:tc>
          <w:tcPr>
            <w:tcW w:w="2646" w:type="dxa"/>
          </w:tcPr>
          <w:p w14:paraId="7B7119BA" w14:textId="77777777" w:rsidR="005D4856" w:rsidRDefault="009A0C7B" w:rsidP="00546F35">
            <w:pPr>
              <w:rPr>
                <w:lang w:eastAsia="he-IL" w:bidi="he-IL"/>
              </w:rPr>
            </w:pPr>
            <w:r>
              <w:rPr>
                <w:lang w:eastAsia="he-IL" w:bidi="he-IL"/>
              </w:rPr>
              <w:t>Complete rejection of informational system by reason of technic or operating accident;</w:t>
            </w:r>
          </w:p>
          <w:p w14:paraId="3CF4F7B2" w14:textId="77777777" w:rsidR="009A0C7B" w:rsidRPr="009A0C7B" w:rsidRDefault="009A0C7B" w:rsidP="00546F35">
            <w:pPr>
              <w:rPr>
                <w:lang w:eastAsia="he-IL" w:bidi="he-IL"/>
              </w:rPr>
            </w:pPr>
            <w:r>
              <w:rPr>
                <w:lang w:eastAsia="he-IL" w:bidi="he-IL"/>
              </w:rPr>
              <w:t xml:space="preserve">Rejection of critical services if impossible to resolve the problem remotely. </w:t>
            </w:r>
          </w:p>
        </w:tc>
        <w:tc>
          <w:tcPr>
            <w:tcW w:w="1559" w:type="dxa"/>
          </w:tcPr>
          <w:p w14:paraId="1CCF3CB6" w14:textId="15D38F11" w:rsidR="005D4856" w:rsidRPr="009C5571" w:rsidRDefault="00C5266F" w:rsidP="00E46B00">
            <w:pPr>
              <w:rPr>
                <w:lang w:eastAsia="he-IL" w:bidi="he-IL"/>
              </w:rPr>
            </w:pPr>
            <w:r>
              <w:rPr>
                <w:lang w:eastAsia="he-IL" w:bidi="he-IL"/>
              </w:rPr>
              <w:t>Up to 30</w:t>
            </w:r>
            <w:r w:rsidR="009C5571" w:rsidRPr="009C5571">
              <w:rPr>
                <w:lang w:eastAsia="he-IL" w:bidi="he-IL"/>
              </w:rPr>
              <w:t xml:space="preserve"> minutes</w:t>
            </w:r>
          </w:p>
          <w:p w14:paraId="4A8FBF28" w14:textId="77777777" w:rsidR="00E46B00" w:rsidRPr="00E46B00" w:rsidRDefault="00E46B00" w:rsidP="00E46B00">
            <w:pPr>
              <w:rPr>
                <w:lang w:eastAsia="he-IL" w:bidi="he-IL"/>
              </w:rPr>
            </w:pPr>
            <w:r>
              <w:rPr>
                <w:lang w:eastAsia="he-IL" w:bidi="he-IL"/>
              </w:rPr>
              <w:t>**</w:t>
            </w:r>
          </w:p>
        </w:tc>
        <w:tc>
          <w:tcPr>
            <w:tcW w:w="1559" w:type="dxa"/>
          </w:tcPr>
          <w:p w14:paraId="07A53E25" w14:textId="673583C8" w:rsidR="005D4856" w:rsidRPr="00AE7F35" w:rsidRDefault="00AE7F35" w:rsidP="00546F35">
            <w:pPr>
              <w:rPr>
                <w:lang w:eastAsia="he-IL" w:bidi="he-IL"/>
              </w:rPr>
            </w:pPr>
            <w:r w:rsidRPr="009C5571">
              <w:rPr>
                <w:lang w:eastAsia="he-IL" w:bidi="he-IL"/>
              </w:rPr>
              <w:t>1-3</w:t>
            </w:r>
            <w:r w:rsidR="00C76B5C">
              <w:rPr>
                <w:lang w:eastAsia="he-IL" w:bidi="he-IL"/>
              </w:rPr>
              <w:t xml:space="preserve"> </w:t>
            </w:r>
            <w:r>
              <w:rPr>
                <w:lang w:eastAsia="he-IL" w:bidi="he-IL"/>
              </w:rPr>
              <w:t>hours</w:t>
            </w:r>
          </w:p>
        </w:tc>
        <w:tc>
          <w:tcPr>
            <w:tcW w:w="1559" w:type="dxa"/>
          </w:tcPr>
          <w:p w14:paraId="694DD865" w14:textId="77777777" w:rsidR="005D4856" w:rsidRPr="009A0C7B" w:rsidRDefault="00AE7F35" w:rsidP="00AE7F35">
            <w:pPr>
              <w:jc w:val="center"/>
              <w:rPr>
                <w:lang w:eastAsia="he-IL" w:bidi="he-IL"/>
              </w:rPr>
            </w:pPr>
            <w:r>
              <w:rPr>
                <w:lang w:eastAsia="he-IL" w:bidi="he-IL"/>
              </w:rPr>
              <w:t>24</w:t>
            </w:r>
            <w:r w:rsidRPr="009A0C7B">
              <w:rPr>
                <w:lang w:eastAsia="he-IL" w:bidi="he-IL"/>
              </w:rPr>
              <w:t>/7</w:t>
            </w:r>
          </w:p>
        </w:tc>
      </w:tr>
      <w:tr w:rsidR="005D4856" w:rsidRPr="00AE7F35" w14:paraId="6F26531D" w14:textId="77777777" w:rsidTr="00AF0A6B">
        <w:tc>
          <w:tcPr>
            <w:tcW w:w="1857" w:type="dxa"/>
          </w:tcPr>
          <w:p w14:paraId="701E33F5" w14:textId="77777777" w:rsidR="005D4856" w:rsidRPr="00AE7F35" w:rsidRDefault="00AE7F35" w:rsidP="00546F35">
            <w:pPr>
              <w:rPr>
                <w:lang w:eastAsia="he-IL" w:bidi="he-IL"/>
              </w:rPr>
            </w:pPr>
            <w:r>
              <w:rPr>
                <w:lang w:eastAsia="he-IL" w:bidi="he-IL"/>
              </w:rPr>
              <w:t>Middle level</w:t>
            </w:r>
          </w:p>
        </w:tc>
        <w:tc>
          <w:tcPr>
            <w:tcW w:w="2646" w:type="dxa"/>
          </w:tcPr>
          <w:p w14:paraId="51BC20E9" w14:textId="77777777" w:rsidR="009A0C7B" w:rsidRDefault="009A0C7B" w:rsidP="009A0C7B">
            <w:pPr>
              <w:rPr>
                <w:lang w:eastAsia="he-IL" w:bidi="he-IL"/>
              </w:rPr>
            </w:pPr>
            <w:r>
              <w:rPr>
                <w:lang w:eastAsia="he-IL" w:bidi="he-IL"/>
              </w:rPr>
              <w:t>Breakdown one of reserved or back up elements or one of a number of elements with the same functionality;</w:t>
            </w:r>
          </w:p>
          <w:p w14:paraId="39475B7E" w14:textId="77777777" w:rsidR="005D4856" w:rsidRPr="009A0C7B" w:rsidRDefault="009A0C7B" w:rsidP="009129E6">
            <w:pPr>
              <w:rPr>
                <w:lang w:eastAsia="he-IL" w:bidi="he-IL"/>
              </w:rPr>
            </w:pPr>
            <w:r>
              <w:rPr>
                <w:lang w:eastAsia="he-IL" w:bidi="he-IL"/>
              </w:rPr>
              <w:t xml:space="preserve"> </w:t>
            </w:r>
            <w:r w:rsidR="009129E6">
              <w:rPr>
                <w:lang w:eastAsia="he-IL" w:bidi="he-IL"/>
              </w:rPr>
              <w:t xml:space="preserve">Part absence of incoming and outgoing connection. </w:t>
            </w:r>
          </w:p>
        </w:tc>
        <w:tc>
          <w:tcPr>
            <w:tcW w:w="1559" w:type="dxa"/>
          </w:tcPr>
          <w:p w14:paraId="018DCA3E" w14:textId="77777777" w:rsidR="005D4856" w:rsidRPr="00AE7F35" w:rsidRDefault="00AE7F35" w:rsidP="00546F35">
            <w:pPr>
              <w:rPr>
                <w:lang w:eastAsia="he-IL" w:bidi="he-IL"/>
              </w:rPr>
            </w:pPr>
            <w:r>
              <w:rPr>
                <w:lang w:eastAsia="he-IL" w:bidi="he-IL"/>
              </w:rPr>
              <w:t xml:space="preserve">1 hour </w:t>
            </w:r>
          </w:p>
        </w:tc>
        <w:tc>
          <w:tcPr>
            <w:tcW w:w="1559" w:type="dxa"/>
          </w:tcPr>
          <w:p w14:paraId="37945B5B" w14:textId="77777777" w:rsidR="005D4856" w:rsidRPr="00AE7F35" w:rsidRDefault="00AE7F35" w:rsidP="00546F35">
            <w:pPr>
              <w:rPr>
                <w:lang w:eastAsia="he-IL" w:bidi="he-IL"/>
              </w:rPr>
            </w:pPr>
            <w:r>
              <w:rPr>
                <w:lang w:eastAsia="he-IL" w:bidi="he-IL"/>
              </w:rPr>
              <w:t>4-8 hours</w:t>
            </w:r>
          </w:p>
        </w:tc>
        <w:tc>
          <w:tcPr>
            <w:tcW w:w="1559" w:type="dxa"/>
          </w:tcPr>
          <w:p w14:paraId="518179B1" w14:textId="77777777" w:rsidR="005D4856" w:rsidRPr="00AE7F35" w:rsidRDefault="00AE7F35" w:rsidP="00AF0A6B">
            <w:pPr>
              <w:rPr>
                <w:lang w:eastAsia="he-IL" w:bidi="he-IL"/>
              </w:rPr>
            </w:pPr>
            <w:r>
              <w:rPr>
                <w:lang w:eastAsia="he-IL" w:bidi="he-IL"/>
              </w:rPr>
              <w:t xml:space="preserve">From 9:00 a.m. </w:t>
            </w:r>
            <w:r w:rsidR="00AF0A6B">
              <w:rPr>
                <w:lang w:eastAsia="he-IL" w:bidi="he-IL"/>
              </w:rPr>
              <w:t xml:space="preserve">till </w:t>
            </w:r>
            <w:r>
              <w:rPr>
                <w:lang w:eastAsia="he-IL" w:bidi="he-IL"/>
              </w:rPr>
              <w:t xml:space="preserve">8.00 p.m. </w:t>
            </w:r>
            <w:r w:rsidR="00AF0A6B">
              <w:rPr>
                <w:lang w:eastAsia="he-IL" w:bidi="he-IL"/>
              </w:rPr>
              <w:t>from Monday till Friday (</w:t>
            </w:r>
            <w:r w:rsidR="00AF0A6B" w:rsidRPr="00AF0A6B">
              <w:rPr>
                <w:lang w:eastAsia="he-IL" w:bidi="he-IL"/>
              </w:rPr>
              <w:t>Eastern time</w:t>
            </w:r>
            <w:r w:rsidR="00AF0A6B">
              <w:rPr>
                <w:lang w:eastAsia="he-IL" w:bidi="he-IL"/>
              </w:rPr>
              <w:t>)</w:t>
            </w:r>
          </w:p>
        </w:tc>
      </w:tr>
      <w:tr w:rsidR="005D4856" w14:paraId="0851AAD1" w14:textId="77777777" w:rsidTr="00AF0A6B">
        <w:tc>
          <w:tcPr>
            <w:tcW w:w="1857" w:type="dxa"/>
          </w:tcPr>
          <w:p w14:paraId="2C4F7B3E" w14:textId="77777777" w:rsidR="005D4856" w:rsidRPr="00AE7F35" w:rsidRDefault="00AE7F35" w:rsidP="00546F35">
            <w:pPr>
              <w:rPr>
                <w:lang w:eastAsia="he-IL" w:bidi="he-IL"/>
              </w:rPr>
            </w:pPr>
            <w:r>
              <w:rPr>
                <w:lang w:eastAsia="he-IL" w:bidi="he-IL"/>
              </w:rPr>
              <w:t>Low level</w:t>
            </w:r>
          </w:p>
        </w:tc>
        <w:tc>
          <w:tcPr>
            <w:tcW w:w="2646" w:type="dxa"/>
          </w:tcPr>
          <w:p w14:paraId="0037CF2C" w14:textId="77777777" w:rsidR="00F51B6D" w:rsidRDefault="00F51B6D" w:rsidP="00546F35">
            <w:pPr>
              <w:rPr>
                <w:lang w:eastAsia="he-IL" w:bidi="he-IL"/>
              </w:rPr>
            </w:pPr>
            <w:r>
              <w:rPr>
                <w:lang w:eastAsia="he-IL" w:bidi="he-IL"/>
              </w:rPr>
              <w:t xml:space="preserve">Program and hardware failures have no effect on operation of Informational system </w:t>
            </w:r>
            <w:r w:rsidRPr="00F51B6D">
              <w:rPr>
                <w:lang w:eastAsia="he-IL" w:bidi="he-IL"/>
              </w:rPr>
              <w:t>totally</w:t>
            </w:r>
            <w:r>
              <w:rPr>
                <w:lang w:eastAsia="he-IL" w:bidi="he-IL"/>
              </w:rPr>
              <w:t>;</w:t>
            </w:r>
          </w:p>
          <w:p w14:paraId="78136FB2" w14:textId="77777777" w:rsidR="00F51B6D" w:rsidRDefault="00F51B6D" w:rsidP="00F51B6D">
            <w:pPr>
              <w:rPr>
                <w:lang w:eastAsia="he-IL" w:bidi="he-IL"/>
              </w:rPr>
            </w:pPr>
            <w:r>
              <w:rPr>
                <w:lang w:eastAsia="he-IL" w:bidi="he-IL"/>
              </w:rPr>
              <w:t>Requests for installation</w:t>
            </w:r>
            <w:r w:rsidRPr="009A0C7B">
              <w:rPr>
                <w:lang w:eastAsia="he-IL" w:bidi="he-IL"/>
              </w:rPr>
              <w:t>/</w:t>
            </w:r>
            <w:r>
              <w:rPr>
                <w:lang w:eastAsia="he-IL" w:bidi="he-IL"/>
              </w:rPr>
              <w:t>deletion of software, modification of hardware;</w:t>
            </w:r>
          </w:p>
          <w:p w14:paraId="1CB10005" w14:textId="77777777" w:rsidR="005D4856" w:rsidRPr="00F51B6D" w:rsidRDefault="00F51B6D" w:rsidP="00F51B6D">
            <w:pPr>
              <w:rPr>
                <w:lang w:eastAsia="he-IL" w:bidi="he-IL"/>
              </w:rPr>
            </w:pPr>
            <w:r>
              <w:rPr>
                <w:lang w:eastAsia="he-IL" w:bidi="he-IL"/>
              </w:rPr>
              <w:t>Other small operations.</w:t>
            </w:r>
          </w:p>
        </w:tc>
        <w:tc>
          <w:tcPr>
            <w:tcW w:w="1559" w:type="dxa"/>
          </w:tcPr>
          <w:p w14:paraId="4D5A8786" w14:textId="77777777" w:rsidR="005D4856" w:rsidRPr="00AE7F35" w:rsidRDefault="00AE7F35" w:rsidP="00546F35">
            <w:pPr>
              <w:rPr>
                <w:lang w:eastAsia="he-IL" w:bidi="he-IL"/>
              </w:rPr>
            </w:pPr>
            <w:r>
              <w:rPr>
                <w:lang w:eastAsia="he-IL" w:bidi="he-IL"/>
              </w:rPr>
              <w:t>8 hours</w:t>
            </w:r>
          </w:p>
        </w:tc>
        <w:tc>
          <w:tcPr>
            <w:tcW w:w="1559" w:type="dxa"/>
          </w:tcPr>
          <w:p w14:paraId="250DF300" w14:textId="77777777" w:rsidR="005D4856" w:rsidRDefault="00AE7F35" w:rsidP="00546F35">
            <w:pPr>
              <w:rPr>
                <w:lang w:val="ru-RU" w:eastAsia="he-IL" w:bidi="he-IL"/>
              </w:rPr>
            </w:pPr>
            <w:r>
              <w:rPr>
                <w:lang w:eastAsia="he-IL" w:bidi="he-IL"/>
              </w:rPr>
              <w:t>I</w:t>
            </w:r>
            <w:r w:rsidRPr="00AE7F35">
              <w:rPr>
                <w:lang w:val="ru-RU" w:eastAsia="he-IL" w:bidi="he-IL"/>
              </w:rPr>
              <w:t>n concurrence</w:t>
            </w:r>
          </w:p>
        </w:tc>
        <w:tc>
          <w:tcPr>
            <w:tcW w:w="1559" w:type="dxa"/>
          </w:tcPr>
          <w:p w14:paraId="2330203E" w14:textId="77777777" w:rsidR="005D4856" w:rsidRDefault="00AE7F35" w:rsidP="00546F35">
            <w:pPr>
              <w:rPr>
                <w:lang w:val="ru-RU" w:eastAsia="he-IL" w:bidi="he-IL"/>
              </w:rPr>
            </w:pPr>
            <w:r>
              <w:rPr>
                <w:lang w:eastAsia="he-IL" w:bidi="he-IL"/>
              </w:rPr>
              <w:t>I</w:t>
            </w:r>
            <w:r w:rsidRPr="00AE7F35">
              <w:rPr>
                <w:lang w:val="ru-RU" w:eastAsia="he-IL" w:bidi="he-IL"/>
              </w:rPr>
              <w:t>n concurrence</w:t>
            </w:r>
          </w:p>
        </w:tc>
      </w:tr>
    </w:tbl>
    <w:p w14:paraId="2A98562E" w14:textId="77777777" w:rsidR="00E46B00" w:rsidRDefault="00E46B00" w:rsidP="00546F35">
      <w:pPr>
        <w:rPr>
          <w:lang w:eastAsia="he-IL" w:bidi="he-IL"/>
        </w:rPr>
      </w:pPr>
    </w:p>
    <w:p w14:paraId="1519AD96" w14:textId="77777777" w:rsidR="008261B0" w:rsidRDefault="008261B0" w:rsidP="00546F35">
      <w:pPr>
        <w:rPr>
          <w:lang w:eastAsia="he-IL" w:bidi="he-IL"/>
        </w:rPr>
      </w:pPr>
    </w:p>
    <w:p w14:paraId="312EE446" w14:textId="712D7C57" w:rsidR="00E46B00" w:rsidRDefault="00E46B00" w:rsidP="00546F35">
      <w:pPr>
        <w:rPr>
          <w:lang w:eastAsia="he-IL" w:bidi="he-IL"/>
        </w:rPr>
      </w:pPr>
      <w:r>
        <w:rPr>
          <w:lang w:eastAsia="he-IL" w:bidi="he-IL"/>
        </w:rPr>
        <w:t xml:space="preserve">** </w:t>
      </w:r>
      <w:r w:rsidRPr="00E46B00">
        <w:rPr>
          <w:lang w:eastAsia="he-IL" w:bidi="he-IL"/>
        </w:rPr>
        <w:t xml:space="preserve">Where </w:t>
      </w:r>
      <w:r w:rsidR="009C5571" w:rsidRPr="00E46B00">
        <w:rPr>
          <w:lang w:eastAsia="he-IL" w:bidi="he-IL"/>
        </w:rPr>
        <w:t xml:space="preserve">the Incident </w:t>
      </w:r>
      <w:r w:rsidRPr="00E46B00">
        <w:rPr>
          <w:lang w:eastAsia="he-IL" w:bidi="he-IL"/>
        </w:rPr>
        <w:t>is reported by e-mail, acknowledgement will be via telephone and will occur at the time the e-mail is received on Company email servers.</w:t>
      </w:r>
      <w:r>
        <w:rPr>
          <w:lang w:eastAsia="he-IL" w:bidi="he-IL"/>
        </w:rPr>
        <w:t xml:space="preserve"> </w:t>
      </w:r>
      <w:r w:rsidR="002D3C4A" w:rsidRPr="002D3C4A">
        <w:rPr>
          <w:lang w:eastAsia="he-IL" w:bidi="he-IL"/>
        </w:rPr>
        <w:t>Both sides agree that the official language regarding to this SLA is English and all communication resulting from this SLA will be in English.</w:t>
      </w:r>
    </w:p>
    <w:p w14:paraId="65ED39DD" w14:textId="77777777" w:rsidR="00D061BF" w:rsidRDefault="00D061BF" w:rsidP="00D061BF">
      <w:pPr>
        <w:rPr>
          <w:lang w:eastAsia="he-IL" w:bidi="he-IL"/>
        </w:rPr>
      </w:pPr>
      <w:r>
        <w:rPr>
          <w:lang w:eastAsia="he-IL" w:bidi="he-IL"/>
        </w:rPr>
        <w:t>Email addresses from which the Incidents will be reported :</w:t>
      </w:r>
    </w:p>
    <w:p w14:paraId="14E31019" w14:textId="58D1C89F" w:rsidR="00D061BF" w:rsidRPr="00D9178A" w:rsidRDefault="00D061BF" w:rsidP="00546F35">
      <w:pPr>
        <w:rPr>
          <w:lang w:eastAsia="he-IL" w:bidi="he-IL"/>
        </w:rPr>
      </w:pPr>
      <w:r w:rsidRPr="00D9178A">
        <w:rPr>
          <w:lang w:eastAsia="he-IL" w:bidi="he-I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CA901E" w14:textId="4B5D786F" w:rsidR="00C5266F" w:rsidRPr="00C5266F" w:rsidRDefault="00C5266F" w:rsidP="00E46B00">
      <w:pPr>
        <w:rPr>
          <w:lang w:eastAsia="he-IL" w:bidi="he-IL"/>
        </w:rPr>
      </w:pPr>
      <w:r>
        <w:rPr>
          <w:lang w:eastAsia="he-IL" w:bidi="he-IL"/>
        </w:rPr>
        <w:lastRenderedPageBreak/>
        <w:t xml:space="preserve">Contacts for communication with BetInvest: </w:t>
      </w:r>
    </w:p>
    <w:p w14:paraId="7B07A1EA" w14:textId="2BE00674" w:rsidR="00C5266F" w:rsidRPr="00C5266F" w:rsidRDefault="00C5266F" w:rsidP="00E46B00">
      <w:pPr>
        <w:rPr>
          <w:lang w:eastAsia="he-IL" w:bidi="he-IL"/>
        </w:rPr>
      </w:pPr>
      <w:r>
        <w:rPr>
          <w:lang w:eastAsia="he-IL" w:bidi="he-IL"/>
        </w:rPr>
        <w:t xml:space="preserve">E-mail: </w:t>
      </w:r>
      <w:r w:rsidRPr="00C5266F">
        <w:rPr>
          <w:lang w:eastAsia="he-IL" w:bidi="he-IL"/>
        </w:rPr>
        <w:t>helpdesk@betinvest.com</w:t>
      </w:r>
    </w:p>
    <w:p w14:paraId="7966EE4A" w14:textId="14CE7C32" w:rsidR="00C5266F" w:rsidRDefault="00C5266F" w:rsidP="00E46B00">
      <w:pPr>
        <w:rPr>
          <w:lang w:eastAsia="he-IL" w:bidi="he-IL"/>
        </w:rPr>
      </w:pPr>
      <w:r>
        <w:rPr>
          <w:lang w:eastAsia="he-IL" w:bidi="he-IL"/>
        </w:rPr>
        <w:t>Skype</w:t>
      </w:r>
      <w:r w:rsidR="00C4555B">
        <w:rPr>
          <w:lang w:eastAsia="he-IL" w:bidi="he-IL"/>
        </w:rPr>
        <w:t xml:space="preserve"> group</w:t>
      </w:r>
      <w:r>
        <w:rPr>
          <w:lang w:eastAsia="he-IL" w:bidi="he-IL"/>
        </w:rPr>
        <w:t>:</w:t>
      </w:r>
      <w:r w:rsidRPr="00C5266F">
        <w:t xml:space="preserve"> </w:t>
      </w:r>
      <w:hyperlink r:id="rId7" w:history="1">
        <w:r w:rsidR="00C4555B" w:rsidRPr="007E03C9">
          <w:rPr>
            <w:rStyle w:val="ab"/>
            <w:lang w:eastAsia="he-IL" w:bidi="he-IL"/>
          </w:rPr>
          <w:t>https://join.skype.com/lRJkIwm0mguF</w:t>
        </w:r>
      </w:hyperlink>
    </w:p>
    <w:p w14:paraId="3F3B000D" w14:textId="04F96081" w:rsidR="00E801CB" w:rsidRDefault="00C4555B" w:rsidP="00E46B00">
      <w:pPr>
        <w:rPr>
          <w:lang w:eastAsia="he-IL" w:bidi="he-IL"/>
        </w:rPr>
      </w:pPr>
      <w:r>
        <w:t>Phones: +38067 444 73 57; +38067 444 73 58</w:t>
      </w:r>
    </w:p>
    <w:p w14:paraId="6DF7E471" w14:textId="77777777" w:rsidR="00E801CB" w:rsidRDefault="00E801CB" w:rsidP="00E46B00">
      <w:pPr>
        <w:rPr>
          <w:lang w:eastAsia="he-IL" w:bidi="he-IL"/>
        </w:rPr>
      </w:pPr>
    </w:p>
    <w:p w14:paraId="2FA71F45" w14:textId="77777777" w:rsidR="00E801CB" w:rsidRPr="00E801CB" w:rsidRDefault="00E801CB" w:rsidP="00E801CB">
      <w:pPr>
        <w:rPr>
          <w:b/>
          <w:lang w:val="en-GB" w:eastAsia="he-IL" w:bidi="he-IL"/>
        </w:rPr>
      </w:pPr>
      <w:r w:rsidRPr="00E801CB">
        <w:rPr>
          <w:b/>
          <w:lang w:val="en-GB" w:eastAsia="he-IL" w:bidi="he-IL"/>
        </w:rPr>
        <w:t>Signatures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28"/>
        <w:gridCol w:w="5028"/>
      </w:tblGrid>
      <w:tr w:rsidR="00E801CB" w:rsidRPr="00E801CB" w14:paraId="395C973E" w14:textId="77777777" w:rsidTr="00A75734">
        <w:tc>
          <w:tcPr>
            <w:tcW w:w="5028" w:type="dxa"/>
          </w:tcPr>
          <w:p w14:paraId="3967655F" w14:textId="77777777" w:rsidR="00E801CB" w:rsidRPr="00E801CB" w:rsidRDefault="00E801CB" w:rsidP="00E801CB">
            <w:pPr>
              <w:rPr>
                <w:lang w:val="en-GB" w:eastAsia="he-IL" w:bidi="he-IL"/>
              </w:rPr>
            </w:pPr>
            <w:r w:rsidRPr="00E801CB">
              <w:rPr>
                <w:b/>
                <w:lang w:val="en-GB" w:eastAsia="he-IL" w:bidi="he-IL"/>
              </w:rPr>
              <w:t>1) Bet Invest ltd.</w:t>
            </w:r>
          </w:p>
        </w:tc>
        <w:tc>
          <w:tcPr>
            <w:tcW w:w="5028" w:type="dxa"/>
          </w:tcPr>
          <w:p w14:paraId="4EA8B60B" w14:textId="7F916D36" w:rsidR="00E801CB" w:rsidRPr="00E801CB" w:rsidRDefault="00E801CB" w:rsidP="002751DA">
            <w:pPr>
              <w:rPr>
                <w:b/>
                <w:lang w:val="en-GB" w:eastAsia="he-IL" w:bidi="he-IL"/>
              </w:rPr>
            </w:pPr>
            <w:r w:rsidRPr="00E801CB">
              <w:rPr>
                <w:b/>
                <w:lang w:val="en-GB" w:eastAsia="he-IL" w:bidi="he-IL"/>
              </w:rPr>
              <w:t>2)</w:t>
            </w:r>
          </w:p>
        </w:tc>
      </w:tr>
      <w:tr w:rsidR="00E801CB" w:rsidRPr="00E801CB" w14:paraId="4D71EEF0" w14:textId="77777777" w:rsidTr="00A75734">
        <w:tc>
          <w:tcPr>
            <w:tcW w:w="5028" w:type="dxa"/>
          </w:tcPr>
          <w:p w14:paraId="3022F7CC" w14:textId="77777777" w:rsidR="00E801CB" w:rsidRPr="00E801CB" w:rsidRDefault="00E801CB" w:rsidP="00E801CB">
            <w:pPr>
              <w:rPr>
                <w:lang w:val="en-GB" w:eastAsia="he-IL" w:bidi="he-IL"/>
              </w:rPr>
            </w:pPr>
            <w:r w:rsidRPr="00E801CB">
              <w:rPr>
                <w:lang w:val="en-GB" w:eastAsia="he-IL" w:bidi="he-IL"/>
              </w:rPr>
              <w:t>Mr. Andrii Matiukha</w:t>
            </w:r>
          </w:p>
        </w:tc>
        <w:tc>
          <w:tcPr>
            <w:tcW w:w="5028" w:type="dxa"/>
          </w:tcPr>
          <w:p w14:paraId="48891185" w14:textId="09179B78" w:rsidR="00E801CB" w:rsidRPr="00E801CB" w:rsidRDefault="00E801CB" w:rsidP="00E801CB">
            <w:pPr>
              <w:rPr>
                <w:lang w:val="en-GB" w:eastAsia="he-IL" w:bidi="he-IL"/>
              </w:rPr>
            </w:pPr>
          </w:p>
        </w:tc>
      </w:tr>
      <w:tr w:rsidR="00E801CB" w:rsidRPr="00E801CB" w14:paraId="3F28448D" w14:textId="77777777" w:rsidTr="00A75734">
        <w:tc>
          <w:tcPr>
            <w:tcW w:w="5028" w:type="dxa"/>
          </w:tcPr>
          <w:p w14:paraId="26E83BF0" w14:textId="5A03AA00" w:rsidR="00E801CB" w:rsidRPr="00E801CB" w:rsidRDefault="00E801CB" w:rsidP="00E801CB">
            <w:pPr>
              <w:rPr>
                <w:lang w:val="en-GB" w:eastAsia="he-IL" w:bidi="he-IL"/>
              </w:rPr>
            </w:pPr>
            <w:r w:rsidRPr="00E801CB">
              <w:rPr>
                <w:lang w:val="en-GB" w:eastAsia="he-IL" w:bidi="he-IL"/>
              </w:rPr>
              <w:t>Director</w:t>
            </w:r>
            <w:r>
              <w:rPr>
                <w:lang w:val="en-GB" w:eastAsia="he-IL" w:bidi="he-IL"/>
              </w:rPr>
              <w:t>____________</w:t>
            </w:r>
          </w:p>
        </w:tc>
        <w:tc>
          <w:tcPr>
            <w:tcW w:w="5028" w:type="dxa"/>
          </w:tcPr>
          <w:p w14:paraId="36503C5B" w14:textId="69B3FEF7" w:rsidR="00E801CB" w:rsidRPr="00E801CB" w:rsidRDefault="00E801CB" w:rsidP="00E801CB">
            <w:pPr>
              <w:rPr>
                <w:b/>
                <w:lang w:val="en-GB" w:eastAsia="he-IL" w:bidi="he-IL"/>
              </w:rPr>
            </w:pPr>
            <w:r>
              <w:rPr>
                <w:lang w:val="en-GB" w:eastAsia="he-IL" w:bidi="he-IL"/>
              </w:rPr>
              <w:t>____________</w:t>
            </w:r>
          </w:p>
        </w:tc>
      </w:tr>
      <w:tr w:rsidR="00E801CB" w:rsidRPr="00E801CB" w14:paraId="29322C55" w14:textId="77777777" w:rsidTr="00A75734">
        <w:tc>
          <w:tcPr>
            <w:tcW w:w="5028" w:type="dxa"/>
          </w:tcPr>
          <w:p w14:paraId="06DAB8BB" w14:textId="77777777" w:rsidR="00E801CB" w:rsidRPr="00E801CB" w:rsidRDefault="00E801CB" w:rsidP="00E801CB">
            <w:pPr>
              <w:rPr>
                <w:b/>
                <w:lang w:val="en-GB" w:eastAsia="he-IL" w:bidi="he-IL"/>
              </w:rPr>
            </w:pPr>
            <w:r w:rsidRPr="00E801CB">
              <w:rPr>
                <w:lang w:val="en-GB" w:eastAsia="he-IL" w:bidi="he-IL"/>
              </w:rPr>
              <w:t xml:space="preserve">Web: </w:t>
            </w:r>
            <w:hyperlink r:id="rId8" w:history="1">
              <w:r w:rsidRPr="00E801CB">
                <w:rPr>
                  <w:rStyle w:val="ab"/>
                  <w:lang w:val="en-GB" w:eastAsia="he-IL" w:bidi="he-IL"/>
                </w:rPr>
                <w:t>www.betinvest.com</w:t>
              </w:r>
            </w:hyperlink>
          </w:p>
        </w:tc>
        <w:tc>
          <w:tcPr>
            <w:tcW w:w="5028" w:type="dxa"/>
          </w:tcPr>
          <w:p w14:paraId="0FED99CE" w14:textId="77777777" w:rsidR="00E801CB" w:rsidRPr="00E801CB" w:rsidRDefault="00E801CB" w:rsidP="00E801CB">
            <w:pPr>
              <w:rPr>
                <w:b/>
                <w:lang w:val="en-GB" w:eastAsia="he-IL" w:bidi="he-IL"/>
              </w:rPr>
            </w:pPr>
            <w:r w:rsidRPr="00E801CB">
              <w:rPr>
                <w:lang w:val="en-GB" w:eastAsia="he-IL" w:bidi="he-IL"/>
              </w:rPr>
              <w:t xml:space="preserve"> </w:t>
            </w:r>
          </w:p>
        </w:tc>
      </w:tr>
    </w:tbl>
    <w:p w14:paraId="04DB9113" w14:textId="77777777" w:rsidR="00E801CB" w:rsidRPr="00E801CB" w:rsidRDefault="00E801CB" w:rsidP="00E801CB">
      <w:pPr>
        <w:rPr>
          <w:b/>
          <w:lang w:val="en-GB" w:eastAsia="he-IL" w:bidi="he-IL"/>
        </w:rPr>
      </w:pPr>
    </w:p>
    <w:p w14:paraId="7659315C" w14:textId="77777777" w:rsidR="00E801CB" w:rsidRPr="00E801CB" w:rsidRDefault="00E801CB" w:rsidP="00E801CB">
      <w:pPr>
        <w:rPr>
          <w:b/>
          <w:lang w:val="en-GB" w:eastAsia="he-IL" w:bidi="he-IL"/>
        </w:rPr>
      </w:pPr>
    </w:p>
    <w:p w14:paraId="56C77DBF" w14:textId="77777777" w:rsidR="00E801CB" w:rsidRPr="00E801CB" w:rsidRDefault="00E801CB" w:rsidP="00E801CB">
      <w:pPr>
        <w:rPr>
          <w:b/>
          <w:lang w:val="en-GB" w:eastAsia="he-IL" w:bidi="he-IL"/>
        </w:rPr>
      </w:pPr>
    </w:p>
    <w:p w14:paraId="557DD1BC" w14:textId="77777777" w:rsidR="00E801CB" w:rsidRDefault="00E801CB" w:rsidP="00E46B00">
      <w:pPr>
        <w:rPr>
          <w:lang w:eastAsia="he-IL" w:bidi="he-IL"/>
        </w:rPr>
      </w:pPr>
    </w:p>
    <w:p w14:paraId="56E3F010" w14:textId="77777777" w:rsidR="00E801CB" w:rsidRPr="00C5266F" w:rsidRDefault="00E801CB" w:rsidP="00E46B00">
      <w:pPr>
        <w:rPr>
          <w:lang w:eastAsia="he-IL" w:bidi="he-IL"/>
        </w:rPr>
      </w:pPr>
    </w:p>
    <w:p w14:paraId="59BB3384" w14:textId="77777777" w:rsidR="00FA3283" w:rsidRPr="00770AB1" w:rsidRDefault="00FA3283" w:rsidP="00FA3283">
      <w:pPr>
        <w:pStyle w:val="1"/>
        <w:rPr>
          <w:lang w:val="en-GB"/>
        </w:rPr>
      </w:pPr>
      <w:r w:rsidRPr="00EA1213">
        <w:lastRenderedPageBreak/>
        <w:t>Service Level Agreement</w:t>
      </w:r>
    </w:p>
    <w:p w14:paraId="7DB4287D" w14:textId="77777777" w:rsidR="00FA3283" w:rsidRPr="00770AB1" w:rsidRDefault="00FA3283" w:rsidP="00FA3283">
      <w:pPr>
        <w:spacing w:before="480"/>
        <w:rPr>
          <w:rFonts w:cs="Calibri"/>
          <w:b/>
          <w:bCs/>
        </w:rPr>
      </w:pPr>
      <w:r w:rsidRPr="00770AB1">
        <w:rPr>
          <w:rFonts w:cs="Calibri"/>
          <w:b/>
          <w:bCs/>
        </w:rPr>
        <w:t>Service and System Description</w:t>
      </w:r>
    </w:p>
    <w:p w14:paraId="038245F0" w14:textId="77777777" w:rsidR="00FA3283" w:rsidRPr="00770AB1" w:rsidRDefault="00FA3283" w:rsidP="00FA3283">
      <w:pPr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Company</w:t>
      </w:r>
      <w:r w:rsidRPr="00770AB1">
        <w:rPr>
          <w:rFonts w:cs="Calibri"/>
          <w:color w:val="000000"/>
        </w:rPr>
        <w:t xml:space="preserve"> will </w:t>
      </w:r>
      <w:r>
        <w:rPr>
          <w:rFonts w:cs="Calibri"/>
          <w:color w:val="000000"/>
        </w:rPr>
        <w:t>be providing services to Customer according to contract. T</w:t>
      </w:r>
      <w:r w:rsidR="007C05F1">
        <w:rPr>
          <w:rFonts w:cs="Calibri"/>
          <w:color w:val="000000"/>
        </w:rPr>
        <w:t xml:space="preserve">hese services will be rendered </w:t>
      </w:r>
      <w:r>
        <w:rPr>
          <w:rFonts w:cs="Calibri"/>
          <w:color w:val="000000"/>
        </w:rPr>
        <w:t xml:space="preserve">according to </w:t>
      </w:r>
      <w:r w:rsidR="007C05F1">
        <w:rPr>
          <w:rFonts w:cs="Calibri"/>
          <w:color w:val="000000"/>
        </w:rPr>
        <w:t xml:space="preserve">the </w:t>
      </w:r>
      <w:r>
        <w:rPr>
          <w:rFonts w:cs="Calibri"/>
          <w:color w:val="000000"/>
        </w:rPr>
        <w:t xml:space="preserve">contract. </w:t>
      </w:r>
      <w:r w:rsidR="00277428">
        <w:rPr>
          <w:rFonts w:cs="Calibri"/>
          <w:color w:val="000000"/>
        </w:rPr>
        <w:t xml:space="preserve">This </w:t>
      </w:r>
      <w:r w:rsidR="00D45FE9">
        <w:rPr>
          <w:rFonts w:cs="Calibri"/>
          <w:color w:val="000000"/>
        </w:rPr>
        <w:t>SLA</w:t>
      </w:r>
      <w:r w:rsidR="00D45FE9" w:rsidRPr="00D45FE9">
        <w:rPr>
          <w:rFonts w:cs="Calibri"/>
          <w:color w:val="000000"/>
        </w:rPr>
        <w:t xml:space="preserve"> applies </w:t>
      </w:r>
      <w:r w:rsidR="00277428">
        <w:rPr>
          <w:rFonts w:cs="Calibri"/>
          <w:color w:val="000000"/>
        </w:rPr>
        <w:t>just</w:t>
      </w:r>
      <w:r w:rsidR="00D45FE9" w:rsidRPr="00D45FE9">
        <w:rPr>
          <w:rFonts w:cs="Calibri"/>
          <w:color w:val="000000"/>
        </w:rPr>
        <w:t xml:space="preserve"> to </w:t>
      </w:r>
      <w:r w:rsidR="00D45FE9">
        <w:rPr>
          <w:rFonts w:cs="Calibri"/>
          <w:color w:val="000000"/>
        </w:rPr>
        <w:t xml:space="preserve">Sportsbook </w:t>
      </w:r>
      <w:r w:rsidR="00D45FE9" w:rsidRPr="00D45FE9">
        <w:rPr>
          <w:rFonts w:cs="Calibri"/>
          <w:color w:val="000000"/>
        </w:rPr>
        <w:t>products referred to in the contract</w:t>
      </w:r>
      <w:r w:rsidR="00D45FE9">
        <w:rPr>
          <w:rFonts w:cs="Calibri"/>
          <w:color w:val="000000"/>
        </w:rPr>
        <w:t xml:space="preserve">. </w:t>
      </w:r>
      <w:r>
        <w:rPr>
          <w:rFonts w:cs="Calibri"/>
          <w:color w:val="000000"/>
        </w:rPr>
        <w:t xml:space="preserve">Where applicable, the following describes Company’s obligations in this area. This covers unplanned downtime. Excluded from the below are incidents outside </w:t>
      </w:r>
      <w:r w:rsidR="00515A70">
        <w:rPr>
          <w:rFonts w:cs="Calibri"/>
          <w:color w:val="000000"/>
        </w:rPr>
        <w:t>Company´s</w:t>
      </w:r>
      <w:r>
        <w:rPr>
          <w:rFonts w:cs="Calibri"/>
          <w:color w:val="000000"/>
        </w:rPr>
        <w:t xml:space="preserve"> control, e.g., downtime of </w:t>
      </w:r>
      <w:r w:rsidR="00515A70">
        <w:rPr>
          <w:rFonts w:cs="Calibri"/>
          <w:color w:val="000000"/>
        </w:rPr>
        <w:t>Customer</w:t>
      </w:r>
      <w:r>
        <w:rPr>
          <w:rFonts w:cs="Calibri"/>
          <w:color w:val="000000"/>
        </w:rPr>
        <w:t xml:space="preserve"> controlled servers where applicable or unavailability of services from third-party providers of e.g., payment services, gaming services, or marketing services.</w:t>
      </w:r>
    </w:p>
    <w:p w14:paraId="37C1CBD9" w14:textId="77777777" w:rsidR="00FA3283" w:rsidRDefault="00FA3283" w:rsidP="00FA3283">
      <w:pPr>
        <w:spacing w:before="480"/>
        <w:rPr>
          <w:rFonts w:cs="Calibri"/>
          <w:b/>
          <w:bCs/>
        </w:rPr>
      </w:pPr>
      <w:r>
        <w:rPr>
          <w:rFonts w:cs="Calibri"/>
          <w:b/>
          <w:bCs/>
        </w:rPr>
        <w:t>Unplanned Downtime</w:t>
      </w:r>
    </w:p>
    <w:p w14:paraId="20B61E7F" w14:textId="77777777" w:rsidR="00FA3283" w:rsidRPr="00770AB1" w:rsidRDefault="00FA3283" w:rsidP="00FA3283">
      <w:pPr>
        <w:rPr>
          <w:rFonts w:cs="Calibri"/>
          <w:color w:val="000000"/>
        </w:rPr>
      </w:pPr>
      <w:r>
        <w:rPr>
          <w:rFonts w:cs="Calibri"/>
          <w:color w:val="000000"/>
        </w:rPr>
        <w:t>Unplanned Downtime, “Downtime”, occurs when services are unavailable due to faults or emergence maintenance. Downtime should</w:t>
      </w:r>
      <w:r w:rsidRPr="00770AB1">
        <w:rPr>
          <w:rFonts w:cs="Calibri"/>
          <w:color w:val="000000"/>
        </w:rPr>
        <w:t xml:space="preserve"> not exceed </w:t>
      </w:r>
      <w:r w:rsidR="007C05F1" w:rsidRPr="007C05F1">
        <w:rPr>
          <w:rFonts w:cs="Calibri"/>
          <w:color w:val="000000"/>
          <w:u w:val="single"/>
        </w:rPr>
        <w:t>(</w:t>
      </w:r>
      <w:r w:rsidR="004157C9">
        <w:rPr>
          <w:rFonts w:cs="Calibri"/>
          <w:color w:val="000000"/>
          <w:u w:val="single"/>
        </w:rPr>
        <w:t>count of the days in calendar month</w:t>
      </w:r>
      <w:r w:rsidR="007C05F1" w:rsidRPr="007C05F1">
        <w:rPr>
          <w:rFonts w:cs="Calibri"/>
          <w:color w:val="000000"/>
          <w:u w:val="single"/>
        </w:rPr>
        <w:t xml:space="preserve"> x 24 </w:t>
      </w:r>
      <w:r w:rsidRPr="007C05F1">
        <w:rPr>
          <w:rFonts w:cs="Calibri"/>
          <w:color w:val="000000"/>
          <w:u w:val="single"/>
        </w:rPr>
        <w:t>hours</w:t>
      </w:r>
      <w:r w:rsidR="007C05F1" w:rsidRPr="007C05F1">
        <w:rPr>
          <w:rFonts w:cs="Calibri"/>
          <w:color w:val="000000"/>
          <w:u w:val="single"/>
        </w:rPr>
        <w:t>) * (1- 96%)</w:t>
      </w:r>
      <w:r w:rsidRPr="00770AB1">
        <w:rPr>
          <w:rFonts w:cs="Calibri"/>
          <w:color w:val="000000"/>
        </w:rPr>
        <w:t xml:space="preserve"> per </w:t>
      </w:r>
      <w:r w:rsidR="004157C9">
        <w:rPr>
          <w:rFonts w:cs="Calibri"/>
          <w:color w:val="000000"/>
        </w:rPr>
        <w:t>month</w:t>
      </w:r>
      <w:r w:rsidRPr="00770AB1">
        <w:rPr>
          <w:rFonts w:cs="Calibri"/>
          <w:color w:val="000000"/>
        </w:rPr>
        <w:t xml:space="preserve"> (the “Maximum”).</w:t>
      </w:r>
      <w:r>
        <w:rPr>
          <w:rFonts w:cs="Calibri"/>
          <w:color w:val="000000"/>
        </w:rPr>
        <w:t xml:space="preserve"> </w:t>
      </w:r>
    </w:p>
    <w:p w14:paraId="05BCBFBD" w14:textId="77777777" w:rsidR="00FA3283" w:rsidRPr="00770AB1" w:rsidRDefault="00FA3283" w:rsidP="00FA3283">
      <w:pPr>
        <w:numPr>
          <w:ilvl w:val="0"/>
          <w:numId w:val="1"/>
        </w:numPr>
        <w:suppressAutoHyphens w:val="0"/>
        <w:rPr>
          <w:rFonts w:cs="Calibri"/>
          <w:color w:val="000000"/>
        </w:rPr>
      </w:pPr>
      <w:r w:rsidRPr="00770AB1">
        <w:rPr>
          <w:rFonts w:cs="Calibri"/>
          <w:color w:val="000000"/>
        </w:rPr>
        <w:t xml:space="preserve">When </w:t>
      </w:r>
      <w:r>
        <w:rPr>
          <w:rFonts w:cs="Calibri"/>
          <w:color w:val="000000"/>
        </w:rPr>
        <w:t>D</w:t>
      </w:r>
      <w:r w:rsidRPr="00770AB1">
        <w:rPr>
          <w:rFonts w:cs="Calibri"/>
          <w:color w:val="000000"/>
        </w:rPr>
        <w:t>owntime exceeds the</w:t>
      </w:r>
      <w:r w:rsidR="007C05F1">
        <w:rPr>
          <w:rFonts w:cs="Calibri"/>
          <w:color w:val="000000"/>
        </w:rPr>
        <w:t xml:space="preserve"> Maximum and less than </w:t>
      </w:r>
      <w:r w:rsidR="004157C9">
        <w:rPr>
          <w:rFonts w:cs="Calibri"/>
          <w:color w:val="000000"/>
          <w:u w:val="single"/>
        </w:rPr>
        <w:t xml:space="preserve">(count of the days in calendar month * </w:t>
      </w:r>
      <w:r w:rsidR="007C05F1" w:rsidRPr="007C05F1">
        <w:rPr>
          <w:rFonts w:cs="Calibri"/>
          <w:color w:val="000000"/>
          <w:u w:val="single"/>
        </w:rPr>
        <w:t>24 hours) * (1- 95%)</w:t>
      </w:r>
      <w:r>
        <w:rPr>
          <w:rFonts w:cs="Calibri"/>
          <w:color w:val="000000"/>
        </w:rPr>
        <w:t xml:space="preserve"> </w:t>
      </w:r>
      <w:r w:rsidRPr="00770AB1">
        <w:rPr>
          <w:rFonts w:cs="Calibri"/>
          <w:color w:val="000000"/>
        </w:rPr>
        <w:t xml:space="preserve">the </w:t>
      </w:r>
      <w:r w:rsidR="00515A70">
        <w:rPr>
          <w:rFonts w:cs="Calibri"/>
          <w:color w:val="000000"/>
        </w:rPr>
        <w:t>Customer</w:t>
      </w:r>
      <w:r w:rsidRPr="00770AB1">
        <w:rPr>
          <w:rFonts w:cs="Calibri"/>
          <w:color w:val="000000"/>
        </w:rPr>
        <w:t xml:space="preserve"> shall apply to </w:t>
      </w:r>
      <w:r w:rsidR="00515A70">
        <w:rPr>
          <w:rFonts w:cs="Calibri"/>
          <w:color w:val="000000"/>
        </w:rPr>
        <w:t>Company</w:t>
      </w:r>
      <w:r w:rsidRPr="00770AB1">
        <w:rPr>
          <w:rFonts w:cs="Calibri"/>
          <w:color w:val="000000"/>
        </w:rPr>
        <w:t xml:space="preserve"> a penalty equal to five percent (5%) of the Fees paid by the </w:t>
      </w:r>
      <w:r w:rsidR="00515A70">
        <w:rPr>
          <w:rFonts w:cs="Calibri"/>
          <w:color w:val="000000"/>
        </w:rPr>
        <w:t>Customer</w:t>
      </w:r>
      <w:r w:rsidRPr="00770AB1">
        <w:rPr>
          <w:rFonts w:cs="Calibri"/>
          <w:color w:val="000000"/>
        </w:rPr>
        <w:t xml:space="preserve"> to </w:t>
      </w:r>
      <w:r w:rsidR="00515A70">
        <w:rPr>
          <w:rFonts w:cs="Calibri"/>
          <w:color w:val="000000"/>
        </w:rPr>
        <w:t>Company</w:t>
      </w:r>
      <w:r w:rsidRPr="00770AB1">
        <w:rPr>
          <w:rFonts w:cs="Calibri"/>
          <w:color w:val="000000"/>
        </w:rPr>
        <w:t xml:space="preserve"> on the corresponding </w:t>
      </w:r>
      <w:r w:rsidRPr="004157C9">
        <w:rPr>
          <w:rFonts w:cs="Calibri"/>
          <w:color w:val="000000"/>
        </w:rPr>
        <w:t>month</w:t>
      </w:r>
      <w:r w:rsidRPr="00770AB1">
        <w:rPr>
          <w:rFonts w:cs="Calibri"/>
          <w:color w:val="000000"/>
        </w:rPr>
        <w:t>;</w:t>
      </w:r>
    </w:p>
    <w:p w14:paraId="351461B8" w14:textId="77777777" w:rsidR="00FA3283" w:rsidRPr="00770AB1" w:rsidRDefault="00FA3283" w:rsidP="00FA3283">
      <w:pPr>
        <w:numPr>
          <w:ilvl w:val="0"/>
          <w:numId w:val="1"/>
        </w:numPr>
        <w:suppressAutoHyphens w:val="0"/>
        <w:rPr>
          <w:rFonts w:cs="Calibri"/>
          <w:color w:val="000000"/>
        </w:rPr>
      </w:pPr>
      <w:r w:rsidRPr="00770AB1">
        <w:rPr>
          <w:rFonts w:cs="Calibri"/>
          <w:color w:val="000000"/>
        </w:rPr>
        <w:t xml:space="preserve">When </w:t>
      </w:r>
      <w:r>
        <w:rPr>
          <w:rFonts w:cs="Calibri"/>
          <w:color w:val="000000"/>
        </w:rPr>
        <w:t>Unplanned D</w:t>
      </w:r>
      <w:r w:rsidRPr="00770AB1">
        <w:rPr>
          <w:rFonts w:cs="Calibri"/>
          <w:color w:val="000000"/>
        </w:rPr>
        <w:t xml:space="preserve">owntime exceeds the Maximum </w:t>
      </w:r>
      <w:r w:rsidR="007C05F1">
        <w:rPr>
          <w:rFonts w:cs="Calibri"/>
          <w:color w:val="000000"/>
        </w:rPr>
        <w:t xml:space="preserve">and less than </w:t>
      </w:r>
      <w:r w:rsidR="007C05F1" w:rsidRPr="007C05F1">
        <w:rPr>
          <w:rFonts w:cs="Calibri"/>
          <w:color w:val="000000"/>
          <w:u w:val="single"/>
        </w:rPr>
        <w:t>(</w:t>
      </w:r>
      <w:r w:rsidR="004157C9">
        <w:rPr>
          <w:rFonts w:cs="Calibri"/>
          <w:color w:val="000000"/>
          <w:u w:val="single"/>
        </w:rPr>
        <w:t xml:space="preserve">count of the days in calendar month </w:t>
      </w:r>
      <w:r w:rsidR="007C05F1" w:rsidRPr="007C05F1">
        <w:rPr>
          <w:rFonts w:cs="Calibri"/>
          <w:color w:val="000000"/>
          <w:u w:val="single"/>
        </w:rPr>
        <w:t>x 24 hours</w:t>
      </w:r>
      <w:r w:rsidR="007C05F1">
        <w:rPr>
          <w:rFonts w:cs="Calibri"/>
          <w:color w:val="000000"/>
          <w:u w:val="single"/>
        </w:rPr>
        <w:t>) * (1- 94</w:t>
      </w:r>
      <w:r w:rsidR="007C05F1" w:rsidRPr="007C05F1">
        <w:rPr>
          <w:rFonts w:cs="Calibri"/>
          <w:color w:val="000000"/>
          <w:u w:val="single"/>
        </w:rPr>
        <w:t>%)</w:t>
      </w:r>
      <w:r w:rsidRPr="00770AB1">
        <w:rPr>
          <w:rFonts w:cs="Calibri"/>
          <w:color w:val="000000"/>
        </w:rPr>
        <w:t xml:space="preserve"> the </w:t>
      </w:r>
      <w:r w:rsidR="00515A70">
        <w:rPr>
          <w:rFonts w:cs="Calibri"/>
          <w:color w:val="000000"/>
        </w:rPr>
        <w:t>Customer</w:t>
      </w:r>
      <w:r w:rsidRPr="00770AB1">
        <w:rPr>
          <w:rFonts w:cs="Calibri"/>
          <w:color w:val="000000"/>
        </w:rPr>
        <w:t xml:space="preserve"> shall apply to </w:t>
      </w:r>
      <w:r w:rsidR="00515A70">
        <w:rPr>
          <w:rFonts w:cs="Calibri"/>
          <w:color w:val="000000"/>
        </w:rPr>
        <w:t>Company</w:t>
      </w:r>
      <w:r w:rsidRPr="00770AB1">
        <w:rPr>
          <w:rFonts w:cs="Calibri"/>
          <w:color w:val="000000"/>
        </w:rPr>
        <w:t xml:space="preserve"> a penalty equal to ten percent (10%) of the Fees paid by the </w:t>
      </w:r>
      <w:r w:rsidR="00515A70">
        <w:rPr>
          <w:rFonts w:cs="Calibri"/>
          <w:color w:val="000000"/>
        </w:rPr>
        <w:t>Customer</w:t>
      </w:r>
      <w:r w:rsidR="00515A70" w:rsidRPr="00770AB1">
        <w:rPr>
          <w:rFonts w:cs="Calibri"/>
          <w:color w:val="000000"/>
        </w:rPr>
        <w:t xml:space="preserve"> </w:t>
      </w:r>
      <w:r w:rsidRPr="00770AB1">
        <w:rPr>
          <w:rFonts w:cs="Calibri"/>
          <w:color w:val="000000"/>
        </w:rPr>
        <w:t xml:space="preserve">to </w:t>
      </w:r>
      <w:r w:rsidR="00515A70">
        <w:rPr>
          <w:rFonts w:cs="Calibri"/>
          <w:color w:val="000000"/>
        </w:rPr>
        <w:t>Company</w:t>
      </w:r>
      <w:r w:rsidR="00515A70" w:rsidRPr="00770AB1">
        <w:rPr>
          <w:rFonts w:cs="Calibri"/>
          <w:color w:val="000000"/>
        </w:rPr>
        <w:t xml:space="preserve"> </w:t>
      </w:r>
      <w:r w:rsidRPr="00770AB1">
        <w:rPr>
          <w:rFonts w:cs="Calibri"/>
          <w:color w:val="000000"/>
        </w:rPr>
        <w:t xml:space="preserve">on the corresponding </w:t>
      </w:r>
      <w:r w:rsidRPr="004157C9">
        <w:rPr>
          <w:rFonts w:cs="Calibri"/>
          <w:color w:val="000000"/>
        </w:rPr>
        <w:t>month</w:t>
      </w:r>
      <w:r w:rsidRPr="00770AB1">
        <w:rPr>
          <w:rFonts w:cs="Calibri"/>
          <w:color w:val="000000"/>
        </w:rPr>
        <w:t>;</w:t>
      </w:r>
    </w:p>
    <w:p w14:paraId="69F5A230" w14:textId="77777777" w:rsidR="00FA3283" w:rsidRPr="00770AB1" w:rsidRDefault="00FA3283" w:rsidP="00FA3283">
      <w:pPr>
        <w:numPr>
          <w:ilvl w:val="0"/>
          <w:numId w:val="1"/>
        </w:numPr>
        <w:suppressAutoHyphens w:val="0"/>
        <w:rPr>
          <w:rFonts w:cs="Calibri"/>
          <w:color w:val="000000"/>
        </w:rPr>
      </w:pPr>
      <w:r w:rsidRPr="00770AB1">
        <w:rPr>
          <w:rFonts w:cs="Calibri"/>
          <w:color w:val="000000"/>
        </w:rPr>
        <w:t xml:space="preserve">When downtime exceeds the Maximum </w:t>
      </w:r>
      <w:r w:rsidR="007C05F1">
        <w:rPr>
          <w:rFonts w:cs="Calibri"/>
          <w:color w:val="000000"/>
        </w:rPr>
        <w:t xml:space="preserve">and less than </w:t>
      </w:r>
      <w:r w:rsidR="007C05F1" w:rsidRPr="007C05F1">
        <w:rPr>
          <w:rFonts w:cs="Calibri"/>
          <w:color w:val="000000"/>
          <w:u w:val="single"/>
        </w:rPr>
        <w:t>(</w:t>
      </w:r>
      <w:r w:rsidR="004157C9">
        <w:rPr>
          <w:rFonts w:cs="Calibri"/>
          <w:color w:val="000000"/>
          <w:u w:val="single"/>
        </w:rPr>
        <w:t xml:space="preserve">count of the days in calendar month </w:t>
      </w:r>
      <w:r w:rsidR="007C05F1" w:rsidRPr="007C05F1">
        <w:rPr>
          <w:rFonts w:cs="Calibri"/>
          <w:color w:val="000000"/>
          <w:u w:val="single"/>
        </w:rPr>
        <w:t>x 24 hours</w:t>
      </w:r>
      <w:r w:rsidR="007C05F1">
        <w:rPr>
          <w:rFonts w:cs="Calibri"/>
          <w:color w:val="000000"/>
          <w:u w:val="single"/>
        </w:rPr>
        <w:t>) * (1- 91</w:t>
      </w:r>
      <w:r w:rsidR="007C05F1" w:rsidRPr="007C05F1">
        <w:rPr>
          <w:rFonts w:cs="Calibri"/>
          <w:color w:val="000000"/>
          <w:u w:val="single"/>
        </w:rPr>
        <w:t>%)</w:t>
      </w:r>
      <w:r w:rsidRPr="00770AB1">
        <w:rPr>
          <w:rFonts w:cs="Calibri"/>
          <w:color w:val="000000"/>
        </w:rPr>
        <w:t xml:space="preserve"> the </w:t>
      </w:r>
      <w:r w:rsidR="00515A70">
        <w:rPr>
          <w:rFonts w:cs="Calibri"/>
          <w:color w:val="000000"/>
        </w:rPr>
        <w:t>Customer</w:t>
      </w:r>
      <w:r w:rsidR="00515A70" w:rsidRPr="00770AB1">
        <w:rPr>
          <w:rFonts w:cs="Calibri"/>
          <w:color w:val="000000"/>
        </w:rPr>
        <w:t xml:space="preserve"> </w:t>
      </w:r>
      <w:r w:rsidRPr="00770AB1">
        <w:rPr>
          <w:rFonts w:cs="Calibri"/>
          <w:color w:val="000000"/>
        </w:rPr>
        <w:t xml:space="preserve">shall apply to </w:t>
      </w:r>
      <w:r w:rsidR="00515A70">
        <w:rPr>
          <w:rFonts w:cs="Calibri"/>
          <w:color w:val="000000"/>
        </w:rPr>
        <w:t>Company</w:t>
      </w:r>
      <w:r w:rsidR="00515A70" w:rsidRPr="00770AB1">
        <w:rPr>
          <w:rFonts w:cs="Calibri"/>
          <w:color w:val="000000"/>
        </w:rPr>
        <w:t xml:space="preserve"> </w:t>
      </w:r>
      <w:r w:rsidRPr="00770AB1">
        <w:rPr>
          <w:rFonts w:cs="Calibri"/>
          <w:color w:val="000000"/>
        </w:rPr>
        <w:t xml:space="preserve">a penalty equal to fifteen percent (15%) of the Fees paid by the </w:t>
      </w:r>
      <w:r w:rsidR="00515A70">
        <w:rPr>
          <w:rFonts w:cs="Calibri"/>
          <w:color w:val="000000"/>
        </w:rPr>
        <w:t>Customer</w:t>
      </w:r>
      <w:r w:rsidR="00515A70" w:rsidRPr="00770AB1">
        <w:rPr>
          <w:rFonts w:cs="Calibri"/>
          <w:color w:val="000000"/>
        </w:rPr>
        <w:t xml:space="preserve"> </w:t>
      </w:r>
      <w:r w:rsidRPr="00770AB1">
        <w:rPr>
          <w:rFonts w:cs="Calibri"/>
          <w:color w:val="000000"/>
        </w:rPr>
        <w:t xml:space="preserve">to </w:t>
      </w:r>
      <w:r w:rsidR="00515A70">
        <w:rPr>
          <w:rFonts w:cs="Calibri"/>
          <w:color w:val="000000"/>
        </w:rPr>
        <w:t>Company</w:t>
      </w:r>
      <w:r w:rsidR="00515A70" w:rsidRPr="00770AB1">
        <w:rPr>
          <w:rFonts w:cs="Calibri"/>
          <w:color w:val="000000"/>
        </w:rPr>
        <w:t xml:space="preserve"> </w:t>
      </w:r>
      <w:r w:rsidRPr="00770AB1">
        <w:rPr>
          <w:rFonts w:cs="Calibri"/>
          <w:color w:val="000000"/>
        </w:rPr>
        <w:t xml:space="preserve">on the corresponding </w:t>
      </w:r>
      <w:r w:rsidRPr="004157C9">
        <w:rPr>
          <w:rFonts w:cs="Calibri"/>
          <w:color w:val="000000"/>
        </w:rPr>
        <w:t>month</w:t>
      </w:r>
      <w:r w:rsidRPr="00770AB1">
        <w:rPr>
          <w:rFonts w:cs="Calibri"/>
          <w:color w:val="000000"/>
        </w:rPr>
        <w:t>.</w:t>
      </w:r>
    </w:p>
    <w:p w14:paraId="0F5BFD2F" w14:textId="77777777" w:rsidR="00FA3283" w:rsidRPr="00770AB1" w:rsidRDefault="00FA3283" w:rsidP="00FA3283">
      <w:pPr>
        <w:rPr>
          <w:rFonts w:cs="Calibri"/>
          <w:color w:val="000000"/>
        </w:rPr>
      </w:pPr>
      <w:r w:rsidRPr="00770AB1">
        <w:rPr>
          <w:rFonts w:cs="Calibri"/>
          <w:color w:val="000000"/>
        </w:rPr>
        <w:t xml:space="preserve">Such penalties shall be compensated with the amounts due by the </w:t>
      </w:r>
      <w:r w:rsidR="00515A70">
        <w:rPr>
          <w:rFonts w:cs="Calibri"/>
          <w:color w:val="000000"/>
        </w:rPr>
        <w:t>Customer</w:t>
      </w:r>
      <w:r w:rsidRPr="00770AB1">
        <w:rPr>
          <w:rFonts w:cs="Calibri"/>
          <w:color w:val="000000"/>
        </w:rPr>
        <w:t xml:space="preserve"> to </w:t>
      </w:r>
      <w:r w:rsidR="00515A70">
        <w:rPr>
          <w:rFonts w:cs="Calibri"/>
          <w:color w:val="000000"/>
        </w:rPr>
        <w:t>Company</w:t>
      </w:r>
      <w:r w:rsidRPr="00770AB1">
        <w:rPr>
          <w:rFonts w:cs="Calibri"/>
          <w:color w:val="000000"/>
        </w:rPr>
        <w:t xml:space="preserve">. In cases where no sum is due by the </w:t>
      </w:r>
      <w:r w:rsidR="00515A70">
        <w:rPr>
          <w:rFonts w:cs="Calibri"/>
          <w:color w:val="000000"/>
        </w:rPr>
        <w:t>Customer</w:t>
      </w:r>
      <w:r w:rsidRPr="00770AB1">
        <w:rPr>
          <w:rFonts w:cs="Calibri"/>
          <w:color w:val="000000"/>
        </w:rPr>
        <w:t xml:space="preserve"> to </w:t>
      </w:r>
      <w:r w:rsidR="00515A70">
        <w:rPr>
          <w:rFonts w:cs="Calibri"/>
          <w:color w:val="000000"/>
        </w:rPr>
        <w:t>Company</w:t>
      </w:r>
      <w:r w:rsidRPr="00770AB1">
        <w:rPr>
          <w:rFonts w:cs="Calibri"/>
          <w:color w:val="000000"/>
        </w:rPr>
        <w:t xml:space="preserve">, the </w:t>
      </w:r>
      <w:r w:rsidR="00515A70">
        <w:rPr>
          <w:rFonts w:cs="Calibri"/>
          <w:color w:val="000000"/>
        </w:rPr>
        <w:t>Customer</w:t>
      </w:r>
      <w:r w:rsidRPr="00770AB1">
        <w:rPr>
          <w:rFonts w:cs="Calibri"/>
          <w:color w:val="000000"/>
        </w:rPr>
        <w:t xml:space="preserve"> shall invoice the corresponding amount to </w:t>
      </w:r>
      <w:r w:rsidR="00515A70">
        <w:rPr>
          <w:rFonts w:cs="Calibri"/>
          <w:color w:val="000000"/>
        </w:rPr>
        <w:t>Company</w:t>
      </w:r>
      <w:r>
        <w:rPr>
          <w:rFonts w:cs="Calibri"/>
          <w:color w:val="000000"/>
        </w:rPr>
        <w:t>.</w:t>
      </w:r>
    </w:p>
    <w:p w14:paraId="570C9D35" w14:textId="77777777" w:rsidR="00FA3283" w:rsidRDefault="00FA3283" w:rsidP="00FA3283">
      <w:pPr>
        <w:rPr>
          <w:rFonts w:cs="Calibri"/>
        </w:rPr>
      </w:pPr>
    </w:p>
    <w:p w14:paraId="19F7EFBE" w14:textId="77777777" w:rsidR="00AC5327" w:rsidRDefault="00AC5327"/>
    <w:sectPr w:rsidR="00AC53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731CA" w14:textId="77777777" w:rsidR="009A592A" w:rsidRDefault="009A592A" w:rsidP="002559E0">
      <w:pPr>
        <w:spacing w:after="0" w:line="240" w:lineRule="auto"/>
      </w:pPr>
      <w:r>
        <w:separator/>
      </w:r>
    </w:p>
  </w:endnote>
  <w:endnote w:type="continuationSeparator" w:id="0">
    <w:p w14:paraId="3187A42A" w14:textId="77777777" w:rsidR="009A592A" w:rsidRDefault="009A592A" w:rsidP="00255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CFD91" w14:textId="77777777" w:rsidR="00D9178A" w:rsidRDefault="00D9178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2912393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14:paraId="7A6810B3" w14:textId="41C2BBD7" w:rsidR="00D9178A" w:rsidRDefault="00D9178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9178A">
          <w:rPr>
            <w:noProof/>
            <w:lang w:val="ru-RU"/>
          </w:rPr>
          <w:t>1</w:t>
        </w:r>
        <w:r>
          <w:fldChar w:fldCharType="end"/>
        </w:r>
      </w:p>
    </w:sdtContent>
  </w:sdt>
  <w:p w14:paraId="64C299CA" w14:textId="77777777" w:rsidR="00D9178A" w:rsidRDefault="00D9178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0F144" w14:textId="77777777" w:rsidR="00D9178A" w:rsidRDefault="00D9178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E17D9" w14:textId="77777777" w:rsidR="009A592A" w:rsidRDefault="009A592A" w:rsidP="002559E0">
      <w:pPr>
        <w:spacing w:after="0" w:line="240" w:lineRule="auto"/>
      </w:pPr>
      <w:r>
        <w:separator/>
      </w:r>
    </w:p>
  </w:footnote>
  <w:footnote w:type="continuationSeparator" w:id="0">
    <w:p w14:paraId="5910808A" w14:textId="77777777" w:rsidR="009A592A" w:rsidRDefault="009A592A" w:rsidP="00255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6A4F5" w14:textId="77777777" w:rsidR="00D9178A" w:rsidRDefault="00D9178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B581E" w14:textId="77777777" w:rsidR="002B6309" w:rsidRDefault="002B6309">
    <w:pPr>
      <w:pStyle w:val="a5"/>
    </w:pPr>
    <w:r>
      <w:rPr>
        <w:noProof/>
        <w:lang w:val="ru-RU" w:eastAsia="ru-RU"/>
      </w:rPr>
      <w:drawing>
        <wp:inline distT="0" distB="0" distL="0" distR="0" wp14:anchorId="4D90AB1E" wp14:editId="42016BFA">
          <wp:extent cx="5760720" cy="714999"/>
          <wp:effectExtent l="0" t="0" r="0" b="9525"/>
          <wp:docPr id="1" name="Рисунок 0" descr="Верхний 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Верхний 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7149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7A683" w14:textId="77777777" w:rsidR="00D9178A" w:rsidRDefault="00D9178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B564C"/>
    <w:multiLevelType w:val="hybridMultilevel"/>
    <w:tmpl w:val="E9D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3311B"/>
    <w:multiLevelType w:val="hybridMultilevel"/>
    <w:tmpl w:val="AE325160"/>
    <w:lvl w:ilvl="0" w:tplc="6CEAACB8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F35"/>
    <w:rsid w:val="0001285C"/>
    <w:rsid w:val="00016CEB"/>
    <w:rsid w:val="00044AC6"/>
    <w:rsid w:val="00060CEB"/>
    <w:rsid w:val="00067169"/>
    <w:rsid w:val="000740EB"/>
    <w:rsid w:val="00074347"/>
    <w:rsid w:val="000B30AD"/>
    <w:rsid w:val="000C7598"/>
    <w:rsid w:val="000D10B9"/>
    <w:rsid w:val="000E1291"/>
    <w:rsid w:val="000F520F"/>
    <w:rsid w:val="0011538F"/>
    <w:rsid w:val="00127C38"/>
    <w:rsid w:val="001374BE"/>
    <w:rsid w:val="00143213"/>
    <w:rsid w:val="001654EF"/>
    <w:rsid w:val="00184373"/>
    <w:rsid w:val="00196BB4"/>
    <w:rsid w:val="001A5F9F"/>
    <w:rsid w:val="001B2752"/>
    <w:rsid w:val="001C2949"/>
    <w:rsid w:val="001C6284"/>
    <w:rsid w:val="00203401"/>
    <w:rsid w:val="002040A2"/>
    <w:rsid w:val="00225DA3"/>
    <w:rsid w:val="002559E0"/>
    <w:rsid w:val="002751DA"/>
    <w:rsid w:val="00277428"/>
    <w:rsid w:val="00294771"/>
    <w:rsid w:val="002A7C42"/>
    <w:rsid w:val="002B53E1"/>
    <w:rsid w:val="002B6309"/>
    <w:rsid w:val="002C6889"/>
    <w:rsid w:val="002D3C4A"/>
    <w:rsid w:val="002D5145"/>
    <w:rsid w:val="002E1F55"/>
    <w:rsid w:val="003129AE"/>
    <w:rsid w:val="00341D88"/>
    <w:rsid w:val="00352E27"/>
    <w:rsid w:val="00357DFF"/>
    <w:rsid w:val="003652A3"/>
    <w:rsid w:val="00375DE4"/>
    <w:rsid w:val="00381E79"/>
    <w:rsid w:val="003A4419"/>
    <w:rsid w:val="003D2118"/>
    <w:rsid w:val="003E0A26"/>
    <w:rsid w:val="003F0F03"/>
    <w:rsid w:val="003F1057"/>
    <w:rsid w:val="004157C9"/>
    <w:rsid w:val="004301F2"/>
    <w:rsid w:val="00446F6B"/>
    <w:rsid w:val="00492055"/>
    <w:rsid w:val="004B4CC2"/>
    <w:rsid w:val="004D362C"/>
    <w:rsid w:val="00515A70"/>
    <w:rsid w:val="005214AC"/>
    <w:rsid w:val="00546F35"/>
    <w:rsid w:val="005871AC"/>
    <w:rsid w:val="005916A8"/>
    <w:rsid w:val="005A0A66"/>
    <w:rsid w:val="005A193A"/>
    <w:rsid w:val="005B377A"/>
    <w:rsid w:val="005B75E5"/>
    <w:rsid w:val="005D4856"/>
    <w:rsid w:val="005E4641"/>
    <w:rsid w:val="005F7D3D"/>
    <w:rsid w:val="0065140C"/>
    <w:rsid w:val="00652E91"/>
    <w:rsid w:val="006545B6"/>
    <w:rsid w:val="0066110B"/>
    <w:rsid w:val="00685423"/>
    <w:rsid w:val="006920D0"/>
    <w:rsid w:val="006A1067"/>
    <w:rsid w:val="006B7B7F"/>
    <w:rsid w:val="006D7DF9"/>
    <w:rsid w:val="006F2E25"/>
    <w:rsid w:val="007219B4"/>
    <w:rsid w:val="00753504"/>
    <w:rsid w:val="00757D74"/>
    <w:rsid w:val="00791193"/>
    <w:rsid w:val="00792ECD"/>
    <w:rsid w:val="007B2DEC"/>
    <w:rsid w:val="007C05F1"/>
    <w:rsid w:val="007C1687"/>
    <w:rsid w:val="007F0F2D"/>
    <w:rsid w:val="0080391F"/>
    <w:rsid w:val="008261B0"/>
    <w:rsid w:val="00852B82"/>
    <w:rsid w:val="008608BC"/>
    <w:rsid w:val="00863C3C"/>
    <w:rsid w:val="008E27B7"/>
    <w:rsid w:val="008F7363"/>
    <w:rsid w:val="00901121"/>
    <w:rsid w:val="00903D03"/>
    <w:rsid w:val="009129E6"/>
    <w:rsid w:val="00921024"/>
    <w:rsid w:val="00921806"/>
    <w:rsid w:val="009603B4"/>
    <w:rsid w:val="00975EBE"/>
    <w:rsid w:val="009A0C7B"/>
    <w:rsid w:val="009A1174"/>
    <w:rsid w:val="009A14C9"/>
    <w:rsid w:val="009A592A"/>
    <w:rsid w:val="009C4904"/>
    <w:rsid w:val="009C5571"/>
    <w:rsid w:val="009D512F"/>
    <w:rsid w:val="009E3BFA"/>
    <w:rsid w:val="00A50EB9"/>
    <w:rsid w:val="00A82FCF"/>
    <w:rsid w:val="00A970F2"/>
    <w:rsid w:val="00AB33EB"/>
    <w:rsid w:val="00AC5327"/>
    <w:rsid w:val="00AD4B46"/>
    <w:rsid w:val="00AE7F35"/>
    <w:rsid w:val="00AF0A6B"/>
    <w:rsid w:val="00AF3720"/>
    <w:rsid w:val="00B06550"/>
    <w:rsid w:val="00B10B1A"/>
    <w:rsid w:val="00B114F9"/>
    <w:rsid w:val="00B252A3"/>
    <w:rsid w:val="00BA185A"/>
    <w:rsid w:val="00BD4694"/>
    <w:rsid w:val="00BE7222"/>
    <w:rsid w:val="00BF1AD7"/>
    <w:rsid w:val="00C004E5"/>
    <w:rsid w:val="00C17FCF"/>
    <w:rsid w:val="00C34B0C"/>
    <w:rsid w:val="00C4555B"/>
    <w:rsid w:val="00C5266F"/>
    <w:rsid w:val="00C75223"/>
    <w:rsid w:val="00C76B5C"/>
    <w:rsid w:val="00C9275C"/>
    <w:rsid w:val="00CE6E33"/>
    <w:rsid w:val="00D061BF"/>
    <w:rsid w:val="00D06899"/>
    <w:rsid w:val="00D45FE9"/>
    <w:rsid w:val="00D470B0"/>
    <w:rsid w:val="00D53E7F"/>
    <w:rsid w:val="00D76999"/>
    <w:rsid w:val="00D9178A"/>
    <w:rsid w:val="00DA5C39"/>
    <w:rsid w:val="00DB1E68"/>
    <w:rsid w:val="00DC00B2"/>
    <w:rsid w:val="00DC2A81"/>
    <w:rsid w:val="00DD158D"/>
    <w:rsid w:val="00E46B00"/>
    <w:rsid w:val="00E72F90"/>
    <w:rsid w:val="00E801CB"/>
    <w:rsid w:val="00E92055"/>
    <w:rsid w:val="00EA3278"/>
    <w:rsid w:val="00F00424"/>
    <w:rsid w:val="00F13C7C"/>
    <w:rsid w:val="00F320BD"/>
    <w:rsid w:val="00F51B6D"/>
    <w:rsid w:val="00F64C06"/>
    <w:rsid w:val="00F82289"/>
    <w:rsid w:val="00F87549"/>
    <w:rsid w:val="00FA3283"/>
    <w:rsid w:val="00FA44E7"/>
    <w:rsid w:val="00FC46B1"/>
    <w:rsid w:val="00FC77D7"/>
    <w:rsid w:val="00FD0CC6"/>
    <w:rsid w:val="00FD6FD6"/>
    <w:rsid w:val="00FE0651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5E0F9B"/>
  <w15:docId w15:val="{EEE32A8E-CE9D-4A5A-B20A-2A1BB2D2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F35"/>
    <w:pPr>
      <w:suppressAutoHyphens/>
      <w:spacing w:after="200" w:line="276" w:lineRule="auto"/>
    </w:pPr>
    <w:rPr>
      <w:rFonts w:ascii="Calibri" w:eastAsia="Times New Roman" w:hAnsi="Calibri" w:cs="Times New Roman"/>
      <w:lang w:val="en-US" w:eastAsia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FA3283"/>
    <w:pPr>
      <w:keepNext/>
      <w:keepLines/>
      <w:pageBreakBefore/>
      <w:suppressAutoHyphens w:val="0"/>
      <w:spacing w:before="480" w:after="240" w:line="240" w:lineRule="auto"/>
      <w:outlineLvl w:val="0"/>
    </w:pPr>
    <w:rPr>
      <w:rFonts w:eastAsia="Calibri" w:cs="Calibri"/>
      <w:b/>
      <w:bCs/>
      <w:color w:val="000000"/>
      <w:sz w:val="28"/>
      <w:szCs w:val="28"/>
      <w:lang w:val="x-none" w:eastAsia="x-none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Reference1">
    <w:name w:val="Comment Reference1"/>
    <w:rsid w:val="00546F35"/>
    <w:rPr>
      <w:rFonts w:cs="Times New Roman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A3283"/>
    <w:rPr>
      <w:rFonts w:ascii="Calibri" w:eastAsia="Calibri" w:hAnsi="Calibri" w:cs="Calibri"/>
      <w:b/>
      <w:bCs/>
      <w:color w:val="000000"/>
      <w:sz w:val="28"/>
      <w:szCs w:val="28"/>
      <w:lang w:val="x-none" w:eastAsia="x-none" w:bidi="he-IL"/>
    </w:rPr>
  </w:style>
  <w:style w:type="paragraph" w:styleId="a3">
    <w:name w:val="Balloon Text"/>
    <w:basedOn w:val="a"/>
    <w:link w:val="a4"/>
    <w:uiPriority w:val="99"/>
    <w:semiHidden/>
    <w:unhideWhenUsed/>
    <w:rsid w:val="000E12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E1291"/>
    <w:rPr>
      <w:rFonts w:ascii="Segoe UI" w:eastAsia="Times New Roman" w:hAnsi="Segoe UI" w:cs="Segoe UI"/>
      <w:sz w:val="18"/>
      <w:szCs w:val="18"/>
      <w:lang w:val="en-US" w:eastAsia="ar-SA"/>
    </w:rPr>
  </w:style>
  <w:style w:type="paragraph" w:styleId="a5">
    <w:name w:val="header"/>
    <w:basedOn w:val="a"/>
    <w:link w:val="a6"/>
    <w:uiPriority w:val="99"/>
    <w:unhideWhenUsed/>
    <w:rsid w:val="002559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59E0"/>
    <w:rPr>
      <w:rFonts w:ascii="Calibri" w:eastAsia="Times New Roman" w:hAnsi="Calibri" w:cs="Times New Roman"/>
      <w:lang w:val="en-US" w:eastAsia="ar-SA"/>
    </w:rPr>
  </w:style>
  <w:style w:type="paragraph" w:styleId="a7">
    <w:name w:val="footer"/>
    <w:basedOn w:val="a"/>
    <w:link w:val="a8"/>
    <w:uiPriority w:val="99"/>
    <w:unhideWhenUsed/>
    <w:rsid w:val="002559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59E0"/>
    <w:rPr>
      <w:rFonts w:ascii="Calibri" w:eastAsia="Times New Roman" w:hAnsi="Calibri" w:cs="Times New Roman"/>
      <w:lang w:val="en-US" w:eastAsia="ar-SA"/>
    </w:rPr>
  </w:style>
  <w:style w:type="paragraph" w:styleId="a9">
    <w:name w:val="List Paragraph"/>
    <w:basedOn w:val="a"/>
    <w:uiPriority w:val="34"/>
    <w:qFormat/>
    <w:rsid w:val="00B06550"/>
    <w:pPr>
      <w:ind w:left="720"/>
      <w:contextualSpacing/>
    </w:pPr>
  </w:style>
  <w:style w:type="table" w:styleId="aa">
    <w:name w:val="Table Grid"/>
    <w:basedOn w:val="a1"/>
    <w:uiPriority w:val="39"/>
    <w:rsid w:val="005D4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E46B0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9C55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tinvest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join.skype.com/lRJkIwm0mgu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Vojtek</dc:creator>
  <cp:lastModifiedBy>Ирина Романенко</cp:lastModifiedBy>
  <cp:revision>19</cp:revision>
  <cp:lastPrinted>2015-12-16T09:11:00Z</cp:lastPrinted>
  <dcterms:created xsi:type="dcterms:W3CDTF">2016-06-03T07:27:00Z</dcterms:created>
  <dcterms:modified xsi:type="dcterms:W3CDTF">2016-06-16T12:37:00Z</dcterms:modified>
</cp:coreProperties>
</file>