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Evaluación Sumativa N° 2: Diseño Arquitectónico Funcional y Sistemas Distribuidos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Pieza A: Diagrama de Casos de Uso Contextual (R4 y R7), especificación bicolumnar y diagramas de estados (R15)</w:t>
      </w:r>
    </w:p>
    <w:p>
      <w:pPr>
        <w:spacing w:after="4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Ingeniería de Software IV (09775) · NRC 10865 · Universidad Icesi · 2026-2</w:t>
      </w:r>
    </w:p>
    <w:p>
      <w:pPr>
        <w:spacing w:after="16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Profesores: Alejandro Muñoz Bravo y Alejandro Peñaranda Agudelo · Octubre de 2026</w:t>
      </w:r>
    </w:p>
    <w:p>
      <w:pPr>
        <w:spacing w:after="40" w:before="0"/>
        <w:jc w:val="left"/>
      </w:pPr>
      <w:r>
        <w:rPr>
          <w:rFonts w:ascii="Arial" w:cs="Arial" w:eastAsia="Arial" w:hAnsi="Arial"/>
          <w:sz w:val="20"/>
          <w:szCs w:val="20"/>
        </w:rPr>
        <w:t xml:space="preserve">Nombres: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Alejandro Rendón — A00407975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Valeria Piza — A00405037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Juan Diego Balanta — A00407538</w:t>
      </w:r>
    </w:p>
    <w:p>
      <w:pPr>
        <w:spacing w:after="100" w:before="100"/>
        <w:jc w:val="left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Caso: red eléctrica inteligente (Smart Grid AMI) del Centro de Operación y Distribución (COD). Los diagramas en notación UML 2.5 (R5) están en el proyecto JuanDiegoBalantaMolina_ValeriaPiza_AlejandroRendon_A_CUC.vpp; los identificadores de requerimientos, dominios y componentes son los de las Partes I a III (Dorfman).</w:t>
      </w:r>
    </w:p>
    <w:p>
      <w:pPr>
        <w:pStyle w:val="Heading1"/>
        <w:keepNext/>
        <w:spacing w:after="12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Parte IV: Literal A — Diagrama de Casos de Uso Contextual (CUC)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a) Del análisis Dorfman al CUC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0"/>
          <w:szCs w:val="20"/>
        </w:rPr>
        <w:t xml:space="preserve">El CUC se deriva directamente de la Fase 1: cada caso de uso es un RF atómico de la Tabla 4 y conserva su ID; los macro-requerimientos son casos de uso base y los sub-requerimientos obligatorios o condicionales se modelan como «include» o «extend». Los dominios de entidad (Tabla 3) son los paquetes del diagrama. El sistema se modela como caja negra: no aparecen componentes, nodos ni tecnologías, que corresponden a las Partes III y VI.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0"/>
          <w:szCs w:val="20"/>
        </w:rPr>
        <w:t xml:space="preserve">Además de los casos de R4 y R7 se incluyen los «demás directamente implicados»: la ingesta del datagrama (R6, R12), que alimenta el estado del mapa y el balance; la clasificación de eventos (R1), que determina los estados de corte y sobrecarga; el inicio de sesión (R10), precondición de ambos; y la asignación de circuitos y zonas (R8), que habilita la vista por operador (R9).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b) Actores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4036"/>
        <w:gridCol w:w="2100"/>
      </w:tblGrid>
      <w:tr>
        <w:trPr>
          <w:cantSplit/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4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Interacción con el sistema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Requerimientos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Operador del COD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Humano</w:t>
            </w:r>
          </w:p>
        </w:tc>
        <w:tc>
          <w:tcPr>
            <w:tcW w:type="dxa" w:w="4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el mapa georreferenciado en tiempo real y la vista de sus zonas asignadas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R4, R9, R10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Analista de pérdidas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Humano</w:t>
            </w:r>
          </w:p>
        </w:tc>
        <w:tc>
          <w:tcPr>
            <w:tcW w:type="dxa" w:w="4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Solicita el balance mensual de energía y el % de pérdidas no técnicas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R7, R10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Administrador del sistema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Humano</w:t>
            </w:r>
          </w:p>
        </w:tc>
        <w:tc>
          <w:tcPr>
            <w:tcW w:type="dxa" w:w="4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 circuitos y zonas a los operadores; administra el acceso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R3, R8, R10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Smart Meter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Dispositivo «dispositivo»</w:t>
            </w:r>
          </w:p>
        </w:tc>
        <w:tc>
          <w:tcPr>
            <w:tcW w:type="dxa" w:w="4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Emite datagramas de telemetría AMI cada 30 o 60 s por NB-IoT/4G o RF Mesh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R6, R12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Macromedidor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Dispositivo «dispositivo»</w:t>
            </w:r>
          </w:p>
        </w:tc>
        <w:tc>
          <w:tcPr>
            <w:tcW w:type="dxa" w:w="4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Emite la energía inyectada en cada transformador de distribución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R6, R7, R12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Terminal de Campo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Dispositivo «dispositivo»</w:t>
            </w:r>
          </w:p>
        </w:tc>
        <w:tc>
          <w:tcPr>
            <w:tcW w:type="dxa" w:w="4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Terminal del técnico de cuadrilla (botones físicos, R2) desde la que se reportan eventos operativos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R1, R2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9: Actores del CUC. Los dispositivos llevan el estereotipo «dispositivo» y otro color para diferenciarlos de los actores humanos.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c) Casos de uso y relaciones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900"/>
        <w:gridCol w:w="1250"/>
        <w:gridCol w:w="1786"/>
        <w:gridCol w:w="2600"/>
      </w:tblGrid>
      <w:tr>
        <w:trPr>
          <w:cantSplit/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Caso de uso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RF (Fase 1)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Relaciones</w:t>
            </w:r>
          </w:p>
        </w:tc>
      </w:tr>
      <w:tr>
        <w:trPr>
          <w:cantSplit/>
        </w:trPr>
        <w:tc>
          <w:tcPr>
            <w:tcW w:type="dxa" w:w="9936"/>
            <w:gridSpan w:val="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D4 Monitoreo Georreferenciado (R4, R9)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Visualizar mapa georreferenciado de la red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R4.1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Primario (base)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Operador del COD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Incluye CU-02 y CU-03; punto de extensión «Operador con asignación vigente»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Mostrar estado de transformadores y circuitos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R4.2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CU-01; incluye CU-15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Actualizar mapa en tiempo real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R4.3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CU-04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 zonas y circuitos asignados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R9.1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Extiende CU-01 [operador con asignación vigente]; incluye CU-05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CU-05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 transformadores y medidores del circuito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R9.2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CU-04</w:t>
            </w:r>
          </w:p>
        </w:tc>
      </w:tr>
      <w:tr>
        <w:trPr>
          <w:cantSplit/>
        </w:trPr>
        <w:tc>
          <w:tcPr>
            <w:tcW w:type="dxa" w:w="9936"/>
            <w:gridSpan w:val="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D5 Analítica de Balance y Pérdidas (R7)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CU-06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Estimar balance de energía mensual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R7.1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Primario (base)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Analista de pérdidas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Incluye CU-07 a CU-11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CU-07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Seleccionar año del proyecto piloto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R7.6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CU-08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Totalizar energía inyectada por el macromedidor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R7.2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CU-06; incluye CU-15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CU-09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Totalizar energía consumida por los medidores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R7.3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CU-06; incluye CU-15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Calcular % de pérdidas no técnicas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R7.4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Agregar balance por circuito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R7.5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CU-06</w:t>
            </w:r>
          </w:p>
        </w:tc>
      </w:tr>
      <w:tr>
        <w:trPr>
          <w:cantSplit/>
        </w:trPr>
        <w:tc>
          <w:tcPr>
            <w:tcW w:type="dxa" w:w="9936"/>
            <w:gridSpan w:val="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D1 Ingesta y Telemetría AMI (R6, R12)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Recibir datagrama de telemetría AMI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R6.1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Primario (base)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Smart Meter, Macromedidor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Incluye CU-13 y CU-14; punto de extensión «Código de evento distinto de normal»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Extraer campos del datagrama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R12.1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CU-14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Persistir telemetría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R6.2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CU-15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Combinar histórico y tiempo real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R6.3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CU-02, CU-08 y CU-09</w:t>
            </w:r>
          </w:p>
        </w:tc>
      </w:tr>
      <w:tr>
        <w:trPr>
          <w:cantSplit/>
        </w:trPr>
        <w:tc>
          <w:tcPr>
            <w:tcW w:type="dxa" w:w="9936"/>
            <w:gridSpan w:val="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D2 Eventos y Alarmas · D3 Operación de Campo (R1)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CU-16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Clasificar y priorizar evento de red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R1.1, R1.2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Extiende CU-12 [código de evento ≠ normal]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CU-17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Reportar evento operativo de campo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Primario (base)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Terminal de Campo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Incluye CU-18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CU-18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Aplicar categoría y prioridad parametrizadas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Secundario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Incluido por CU-17</w:t>
            </w:r>
          </w:p>
        </w:tc>
      </w:tr>
      <w:tr>
        <w:trPr>
          <w:cantSplit/>
        </w:trPr>
        <w:tc>
          <w:tcPr>
            <w:tcW w:type="dxa" w:w="9936"/>
            <w:gridSpan w:val="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D6 Administración y Seguridad (R8, R10)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CU-19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Iniciar sesión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R10.1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Primario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Operador, Analista, Administrador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Precondición de CU-01, CU-06 y CU-21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CU-21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Asignar circuitos y zonas a un operador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R8.1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Primario</w:t>
            </w:r>
          </w:p>
        </w:tc>
        <w:tc>
          <w:tcPr>
            <w:tcW w:type="dxa" w:w="1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del sistema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Habilita la extensión CU-04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10: Casos de uso del CUC, agrupados por los paquetes (dominios) de la Fase 1. R3.4 (autorizar por rol) no se dibuja como caso de uso: es una precondición de los casos primarios y se trata en las especificaciones bicolumnares.</w:t>
      </w:r>
    </w:p>
    <w:p>
      <w:pPr>
        <w:spacing w:after="0" w:before="0"/>
        <w:sectPr>
          <w:footerReference w:type="default" r:id="rId7"/>
          <w:pgSz w:w="12240" w:h="15840" w:orient="portrait"/>
          <w:pgMar w:top="1000" w:right="1152" w:bottom="1000" w:left="1152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d) Diagrama de Casos de Uso Contextual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8315914" cy="6035040"/>
            <wp:effectExtent t="0" r="0" b="0" l="0"/>
            <wp:docPr id="11" name="fig1" descr="CUC de R4 y R7" title="CUC de R4 y R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Img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5914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Figura 2: Diagrama de Casos de Uso Contextual de R4 y R7 (UML 2.5). Límite del sistema: Plataforma de Telemetría y Análisis de la Red Eléctrica (mqAMI-COD).</w:t>
      </w:r>
    </w:p>
    <w:p>
      <w:pPr>
        <w:spacing w:after="0" w:before="0"/>
        <w:sectPr>
          <w:footerReference w:type="default" r:id="rId7"/>
          <w:pgSz w:w="15840" w:h="12240" w:orient="landscape"/>
          <w:pgMar w:top="900" w:right="1000" w:bottom="900" w:left="1000" w:header="500" w:footer="500" w:gutter="0"/>
          <w:pgNumType/>
          <w:docGrid w:linePitch="360"/>
        </w:sectPr>
      </w:pP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e) Especificación bicolumnar del caso de uso contextual principal: CU-01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0"/>
          <w:szCs w:val="20"/>
        </w:rPr>
        <w:t xml:space="preserve">CU-01 es el caso de uso contextual principal porque materializa R4, el requerimiento que pide el literal A, y concentra los RAS de rendimiento y tiempo real. La especificación se escribe en formato bicolumnar: a la izquierda lo que hace el actor y a la derecha la respuesta observable del sistema, sin detalle de implementación.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36"/>
      </w:tblGrid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de uso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CU-01 Visualizar mapa georreferenciado de la red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Requerimientos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R4 (R4.1, R4.2, R4.3); relacionados: R9.1 y R9.2 (extensión), R6.3, R1.1–R1.4, R10.1 y R3.4 (precondición)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Actor primario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Operador del COD (humano)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Actores secundarios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Smart Meter y Macromedidor (dispositivos): originan los datagramas que cambian el estado del mapa, a través de CU-12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Propósito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 en tiempo real, sobre el mapa georreferenciado de Cali, la ubicación y el estado de los transformadores y circuitos de distribución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Disparador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operador abre la vista «Mapa de la red» en la consola del COD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1) El operador tiene sesión iniciada (CU-19) y su rol lo autoriza a monitorear la red (R3.4).</w:t>
            </w:r>
          </w:p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2) La topología georreferenciada (subestación → circuito → transformador → medidor) del proyecto piloto está registrada.</w:t>
            </w:r>
          </w:p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3) La recepción de datagramas (CU-12) está en operación.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Postcondiciones de éxito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Cada transformador y circuito visible aparece en uno de los cuatro estados de R4 (normal, advertencia de sobrecarga, corte de energía, sospecha de fraude) y la vista queda suscrita a las actualizaciones en tiempo real.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Relaciones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«include» CU-02 Mostrar estado; «include» CU-03 Actualizar en tiempo real; «extend» CU-04 Ver zonas asignadas en el punto de extensión «Operador con asignación vigente»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RAS asociados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Rendimiento / latencia en tiempo real (R4), volumen de datagramas (R6), disponibilidad (R11), escalabilidad horizontal (R13)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11: Ficha del caso de uso CU-01.</w:t>
      </w:r>
    </w:p>
    <w:p>
      <w:pPr>
        <w:keepNext/>
        <w:spacing w:after="60" w:before="1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Flujo principal (escenario de éxito)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00"/>
        <w:gridCol w:w="5436"/>
      </w:tblGrid>
      <w:tr>
        <w:trPr>
          <w:cantSplit/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operador selecciona «Mapa de la red» en la consola del COD.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Verifica que la sesión esté activa y que el rol del operador tenga permiso de monitoreo (R3.4).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la topología georreferenciada y dibuja sobre el mapa de Cali las subestaciones, los circuitos de media tensión y los transformadores con su macromedidor.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 CU-02 «include»: combinando histórico y tiempo real (CU-15), determina el estado de cada transformador y circuito: normal, advertencia de sobrecarga, corte de energía (según los eventos clasificados en CU-16) o sospecha de fraude (según el último % de pérdidas no técnicas de CU-06).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Pinta cada elemento con el color de su estado y muestra la leyenda y la hora de la última actualización.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Evalúa el punto de extensión «Operador con asignación vigente»: si el operador tiene circuitos y zonas asignados (R8.1), ejecuta CU-04 «extend» y centra la vista en ellos.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operador acerca, desplaza el mapa o selecciona un transformador o circuito.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Muestra el detalle del elemento: identificador, circuito, estado, última lectura (voltaje RMS, potencia activa, energía acumulada) y eventos activos.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 CU-03 «include»: cada vez que se recibe y procesa un datagrama o evento, actualiza en el mapa solo los elementos que cambiaron de estado, sin que el operador recargue la vista.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operador cierra la vista del mapa.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 la suscripción a las actualizaciones de esa vista y mantiene la sesión activa.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12: Especificación bicolumnar (Actor vs. Sistema) del flujo principal de CU-01.</w:t>
      </w:r>
    </w:p>
    <w:p>
      <w:pPr>
        <w:keepNext/>
        <w:spacing w:after="60" w:before="1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Flujos alternos y de excepción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300"/>
        <w:gridCol w:w="3436"/>
      </w:tblGrid>
      <w:tr>
        <w:trPr>
          <w:cantSplit/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 (paso)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Condición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A1 (1)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Sesión expirada o rol sin permiso de monitoreo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Rechaza el acceso, registra el intento y lleva al operador a CU-19 Iniciar sesión. Termina el caso de uso.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A2 (5)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operador no tiene asignación vigente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ejecuta CU-04; muestra el mapa de toda la ciudad según sus permisos y continúa en el paso 6.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A3 (3)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 transformador no tiene datagramas recientes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 muestra con su última lectura conocida y la marca «sin comunicación desde» la hora del último datagrama; continúa en el paso 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A4 (7)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Llega un evento cuya prioridad amerita atención en una zona del operador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operador abre el evento y lo toma.</w:t>
            </w: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Resalta el elemento y presenta la notificación (estado «Notificado», R1.4). Al tomarlo, el evento pasa a «En atención» (diagrama de estados del evento) y se vuelve al paso 7.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A5 (7)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 interrumpe la conexión de tiempo real con la consola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Muestra el aviso «actualización en pausa», reintenta la suscripción y, al reconectar, vuelve al paso 3 para recargar el estado actual.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E1 (2)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 topología georreferenciada no está disponible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Informa que el mapa no puede construirse, registra el incidente para el administrador y termina el caso de uso.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13: Flujos alternos y de excepción de CU-01.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Arial" w:cs="Arial" w:eastAsia="Arial" w:hAnsi="Arial"/>
          <w:sz w:val="20"/>
          <w:szCs w:val="20"/>
        </w:rPr>
        <w:t xml:space="preserve">La consulta de estado combina histórico y tiempo real (CU-15, R6.3), por eso el mapa refleja la realidad operativa aunque un medidor transmita cada 60 s.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Arial" w:cs="Arial" w:eastAsia="Arial" w:hAnsi="Arial"/>
          <w:sz w:val="20"/>
          <w:szCs w:val="20"/>
        </w:rPr>
        <w:t xml:space="preserve">Los cambios de estado de los eventos que se ven en el mapa siguen el diagrama de transición de estados de la Parte V (R15).</w:t>
      </w:r>
    </w:p>
    <w:p>
      <w:r>
        <w:br w:type="page"/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f) Especificación bicolumnar del caso de uso primario de R7: CU-06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0"/>
          <w:szCs w:val="20"/>
        </w:rPr>
        <w:t xml:space="preserve">CU-06 es el caso de uso base de R7. Se especifica también en formato bicolumnar porque el literal A pide los casos primarios de R4 y de R7, y porque su resultado (el % de pérdidas no técnicas) alimenta el estado «sospecha de fraude» del mapa de CU-01.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36"/>
      </w:tblGrid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de uso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CU-06 Estimar balance de energía mensual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Requerimientos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 (R7.1–R7.6); relacionados: R6.2 y R6.3 (datos históricos), R10.1 y R3.4 (precondición), R11 y R13 (RNF)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Actor primario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Analista de pérdidas (humano)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Actores secundarios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Macromedidor y Smart Meter (dispositivos): sus datagramas del año seleccionado son la fuente de la energía inyectada y consumida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Propósito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Estimar por mes el balance de energía y el porcentaje de pérdidas no técnicas (fraude o fuga) de cada transformador de distribución y de cada circuito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Disparador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analista abre la opción «Balance de energía» en la consola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1) El analista tiene sesión iniciada (CU-19) y su rol lo autoriza (R3.4).</w:t>
            </w:r>
          </w:p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2) Los datagramas del año del proyecto piloto están persistidos (CU-14).</w:t>
            </w:r>
          </w:p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3) La asociación medidor → transformador → circuito está registrada (listado CSV del piloto).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Postcondiciones de éxito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Queda disponible el balance mensual y el % de pérdidas no técnicas por transformador y por circuito del año seleccionado; los transformadores con pérdidas altas quedan identificados para el estado «sospecha de fraude» del mapa (CU-02).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Relaciones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«include» CU-07, CU-08, CU-09, CU-10 y CU-11; CU-08 y CU-09 «include» CU-15 Combinar histórico y tiempo real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RAS asociados</w:t>
            </w:r>
          </w:p>
        </w:tc>
        <w:tc>
          <w:tcPr>
            <w:tcW w:type="dxa" w:w="7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Rendimiento y escalabilidad (agregar un año de datagramas de unos 800.000 medidores, R7 y R13), disponibilidad del análisis (R11)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14: Ficha del caso de uso CU-06.</w:t>
      </w:r>
    </w:p>
    <w:p>
      <w:pPr>
        <w:keepNext/>
        <w:spacing w:after="60" w:before="1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Flujo principal (escenario de éxito)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00"/>
        <w:gridCol w:w="5436"/>
      </w:tblGrid>
      <w:tr>
        <w:trPr>
          <w:cantSplit/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analista selecciona «Balance de energía».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Verifica la sesión y que el rol sea de analista de pérdidas (R3.4).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 CU-07 «include»: presenta los años de operación del proyecto piloto que tienen datagramas registrados.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analista elige el año y, si quiere, un circuito o un transformador.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 que existan datagramas para el año y el alcance elegidos.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 CU-08 «include»: totaliza por mes la energía inyectada registrada por el macromedidor de cada transformador, a partir del histórico (CU-15).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 CU-09 «include»: totaliza por mes la energía consumida por los medidores inteligentes asociados a cada transformador.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 CU-10 «include»: calcula por transformador y mes el % de pérdidas no técnicas = (energía inyectada − energía consumida) / energía inyectada × 100.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 CU-11 «include»: agrega el balance de los transformadores de cada circuito y calcula el % del circuito.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Presenta la tabla mensual por transformador y por circuito, ordenada de mayor a menor % de pérdidas.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analista filtra, ordena o abre el detalle de un transformador.</w:t>
            </w:r>
          </w:p>
        </w:tc>
        <w:tc>
          <w:tcPr>
            <w:tcW w:type="dxa" w:w="5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Muestra la serie mensual de energía inyectada, consumida y pérdidas, y la lista de medidores asociados.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15: Especificación bicolumnar (Actor vs. Sistema) del flujo principal de CU-06.</w:t>
      </w:r>
    </w:p>
    <w:p>
      <w:pPr>
        <w:keepNext/>
        <w:spacing w:after="60" w:before="12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Flujos alternos y de excepción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300"/>
        <w:gridCol w:w="3436"/>
      </w:tblGrid>
      <w:tr>
        <w:trPr>
          <w:cantSplit/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 (paso)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Condición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A1 (1)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Sesión expirada o rol sin permiso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Rechaza el acceso y lleva al analista a CU-19. Termina el caso de uso.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A2 (3)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año elegido no tiene datos completos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Informa qué meses no tienen datagramas, calcula solo los meses con datos y marca el resultado como «parcial».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A3 (4)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 transformador no tiene lecturas del macromedidor en un mes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Marca ese mes como «sin dato de inyección» y no calcula su % de pérdidas.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A4 (5)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Algún medidor asociado no reportó en el mes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Calcula con los medidores que sí reportaron, marca el resultado como «estimado» y lista los medidores sin comunicación.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A5 (9)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analista exporta el resultado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analista solicita exportar la tabla.</w:t>
            </w:r>
          </w:p>
        </w:tc>
        <w:tc>
          <w:tcPr>
            <w:tcW w:type="dxa" w:w="3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Genera el archivo con el balance mensual del alcance consultado.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16: Flujos alternos y de excepción de CU-06.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Arial" w:cs="Arial" w:eastAsia="Arial" w:hAnsi="Arial"/>
          <w:sz w:val="20"/>
          <w:szCs w:val="20"/>
        </w:rPr>
        <w:t xml:space="preserve">El cálculo agrega los datagramas históricos del año: por volumen se procesa de forma distribuida (Partes III y VI), pero para el analista es una sola consulta.</w:t>
      </w:r>
    </w:p>
    <w:p>
      <w:r>
        <w:br w:type="page"/>
      </w:r>
    </w:p>
    <w:p>
      <w:pPr>
        <w:pStyle w:val="Heading1"/>
        <w:keepNext/>
        <w:spacing w:after="12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Parte V: R15 — Diagramas de transición de estados</w:t>
      </w:r>
    </w:p>
    <w:p>
      <w:pPr>
        <w:spacing w:after="100" w:before="0"/>
        <w:jc w:val="both"/>
      </w:pPr>
      <w:r>
        <w:rPr>
          <w:rFonts w:ascii="Arial" w:cs="Arial" w:eastAsia="Arial" w:hAnsi="Arial"/>
          <w:sz w:val="20"/>
          <w:szCs w:val="20"/>
        </w:rPr>
        <w:t xml:space="preserve">R15 es un requerimiento de proceso: exige plantear, en la fase de análisis, los diagramas de transición de estados del ciclo de vida de los eventos de alarma eléctrica (registrado, notificado, en atención, normalizado) y de las sesiones de los operadores del COD, y validarlos formalmente con el cliente antes del diseño arquitectónico. Ambos diagramas están en el proyecto .vpp; las transiciones usan la notación UML evento [guarda] / acción.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a) Ciclo de vida del evento de alarma eléctrica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309360" cy="3030967"/>
            <wp:effectExtent t="0" r="0" b="0" l="0"/>
            <wp:docPr id="12" name="fig2" descr="Estados del evento de alarma" title="Estados del evento de al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Img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03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Figura 3: Diagrama de transición de estados del evento de alarma eléctrica.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36"/>
        <w:gridCol w:w="1500"/>
        <w:gridCol w:w="1000"/>
        <w:gridCol w:w="10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Origen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 [guarda] / acción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Req.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(inicio)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evento detectado [código de evento ≠ normal o reporte de campo] / clasificar, priorizar y registrar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Registrado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R1.1–R1.3, R1.8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C04, C05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Registrado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[la prioridad amerita atención] / notificar al operador de la zona asignada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Notificado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C06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Notificado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operador o despachador toma el evento / asignar cuadrilla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 atención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En atención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datagrama con código normal o cierre reportado por el técnico / registrar normalización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Normalizado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Notificado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datagrama con código normal [restablecimiento automático] / registrar normalización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Normalizado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R1.5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Normalizado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(fin del ciclo de vida)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(final)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17: Transiciones del evento de alarma. Los componentes son los de la Tabla 8 (C04 ClasificadorEventosRed, C05 GestorCicloVidaEventos, C06 NotificadorOperadores).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b) Ciclo de vida de la sesión del operador del COD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309360" cy="2656572"/>
            <wp:effectExtent t="0" r="0" b="0" l="0"/>
            <wp:docPr id="13" name="fig3" descr="Estados de la sesión del operador" title="Estados de la sesión del ope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Img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65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Figura 4: Diagrama de transición de estados de la sesión del operador del COD.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36"/>
        <w:gridCol w:w="1500"/>
        <w:gridCol w:w="1000"/>
        <w:gridCol w:w="10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Origen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 [guarda] / acción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Req.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(inicio)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iniciarSesion(credenciales) [credenciales válidas y rol asignado] / autenticar y registrar inicio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Iniciada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R10.1, R10.3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Iniciada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vista del operador cargada [autorizado por rol] / mostrar zonas y circuitos asignados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Activa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R3.4, R9.1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C20, C12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Activa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cerrarSesion() / invalidar sesión y registrar cierre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Cerrada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R10.2, R10.3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Activa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inactividad prolongada / expirar sesión y registrar cierre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Cerrada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R10.3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Cerrada</w:t>
            </w:r>
          </w:p>
        </w:tc>
        <w:tc>
          <w:tcPr>
            <w:tcW w:type="dxa" w:w="49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(fin del ciclo de vida)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(final)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Tabla 18: Transiciones de la sesión del operador (C19 AutenticadorSesiones, C20 AutorizadorAcceso, C12 GestorVistaOperador).</w:t>
      </w:r>
    </w:p>
    <w:p>
      <w:pPr>
        <w:spacing w:after="100" w:before="100"/>
        <w:jc w:val="both"/>
      </w:pPr>
      <w:r>
        <w:rPr>
          <w:rFonts w:ascii="Arial" w:cs="Arial" w:eastAsia="Arial" w:hAnsi="Arial"/>
          <w:sz w:val="20"/>
          <w:szCs w:val="20"/>
        </w:rPr>
        <w:t xml:space="preserve">Validación con el cliente (R15): estos dos diagramas deben revisarse con el COD antes del diseño arquitectónico. El tiempo de inactividad que expira la sesión no está definido en el enunciado y queda como dato a confirmar con el cliente.</w:t>
      </w:r>
    </w:p>
    <w:sectPr>
      <w:footerReference w:type="default" r:id="rId7"/>
      <w:pgSz w:w="12240" w:h="15840" w:orient="portrait"/>
      <w:pgMar w:top="1000" w:right="1152" w:bottom="1000" w:left="115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Ingeniería de Software IV · Parcial 2 · Pieza A: CUC, bicolumnar y estados (R15) ·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9" Type="http://schemas.openxmlformats.org/officeDocument/2006/relationships/fontTable" Target="fontTable.xml"/><Relationship Id="rIdImg1" Type="http://schemas.openxmlformats.org/officeDocument/2006/relationships/image" Target="media/cuc_final.png"/><Relationship Id="rIdImg2" Type="http://schemas.openxmlformats.org/officeDocument/2006/relationships/image" Target="media/estados_evento.png"/><Relationship Id="rIdImg3" Type="http://schemas.openxmlformats.org/officeDocument/2006/relationships/image" Target="media/estados_sesio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Parcial 2 - Pieza A: CUC, bicolumnar y estados R15</dc:title>
  <dc:creator>Alejandro Rendón, Valeria Piza, Juan Diego Balanta</dc:creator>
  <cp:lastModifiedBy>Un-named</cp:lastModifiedBy>
  <cp:revision>1</cp:revision>
  <dcterms:created xsi:type="dcterms:W3CDTF">2026-10-18T20:21:34.522Z</dcterms:created>
  <dcterms:modified xsi:type="dcterms:W3CDTF">2026-10-18T20:21:34.522Z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