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Evaluación Sumativa N° 2: Diseño Arquitectónico Funcional y Sistemas Distribuidos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Piezas C y D: Diagrama de Deployment UML 2.5 (Flynn) y escenarios de calidad QAW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Ingeniería de Software IV (09775) · NRC 10865 · Universidad Icesi · 2026-2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Profesores: Alejandro Muñoz Bravo y Alejandro Peñaranda Agudelo · Octubre de 2026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Nombres: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Alejandro Rendón — A00407975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Valeria Piza — A00405037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Juan Diego Balanta — A00407538</w:t>
      </w:r>
    </w:p>
    <w:p>
      <w:pPr>
        <w:spacing w:after="100" w:before="10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Caso: red eléctrica inteligente (Smart Grid AMI) del COD. El diagrama de despliegue está en JuanDiegoBalantaMolina_ValeriaPiza_AlejandroRendon_C_Deployment.vpp; los componentes C01–C25 y sus interfaces son los de la Parte III (Dorfman Fase 2) y los casos de uso los de la Parte IV.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VI: Literal C — Diagrama de Deployment UML 2.5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El despliegue reparte los 25 componentes de la Fase 2 en 15 nodos: dispositivos de campo y clientes («device»), un borde de concentración (head-end) y clústeres de procesamiento y almacenamiento distribuido («executionEnvironment»). Cada par de nodos que se comunica tiene una sola ruta de comunicación, rotulada con el protocolo real y su puerto. Las dependencias entre componentes no se dibujan aquí: están en las tarjetas CRC y en la Tabla 8.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Decisiones de arquitectura que sostiene el despliegue: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Ingesta desacoplada por mensajería particionada (R6, R11, R13):</w:t>
      </w:r>
      <w:r>
        <w:rPr>
          <w:rFonts w:ascii="Arial" w:cs="Arial" w:eastAsia="Arial" w:hAnsi="Arial"/>
          <w:sz w:val="20"/>
          <w:szCs w:val="20"/>
        </w:rPr>
        <w:t xml:space="preserve"> los head-end publican por MQTT/TLS; el clúster de ingesta sin estado normaliza el datagrama (R12) y lo publica en tópicos Kafka particionados por transformer_id, de donde lo consumen eventos, series de tiempo y monitoreo de forma independiente.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Almacenamiento distribuido (R6, R7):</w:t>
      </w:r>
      <w:r>
        <w:rPr>
          <w:rFonts w:ascii="Arial" w:cs="Arial" w:eastAsia="Arial" w:hAnsi="Arial"/>
          <w:sz w:val="20"/>
          <w:szCs w:val="20"/>
        </w:rPr>
        <w:t xml:space="preserve"> base de series de tiempo particionada por tiempo y transformador y replicada; la topología georreferenciada vive en PostgreSQL + PostGIS con réplica.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Escalado horizontal (R13):</w:t>
      </w:r>
      <w:r>
        <w:rPr>
          <w:rFonts w:ascii="Arial" w:cs="Arial" w:eastAsia="Arial" w:hAnsi="Arial"/>
          <w:sz w:val="20"/>
          <w:szCs w:val="20"/>
        </w:rPr>
        <w:t xml:space="preserve"> todos los clústeres «MIMD» agregan nodos sin cambiar código; los servidores web y de monitoreo no guardan estado y van detrás de un balanceador.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Tiempo real hacia el COD (R4, R9):</w:t>
      </w:r>
      <w:r>
        <w:rPr>
          <w:rFonts w:ascii="Arial" w:cs="Arial" w:eastAsia="Arial" w:hAnsi="Arial"/>
          <w:sz w:val="20"/>
          <w:szCs w:val="20"/>
        </w:rPr>
        <w:t xml:space="preserve"> el estado del mapa se empuja al navegador por WSS 443 a partir de los eventos del bus y de las notificaciones del clúster de eventos (gRPC/TLS).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Seguridad transversal (R3, R10, R14):</w:t>
      </w:r>
      <w:r>
        <w:rPr>
          <w:rFonts w:ascii="Arial" w:cs="Arial" w:eastAsia="Arial" w:hAnsi="Arial"/>
          <w:sz w:val="20"/>
          <w:szCs w:val="20"/>
        </w:rPr>
        <w:t xml:space="preserve"> autenticación OIDC/OAuth 2.0 con JWT para la consola, la terminal de campo y los consumidores de API.</w:t>
      </w:r>
    </w:p>
    <w:p>
      <w:pPr>
        <w:spacing w:after="0" w:before="0"/>
        <w:sectPr>
          <w:footerReference w:type="default" r:id="rId7"/>
          <w:pgSz w:w="12240" w:h="15840" w:orient="portrait"/>
          <w:pgMar w:top="1000" w:right="1152" w:bottom="1000" w:left="1152" w:header="708" w:footer="708" w:gutter="0"/>
          <w:pgNumType/>
          <w:docGrid w:linePitch="360"/>
        </w:sectPr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Diagrama de despliegue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8778240" cy="5169492"/>
            <wp:effectExtent t="0" r="0" b="0" l="0"/>
            <wp:docPr id="11" name="fig1" descr="Deployment UML 2.5" title="Deployment UML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16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Figura 5: Diagrama de Deployment UML 2.5 con 15 nodos, 25 componentes desplegados, 20 rutas de comunicación con su protocolo y la taxonomía de Flynn como estereotipos.</w:t>
      </w:r>
    </w:p>
    <w:p>
      <w:pPr>
        <w:spacing w:after="0" w:before="0"/>
        <w:sectPr>
          <w:footerReference w:type="default" r:id="rId7"/>
          <w:pgSz w:w="15840" w:h="12240" w:orient="landscape"/>
          <w:pgMar w:top="900" w:right="1000" w:bottom="900" w:left="1000" w:header="500" w:footer="500" w:gutter="0"/>
          <w:pgNumType/>
          <w:docGrid w:linePitch="360"/>
        </w:sectPr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Nodos, taxonomía de Flynn y componentes desplegados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936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/ Flynn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Componentes desplegados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 (RAS)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Smart Meter / Macromedidor ×800.000 → 2.000.000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«device» «SISD»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 (fuente de datagramas)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R6, R12: origen de 15–25 millones de datagramas diarios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Concentrador / Head-end AMI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«device»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Borde: agrega NB-IoT/4G y RF Mesh y entrega por MQTT/TLS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ingesta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 «MIMD»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C01, C02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R6, R12, R13: réplicas sin estado que reciben y normalizan en paralelo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mensajería ×N brokers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 «MIMD»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C03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R11, R13: absorbe picos y desacopla productores y consumidores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procesamiento de eventos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 «MIMD»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C04, C05, C06, C07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R1, R15: clasificación y ciclo de vida de eventos por partición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series de tiempo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 «MIMD»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C08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R6, R11: base time-series particionada y replicada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 de topología (PostgreSQL + PostGIS)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C13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R4, R7, R9: jerarquía y georreferencia de la red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Servidores web y de monitoreo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 «MIMD»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C14, C09, C10, C11, C12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R4, R9: mapa y vistas en tiempo real para 30 operadores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analítica batch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 «MIMD» «SIMD»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C15, C16, C17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R7, R13: balance mensual distribuido; totalización vectorizada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Servidores de seguridad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C18, C19, C20, C21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R3, R8, R10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Zona de APIs ×N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«executionEnvironment»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C22, C23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R14: APIs para ciudadanos, empresas y entes de regulación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Terminal de Campo ×varias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«device» «SISD»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C24, C25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R1, R2: reporte de eventos con botones físicos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Navegador, Balanceador de carga, Consumidores de API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«device»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 y punto de entrada balanceado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19: Nodos del despliegue. «SISD» = un flujo de instrucciones sobre un flujo de datos; «MIMD» = N nodos independientes que procesan particiones distintas en paralelo; «SIMD» = la misma operación aplicada a un vector de lecturas dentro de cada nodo de analítica.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Rutas de comunicación y protocolos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36"/>
      </w:tblGrid>
      <w:tr>
        <w:trPr>
          <w:cantSplit/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Desde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Hacia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Protocolo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Smart Meter / Macromedidor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Concentrador / Head-end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NB-IoT/4G · RF Mesh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Concentrador / Head-end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Clúster de ingesta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MQTT/TLS 8883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ingesta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Clúster de mensajería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Kafka/TLS 9093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mensajería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 · Series de tiempo · Web y monitoreo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Kafka/TLS 9093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eventos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web y de monitoreo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gRPC/TLS (notificaciones)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Servidores web y de monitoreo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de tiempo · Topología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TCP 5432 · JDBC/SQL 5432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Clúster de analítica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Series de tiempo · Topología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TCP 5432 (agregación mensual) · JDBC/SQL 5432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Servidores web y de monitoreo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Clúster de analítica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gRPC/TLS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Servidores web y de monitoreo · Zona de APIs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de seguridad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 OIDC/OAuth 2.0 (JWT)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Servidores de seguridad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Topología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JDBC/SQL 5432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Navegador · Terminal de Campo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Balanceador de carga → Servidores web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HTTPS/REST + WSS 443 · HTTPS/REST sobre 4G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Consumidores de API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Zona de APIs → Servidores web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HTTPS/REST 443 + OAuth 2.0 · gRPC/TLS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20: Rutas de comunicación del despliegue (resumen de las 20 rutas del diagrama).</w:t>
      </w: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VII: Literal D — Escenarios de calidad QAW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Se formulan tres escenarios canónicos de 6 partes sobre los RAS de mayor peso (Parte I): rendimiento en tiempo real, escalabilidad horizontal y disponibilidad. Las medidas de respuesta son metas cuantitativas propuestas por el equipo a partir de los volúmenes del enunciado (800.000 medidores hoy, 2.000.000 a futuro, 15–25 millones de datagramas diarios, 30 operadores, lecturas cada 30 o 60 s) y deben validarse con el cliente. Cada escenario indica qué decisión del despliegue pone a prueba.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Volumen de referencia: 25 millones de datagramas al día equivalen a unos 290 datagramas por segundo en promedio; con 2.000.000 de medidores la carga sube a unos 62,5 millones diarios (≈ 720 por segundo).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a) QAW-1 — Rendimiento: evento masivo de corte reflejado en el mapa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36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Parte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QAW-1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Fuente (Source)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Los medidores inteligentes y el macromedidor de un circuito afectado por un corte intempestivo.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Estímulo (Stimulus)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 los medidores del circuito envían en el mismo minuto su datagrama con código de evento de corte (Last Gasp), sumado a la carga normal de unos 290 datagramas/s.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Artefacto (Artifact)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Cadena de ingesta y procesamiento: clúster de ingesta (C01, C02), mensajería (C03), procesamiento de eventos (C04–C06) y servidores de monitoreo (C10, C11).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Entorno (Environment)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Operación normal en hora pico, con los 30 operadores del COD conectados a la consola.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Respuesta (Response)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sistema clasifica y prioriza el evento, lo registra («Registrado»), lo notifica al operador de la zona («Notificado») y cambia a «corte de energía» el estado del transformador y del circuito en el mapa (CU-01, CU-03).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Medida de respuesta (Response Measure)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95 % de los cambios de estado aparece en el mapa en 5 s o menos desde la recepción del datagrama; 0 datagramas perdidos durante el pico.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 y decisión que pone a prueba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R4, R6, R12. Pone a prueba el bus particionado por transformer_id, la clasificación paralela «MIMD» y el empuje por WSS: si la latencia se dispara, hay que aumentar particiones o réplicas de eventos.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21: Escenario QAW QAW-1.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QAW-2 — Escalabilidad: crecer de 800.000 a 2.000.000 de medidores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36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Parte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QAW-2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Fuente (Source)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 empresa de energía, que incorpora nuevos usuarios y medidores a la red.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Estímulo (Stimulus)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 parque crece de 800.000 a 2.000.000 de medidores (×2,5) y la carga pasa de 15–25 a 37,5–62,5 millones de datagramas diarios.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Artefacto (Artifact)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Clústeres de ingesta, mensajería, procesamiento de eventos y series de tiempo (C01–C05, C08).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Entorno (Environment)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Producción en operación continua, sin ventana de mantenimiento.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Respuesta (Response)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agregan nodos a cada clúster y se redistribuyen las particiones por transformer_id, sin cambiar código ni detener el servicio.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Medida de respuesta (Response Measure)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 2.000.000 de medidores se mantiene la meta de QAW-1 (p95 ≤ 5 s); el throughput crece al menos al 80 % de forma lineal por nodo agregado; 0 minutos de indisponibilidad durante el escalado.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 y decisión que pone a prueba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R13, R11. Pone a prueba los componentes sin estado y el particionamiento horizontal (clústeres «MIMD»): un componente con estado compartido rompería la medida.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22: Escenario QAW QAW-2.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c) QAW-3 — Disponibilidad: caída de un nodo de almacenamiento en hora pico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36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Parte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QAW-3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Fuente (Source)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Falla de hardware o de red en el centro de datos.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Estímulo (Stimulus)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Cae uno de los N nodos del clúster de series de tiempo (o un broker del clúster de mensajería) mientras llegan datagramas.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Artefacto (Artifact)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Clúster de mensajería (C03) y clúster de series de tiempo (C08), con sus réplicas.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Entorno (Environment)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Operación en hora pico, con el monitoreo del COD y un cálculo de balance mensual (CU-06) en curso.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Respuesta (Response)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Una réplica asume las particiones del nodo caído; los productores reintentan y ningún datagrama confirmado se pierde; el mapa y el balance siguen respondiendo y se alerta al administrador.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Medida de respuesta (Response Measure)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Conmutación en 30 s o menos; 0 datagramas confirmados perdidos (RPO = 0); disponibilidad mensual del monitoreo de al menos 99,9 %.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 y decisión que pone a prueba</w:t>
            </w:r>
          </w:p>
        </w:tc>
        <w:tc>
          <w:tcPr>
            <w:tcW w:type="dxa" w:w="76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R11, R6, R7. Pone a prueba la replicación del almacenamiento particionado y la retención del bus: sin réplicas, la caída de un nodo detendría el análisis.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23: Escenario QAW QAW-3.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d) Trazabilidad requerimiento → componente → nodo → escenario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3300"/>
        <w:gridCol w:w="2336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Nodo(s)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 QAW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C04, C05, C06, C07, C24, C25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Eventos; Terminal de Campo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C24, C25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Terminal de Campo «SISD»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C18, C20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de seguridad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C10, C11, C14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web y de monitoreo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C01, C02, C03, C08, C09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Ingesta; Mensajería; Series de tiempo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QAW-1, QAW-3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C15, C16, C17, C13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Analítica «MIMD/SIMD»; Topología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de seguridad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C12, C13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web y de monitoreo; Topología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C19, C20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Servidores de seguridad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C03, C08 (réplicas)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Mensajería; Series de tiempo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QAW-2, QAW-3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Clúster de ingesta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C01–C05, C08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 los clústeres «MIMD»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QAW-2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R14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C22, C23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Zona de APIs</w:t>
            </w:r>
          </w:p>
        </w:tc>
        <w:tc>
          <w:tcPr>
            <w:tcW w:type="dxa" w:w="2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Tabla 24: Cierre de la trazabilidad. R5 se cumple al modelar todo en UML 2.5 y R15 con los diagramas de estados de la Parte V.</w:t>
      </w:r>
    </w:p>
    <w:sectPr>
      <w:footerReference w:type="default" r:id="rId7"/>
      <w:pgSz w:w="12240" w:h="15840" w:orient="portrait"/>
      <w:pgMar w:top="1000" w:right="1152" w:bottom="100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Ingeniería de Software IV · Parcial 2 · Piezas C y D: Deployment y escenarios QAW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9" Type="http://schemas.openxmlformats.org/officeDocument/2006/relationships/fontTable" Target="fontTable.xml"/><Relationship Id="rIdImg1" Type="http://schemas.openxmlformats.org/officeDocument/2006/relationships/image" Target="media/deploy_final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2 - Piezas C y D: Deployment y QAW</dc:title>
  <dc:creator>Alejandro Rendón, Valeria Piza, Juan Diego Balanta</dc:creator>
  <cp:lastModifiedBy>Un-named</cp:lastModifiedBy>
  <cp:revision>1</cp:revision>
  <dcterms:created xsi:type="dcterms:W3CDTF">2026-10-18T20:21:34.522Z</dcterms:created>
  <dcterms:modified xsi:type="dcterms:W3CDTF">2026-10-18T20:21:34.522Z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