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4B7B" w14:textId="6D944A1F" w:rsidR="00460D4A" w:rsidRDefault="00000000">
      <w:pPr>
        <w:spacing w:after="0" w:line="48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Saint Columban College</w:t>
      </w:r>
    </w:p>
    <w:p w14:paraId="4D6F9D54" w14:textId="77777777" w:rsidR="00460D4A" w:rsidRDefault="00000000">
      <w:pPr>
        <w:spacing w:after="0" w:line="480" w:lineRule="auto"/>
        <w:jc w:val="center"/>
        <w:rPr>
          <w:rFonts w:ascii="Arial Narrow" w:eastAsia="Arial Narrow" w:hAnsi="Arial Narrow" w:cs="Arial Narrow"/>
          <w:sz w:val="24"/>
          <w:szCs w:val="24"/>
        </w:rPr>
      </w:pPr>
      <w:r>
        <w:rPr>
          <w:rFonts w:ascii="Arial Narrow" w:eastAsia="Arial Narrow" w:hAnsi="Arial Narrow" w:cs="Arial Narrow"/>
          <w:b/>
          <w:bCs/>
          <w:color w:val="000000"/>
          <w:sz w:val="24"/>
          <w:szCs w:val="24"/>
        </w:rPr>
        <w:t>COLLEGE OF COMPUTING STUDIES</w:t>
      </w:r>
    </w:p>
    <w:p w14:paraId="4DF36BB8" w14:textId="77777777" w:rsidR="00460D4A" w:rsidRDefault="00000000">
      <w:pPr>
        <w:spacing w:after="0" w:line="48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Pagadian City</w:t>
      </w:r>
    </w:p>
    <w:p w14:paraId="5C74104B" w14:textId="77777777" w:rsidR="00811375" w:rsidRDefault="00000000" w:rsidP="00811375">
      <w:pPr>
        <w:jc w:val="center"/>
        <w:rPr>
          <w:sz w:val="28"/>
          <w:szCs w:val="28"/>
        </w:rPr>
      </w:pPr>
      <w:r>
        <w:rPr>
          <w:rFonts w:ascii="Arial Narrow" w:eastAsia="Arial Narrow" w:hAnsi="Arial Narrow" w:cs="Arial Narrow"/>
          <w:noProof/>
          <w:sz w:val="24"/>
          <w:szCs w:val="24"/>
        </w:rPr>
        <w:drawing>
          <wp:inline distT="0" distB="0" distL="0" distR="0" wp14:anchorId="29CFEC8E" wp14:editId="28B2C693">
            <wp:extent cx="1092200" cy="1371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92200" cy="1371600"/>
                    </a:xfrm>
                    <a:prstGeom prst="rect">
                      <a:avLst/>
                    </a:prstGeom>
                    <a:ln/>
                  </pic:spPr>
                </pic:pic>
              </a:graphicData>
            </a:graphic>
          </wp:inline>
        </w:drawing>
      </w:r>
      <w:r>
        <w:rPr>
          <w:rFonts w:ascii="Arial Narrow" w:eastAsia="Arial Narrow" w:hAnsi="Arial Narrow" w:cs="Arial Narrow"/>
          <w:sz w:val="24"/>
          <w:szCs w:val="24"/>
        </w:rPr>
        <w:br/>
      </w:r>
      <w:r>
        <w:rPr>
          <w:b/>
          <w:bCs/>
          <w:sz w:val="36"/>
          <w:szCs w:val="36"/>
        </w:rPr>
        <w:t>FOCUSFLOW: An On-Device Gaze-Based Attention Profiling System for Personalized Learning Recommendations on Android</w:t>
      </w:r>
      <w:r>
        <w:rPr>
          <w:sz w:val="28"/>
          <w:szCs w:val="28"/>
        </w:rPr>
        <w:t xml:space="preserve"> </w:t>
      </w:r>
    </w:p>
    <w:p w14:paraId="0E784145" w14:textId="6BA1E1EA" w:rsidR="00460D4A" w:rsidRDefault="00460D4A">
      <w:pPr>
        <w:spacing w:after="0" w:line="480" w:lineRule="auto"/>
        <w:jc w:val="center"/>
        <w:rPr>
          <w:rFonts w:ascii="Arial Narrow" w:eastAsia="Arial Narrow" w:hAnsi="Arial Narrow" w:cs="Arial Narrow"/>
          <w:b/>
          <w:bCs/>
          <w:color w:val="000000"/>
          <w:sz w:val="24"/>
          <w:szCs w:val="24"/>
        </w:rPr>
      </w:pPr>
    </w:p>
    <w:p w14:paraId="366CBC39" w14:textId="77777777" w:rsidR="00460D4A" w:rsidRDefault="00460D4A">
      <w:pPr>
        <w:spacing w:after="0" w:line="240" w:lineRule="auto"/>
        <w:jc w:val="center"/>
        <w:rPr>
          <w:rFonts w:ascii="Arial Narrow" w:eastAsia="Arial Narrow" w:hAnsi="Arial Narrow" w:cs="Arial Narrow"/>
          <w:sz w:val="24"/>
          <w:szCs w:val="24"/>
        </w:rPr>
      </w:pPr>
    </w:p>
    <w:p w14:paraId="047DAD7A" w14:textId="77777777" w:rsidR="00460D4A" w:rsidRDefault="00000000">
      <w:pPr>
        <w:spacing w:after="0" w:line="36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This study is a partial requirement of the degree</w:t>
      </w:r>
    </w:p>
    <w:p w14:paraId="6474E1D5" w14:textId="77777777" w:rsidR="00460D4A" w:rsidRDefault="00000000">
      <w:pPr>
        <w:spacing w:after="0" w:line="36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Bachelor of Science in Computer Science</w:t>
      </w:r>
    </w:p>
    <w:p w14:paraId="73089147" w14:textId="77777777" w:rsidR="00460D4A" w:rsidRDefault="00460D4A">
      <w:pPr>
        <w:spacing w:after="0" w:line="240" w:lineRule="auto"/>
        <w:rPr>
          <w:rFonts w:ascii="Arial Narrow" w:eastAsia="Arial Narrow" w:hAnsi="Arial Narrow" w:cs="Arial Narrow"/>
          <w:sz w:val="24"/>
          <w:szCs w:val="24"/>
        </w:rPr>
      </w:pPr>
    </w:p>
    <w:p w14:paraId="2ABA3606" w14:textId="77777777" w:rsidR="00460D4A" w:rsidRDefault="00460D4A">
      <w:pPr>
        <w:spacing w:after="0" w:line="240" w:lineRule="auto"/>
        <w:rPr>
          <w:rFonts w:ascii="Arial Narrow" w:eastAsia="Arial Narrow" w:hAnsi="Arial Narrow" w:cs="Arial Narrow"/>
          <w:sz w:val="24"/>
          <w:szCs w:val="24"/>
        </w:rPr>
      </w:pPr>
    </w:p>
    <w:p w14:paraId="44B746F1" w14:textId="40D4DDA4" w:rsidR="00460D4A" w:rsidRDefault="00000000">
      <w:pPr>
        <w:spacing w:after="0" w:line="24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 xml:space="preserve">CS Group: Thread.Sleepers (3)</w:t>
      </w:r>
    </w:p>
    <w:p w14:paraId="46295F52" w14:textId="77777777" w:rsidR="00460D4A" w:rsidRDefault="00000000">
      <w:pPr>
        <w:spacing w:after="0" w:line="240" w:lineRule="auto"/>
        <w:jc w:val="center"/>
        <w:rPr>
          <w:rFonts w:ascii="Arial Narrow" w:eastAsia="Arial Narrow" w:hAnsi="Arial Narrow" w:cs="Arial Narrow"/>
          <w:sz w:val="24"/>
          <w:szCs w:val="24"/>
        </w:rPr>
      </w:pPr>
      <w:r>
        <w:rPr>
          <w:rFonts w:ascii="Arial Narrow" w:eastAsia="Arial Narrow" w:hAnsi="Arial Narrow" w:cs="Arial Narrow"/>
          <w:b/>
          <w:bCs/>
          <w:color w:val="000000"/>
          <w:sz w:val="24"/>
          <w:szCs w:val="24"/>
        </w:rPr>
        <w:t xml:space="preserve"> </w:t>
      </w:r>
    </w:p>
    <w:p w14:paraId="3C3AA97A" w14:textId="77777777" w:rsidR="00460D4A" w:rsidRDefault="00460D4A">
      <w:pPr>
        <w:spacing w:after="0" w:line="240" w:lineRule="auto"/>
        <w:rPr>
          <w:rFonts w:ascii="Arial Narrow" w:eastAsia="Arial Narrow" w:hAnsi="Arial Narrow" w:cs="Arial Narrow"/>
          <w:sz w:val="24"/>
          <w:szCs w:val="24"/>
        </w:rPr>
      </w:pPr>
    </w:p>
    <w:p w14:paraId="31847B3F" w14:textId="77777777" w:rsidR="00460D4A" w:rsidRDefault="00000000">
      <w:pPr>
        <w:spacing w:after="0" w:line="240" w:lineRule="auto"/>
        <w:jc w:val="center"/>
        <w:rPr>
          <w:rFonts w:ascii="Arial Narrow" w:eastAsia="Arial Narrow" w:hAnsi="Arial Narrow" w:cs="Arial Narrow"/>
          <w:sz w:val="24"/>
          <w:szCs w:val="24"/>
        </w:rPr>
      </w:pPr>
      <w:r>
        <w:rPr>
          <w:rFonts w:ascii="Arial Narrow" w:eastAsia="Arial Narrow" w:hAnsi="Arial Narrow" w:cs="Arial Narrow"/>
          <w:color w:val="000000"/>
          <w:sz w:val="24"/>
          <w:szCs w:val="24"/>
        </w:rPr>
        <w:t>Group Members:</w:t>
      </w:r>
    </w:p>
    <w:p w14:paraId="4278F621" w14:textId="77777777" w:rsidR="00460D4A" w:rsidRDefault="00460D4A">
      <w:pPr>
        <w:spacing w:after="0" w:line="240" w:lineRule="auto"/>
        <w:rPr>
          <w:rFonts w:ascii="Arial Narrow" w:eastAsia="Arial Narrow" w:hAnsi="Arial Narrow" w:cs="Arial Narrow"/>
          <w:sz w:val="24"/>
          <w:szCs w:val="24"/>
        </w:rPr>
      </w:pPr>
    </w:p>
    <w:p w14:paraId="35872C73" w14:textId="1DEC4708" w:rsidR="00460D4A" w:rsidRDefault="00811375">
      <w:pPr>
        <w:spacing w:after="0" w:line="360" w:lineRule="auto"/>
        <w:jc w:val="center"/>
        <w:rPr>
          <w:rFonts w:ascii="Arial Narrow" w:eastAsia="Arial Narrow" w:hAnsi="Arial Narrow" w:cs="Arial Narrow"/>
          <w:sz w:val="24"/>
          <w:szCs w:val="24"/>
        </w:rPr>
      </w:pPr>
      <w:r>
        <w:rPr>
          <w:rFonts w:ascii="Arial Narrow" w:eastAsia="Arial Narrow" w:hAnsi="Arial Narrow" w:cs="Arial Narrow"/>
          <w:sz w:val="24"/>
          <w:szCs w:val="24"/>
        </w:rPr>
        <w:t>Rhezann Claire C. Pacaña - Project Manager</w:t>
      </w:r>
    </w:p>
    <w:p w14:paraId="1DC1172A" w14:textId="337E5606" w:rsidR="00460D4A" w:rsidRDefault="00811375">
      <w:pPr>
        <w:spacing w:after="0" w:line="360" w:lineRule="auto"/>
        <w:jc w:val="center"/>
        <w:rPr>
          <w:rFonts w:ascii="Arial Narrow" w:eastAsia="Arial Narrow" w:hAnsi="Arial Narrow" w:cs="Arial Narrow"/>
          <w:sz w:val="24"/>
          <w:szCs w:val="24"/>
        </w:rPr>
      </w:pPr>
      <w:r>
        <w:rPr>
          <w:rFonts w:ascii="Arial Narrow" w:eastAsia="Arial Narrow" w:hAnsi="Arial Narrow" w:cs="Arial Narrow"/>
          <w:sz w:val="24"/>
          <w:szCs w:val="24"/>
        </w:rPr>
        <w:t>Valerie Joy Intong - System Developer</w:t>
      </w:r>
    </w:p>
    <w:p w14:paraId="13A26281" w14:textId="7B3798E5" w:rsidR="00460D4A" w:rsidRDefault="00811375">
      <w:pPr>
        <w:spacing w:after="0" w:line="360" w:lineRule="auto"/>
        <w:jc w:val="center"/>
        <w:rPr>
          <w:rFonts w:ascii="Arial Narrow" w:eastAsia="Arial Narrow" w:hAnsi="Arial Narrow" w:cs="Arial Narrow"/>
          <w:sz w:val="24"/>
          <w:szCs w:val="24"/>
        </w:rPr>
      </w:pPr>
      <w:r>
        <w:rPr>
          <w:rFonts w:ascii="Arial Narrow" w:eastAsia="Arial Narrow" w:hAnsi="Arial Narrow" w:cs="Arial Narrow"/>
          <w:sz w:val="24"/>
          <w:szCs w:val="24"/>
        </w:rPr>
        <w:t>Kenrick Dawang - System QA</w:t>
      </w:r>
    </w:p>
    <w:p w14:paraId="57A9A3D6" w14:textId="77777777" w:rsidR="00460D4A" w:rsidRDefault="00000000">
      <w:pPr>
        <w:spacing w:after="240" w:line="240" w:lineRule="auto"/>
        <w:jc w:val="center"/>
        <w:rPr>
          <w:rFonts w:ascii="Arial Narrow" w:eastAsia="Arial Narrow" w:hAnsi="Arial Narrow" w:cs="Arial Narrow"/>
          <w:color w:val="0563C1"/>
          <w:u w:val="single"/>
        </w:rPr>
        <w:sectPr w:rsidR="00460D4A">
          <w:footerReference w:type="default" r:id="rId9"/>
          <w:footerReference w:type="first" r:id="rId10"/>
          <w:pgSz w:w="12240" w:h="15840"/>
          <w:pgMar w:top="1440" w:right="1800" w:bottom="1440" w:left="1800" w:header="720" w:footer="720" w:gutter="0"/>
          <w:pgNumType w:start="1"/>
          <w:cols w:space="720"/>
        </w:sectPr>
      </w:pPr>
      <w:r>
        <w:rPr>
          <w:rFonts w:ascii="Arial Narrow" w:eastAsia="Arial Narrow" w:hAnsi="Arial Narrow" w:cs="Arial Narrow"/>
          <w:color w:val="000000"/>
          <w:sz w:val="24"/>
          <w:szCs w:val="24"/>
        </w:rPr>
        <w:br/>
        <w:br/>
      </w:r>
    </w:p>
    <w:p w14:paraId="21FF32B1" w14:textId="77777777" w:rsidR="00460D4A" w:rsidRDefault="00000000">
      <w:pPr>
        <w:pStyle w:val="Heading1"/>
        <w:jc w:val="center"/>
        <w:rPr>
          <w:rFonts w:ascii="Arial Narrow" w:eastAsia="Arial Narrow" w:hAnsi="Arial Narrow" w:cs="Arial Narrow"/>
          <w:sz w:val="24"/>
          <w:szCs w:val="24"/>
        </w:rPr>
      </w:pPr>
      <w:bookmarkStart w:id="0" w:name="_hd2qt2apn3mi" w:colFirst="0" w:colLast="0"/>
      <w:bookmarkEnd w:id="0"/>
      <w:r>
        <w:rPr>
          <w:rFonts w:ascii="Arial Narrow" w:eastAsia="Arial Narrow" w:hAnsi="Arial Narrow" w:cs="Arial Narrow"/>
          <w:sz w:val="24"/>
          <w:szCs w:val="24"/>
        </w:rPr>
        <w:lastRenderedPageBreak/>
        <w:t>Chapter 01</w:t>
      </w:r>
    </w:p>
    <w:p w14:paraId="564883FF" w14:textId="77777777" w:rsidR="00460D4A" w:rsidRDefault="00000000">
      <w:pPr>
        <w:pStyle w:val="Heading2"/>
        <w:jc w:val="center"/>
        <w:rPr>
          <w:rFonts w:ascii="Arial Narrow" w:eastAsia="Arial Narrow" w:hAnsi="Arial Narrow" w:cs="Arial Narrow"/>
          <w:sz w:val="24"/>
          <w:szCs w:val="24"/>
        </w:rPr>
      </w:pPr>
      <w:bookmarkStart w:id="1" w:name="_5rqklc7ae4fz" w:colFirst="0" w:colLast="0"/>
      <w:bookmarkEnd w:id="1"/>
      <w:r>
        <w:rPr>
          <w:rFonts w:ascii="Arial Narrow" w:eastAsia="Arial Narrow" w:hAnsi="Arial Narrow" w:cs="Arial Narrow"/>
          <w:sz w:val="24"/>
          <w:szCs w:val="24"/>
        </w:rPr>
        <w:t>INTRODUCTION</w:t>
      </w:r>
    </w:p>
    <w:p w14:paraId="36FCA35B"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Project Context</w:t>
      </w:r>
    </w:p>
    <w:p w14:paraId="761F13B3" w14:textId="77777777" w:rsidR="003505D9" w:rsidRPr="003505D9" w:rsidRDefault="003505D9" w:rsidP="003505D9">
      <w:pPr>
        <w:pStyle w:val="NormalWeb"/>
        <w:ind w:firstLine="468"/>
        <w:jc w:val="both"/>
        <w:rPr>
          <w:rFonts w:ascii="Arial Narrow" w:hAnsi="Arial Narrow" w:cs="Arial"/>
        </w:rPr>
      </w:pPr>
      <w:r>
        <w:rPr>
          <w:rFonts w:ascii="Arial Narrow" w:hAnsi="Arial Narrow" w:cs="Arial"/>
        </w:rPr>
        <w:t xml:space="preserve">ADHD is among the most prevalent neurodevelopmental conditions worldwide (Salari et al., 2023), and its management typically combines pharmacological treatment with behavioral strategies and technology-mediated interventions delivered through games and structured digital tasks (Doulou et al., 2025; Kollins et al., 2020). Determining whether a given strategy is working for a particular person, however, still depends largely on subjective impression and recall gathered long after the fact.</w:t>
      </w:r>
    </w:p>
    <w:p w14:paraId="2143BEE1" w14:textId="77777777" w:rsidR="003505D9" w:rsidRPr="003505D9" w:rsidRDefault="003505D9" w:rsidP="003505D9">
      <w:pPr>
        <w:pStyle w:val="NormalWeb"/>
        <w:ind w:firstLine="468"/>
        <w:jc w:val="both"/>
        <w:rPr>
          <w:rFonts w:ascii="Arial Narrow" w:hAnsi="Arial Narrow" w:cs="Arial"/>
        </w:rPr>
      </w:pPr>
      <w:r>
        <w:rPr>
          <w:rFonts w:ascii="Arial Narrow" w:hAnsi="Arial Narrow" w:cs="Arial"/>
        </w:rPr>
        <w:t xml:space="preserve">This creates a practical problem that is distinct from the well-studied question of diagnostic accuracy. Even once attention difficulties are recognized, the individual still has to decide what to work with day to day — which kinds of content hold their attention and which lose it within seconds — and in practice that decision is made by guesswork. Study advice is dispensed generically (read the chapter, take notes, avoid distractions) with no reference to how a particular person's attention actually behaves. Yet the information needed to personalize such advice is produced in ordinary use, over hours rather than minutes, in the very setting where studying will happen.</w:t>
      </w:r>
    </w:p>
    <w:p w14:paraId="3EFE732A" w14:textId="77777777" w:rsidR="003505D9" w:rsidRPr="003505D9" w:rsidRDefault="003505D9" w:rsidP="003505D9">
      <w:pPr>
        <w:pStyle w:val="NormalWeb"/>
        <w:ind w:firstLine="468"/>
        <w:jc w:val="both"/>
        <w:rPr>
          <w:rFonts w:ascii="Arial Narrow" w:hAnsi="Arial Narrow" w:cs="Arial"/>
        </w:rPr>
      </w:pPr>
      <w:r>
        <w:rPr>
          <w:rFonts w:ascii="Arial Narrow" w:hAnsi="Arial Narrow" w:cs="Arial"/>
        </w:rPr>
        <w:t xml:space="preserve">Ocular behavior offers a non-invasive route to this information, and device-embedded cameras have been validated for eye-tracking-based cognitive assessment (Bott et al., 2018). Existing work in this area, however, is directed overwhelmingly at classification — distinguishing affected from unaffected individuals (Liu et al., 2024; Loh et al., 2022). Comparatively little attention has been directed at using the same sensing capability to tell an individual something actionable about their own attention, and to translate that into how they study. FocusFlow addresses that narrower but more tractable problem.</w:t>
      </w:r>
    </w:p>
    <w:p w14:paraId="581C95D4" w14:textId="76EB07E8" w:rsidR="00460D4A" w:rsidRPr="00811375" w:rsidRDefault="00460D4A" w:rsidP="00811375">
      <w:pPr>
        <w:spacing w:after="120"/>
        <w:ind w:firstLine="720"/>
        <w:jc w:val="both"/>
        <w:rPr>
          <w:rFonts w:ascii="Arial Narrow" w:hAnsi="Arial Narrow" w:cs="Arial Narrow"/>
          <w:sz w:val="24"/>
          <w:lang w:val="en-PH"/>
        </w:rPr>
      </w:pPr>
    </w:p>
    <w:p w14:paraId="5BACDA01" w14:textId="77777777" w:rsidR="00460D4A" w:rsidRDefault="00000000">
      <w:pPr>
        <w:rPr>
          <w:rFonts w:ascii="Arial Narrow" w:eastAsia="Arial Narrow" w:hAnsi="Arial Narrow" w:cs="Arial Narrow"/>
          <w:sz w:val="24"/>
          <w:szCs w:val="24"/>
        </w:rPr>
      </w:pPr>
      <w:r>
        <w:br w:type="page"/>
      </w:r>
    </w:p>
    <w:p w14:paraId="11343919"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lastRenderedPageBreak/>
        <w:t>Purpose and Description</w:t>
      </w:r>
    </w:p>
    <w:p w14:paraId="1B7F3AAB"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purpose of this study is to design, implement, and evaluate FocusFlow, a self-contained Android application that profiles a user's attentional response to categorized media using only the hardware already present on a consumer smartphone or tablet, and turns that profile into learning-style recommendations, study techniques, and weekly goals the user can act on directly.</w:t>
      </w:r>
    </w:p>
    <w:p w14:paraId="7AFA69A4"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system has four integrated parts. The first is an on-device computer-vision pipeline: the front-facing camera is bound through CameraX ImageAnalysis, and every frame is passed to the MediaPipe Face Landmarker, which returns 478 facial landmarks including ten iris points, eight gaze-direction blendshape coefficients, and the head's orientation. From these, a per-frame decision combines eye-gaze deflection with head yaw and pitch to judge whether the user is oriented toward the screen, and a temporal layer accumulates screen-attention proportion, gaze shifts, blink count, and the time to the first sustained lapse, ending a clip early once attention has dropped for long enough. The second part is a curated stimulus library: short clips from nine content categories — Music, Gaming, Cartoon, Science Fiction, Education, Horror, Sadness, Melodrama, and Romance — delivered through an embedded player from fixed, manually verified content identifiers, in randomized category order and under a per-clip duration cap, with two brief self-ratings collected after each clip.</w:t>
      </w:r>
    </w:p>
    <w:p w14:paraId="73B3A944" w14:textId="77777777" w:rsidR="00460D4A" w:rsidRDefault="00000000">
      <w:pPr>
        <w:spacing w:after="120"/>
        <w:ind w:firstLine="720"/>
        <w:jc w:val="both"/>
        <w:rPr>
          <w:rFonts w:ascii="Arial Narrow" w:eastAsia="Arial Narrow" w:hAnsi="Arial Narrow" w:cs="Arial Narrow"/>
          <w:sz w:val="24"/>
          <w:szCs w:val="24"/>
        </w:rPr>
      </w:pPr>
      <w:bookmarkStart w:id="2" w:name="_eas8n2odff48" w:colFirst="0" w:colLast="0"/>
      <w:bookmarkEnd w:id="2"/>
      <w:r>
        <w:rPr>
          <w:rFonts w:ascii="Arial Narrow" w:hAnsi="Arial Narrow" w:cs="Arial Narrow"/>
          <w:sz w:val="24"/>
        </w:rPr>
        <w:t xml:space="preserve">The third part is the scoring engine, which reduces the per-frame signals and self-ratings to a per-category attention score on a 0–100 scale. The score is a documented weighted combination of six components — screen attention, distraction delay, gaze stability, blink consistency, and the two self-reports — and when ratings are unavailable their weight is redistributed proportionally across the gaze-based components rather than dropped. A session rule governs when a profile may be produced: only after five successful assessments, with bounded skip handling that retires a category after a second skip and ends the session gracefully if the category pool is exhausted. The fourth part is the recommendation engine, which ranks the categories, aggregates the trait clusters shared by the user's strongest categories, infers a dominant learning style, and generates study techniques, recommended content formats, and weekly goals, presented on a dashboard and exportable as a PDF report. Scored sessions are stored locally; account, profile, and an optional diagnosis document are held in a managed backend. The privacy boundary is explicit: camera frames are processed in memory on the device and are never stored or transmitted, and only derived numerical metrics are retained. FocusFlow is an assistive self-reflection and study-habits tool intended to inform, not replace, professional judgement. It does not diagnose, screen for, or classify ADHD.</w:t>
      </w:r>
    </w:p>
    <w:p w14:paraId="4E719D19" w14:textId="77777777" w:rsidR="00460D4A" w:rsidRDefault="00460D4A">
      <w:pPr>
        <w:spacing w:line="480" w:lineRule="auto"/>
        <w:ind w:firstLine="720"/>
        <w:jc w:val="both"/>
        <w:rPr>
          <w:rFonts w:ascii="Arial Narrow" w:eastAsia="Arial Narrow" w:hAnsi="Arial Narrow" w:cs="Arial Narrow"/>
          <w:sz w:val="24"/>
          <w:szCs w:val="24"/>
        </w:rPr>
      </w:pPr>
    </w:p>
    <w:p w14:paraId="77A4AA9C" w14:textId="77777777" w:rsidR="00460D4A" w:rsidRDefault="00460D4A">
      <w:pPr>
        <w:spacing w:line="480" w:lineRule="auto"/>
        <w:jc w:val="both"/>
        <w:rPr>
          <w:rFonts w:ascii="Arial Narrow" w:eastAsia="Arial Narrow" w:hAnsi="Arial Narrow" w:cs="Arial Narrow"/>
          <w:sz w:val="24"/>
          <w:szCs w:val="24"/>
        </w:rPr>
      </w:pPr>
    </w:p>
    <w:p w14:paraId="03321D69" w14:textId="77777777" w:rsidR="00460D4A" w:rsidRDefault="00460D4A">
      <w:pPr>
        <w:spacing w:line="480" w:lineRule="auto"/>
        <w:ind w:firstLine="720"/>
        <w:jc w:val="both"/>
        <w:rPr>
          <w:rFonts w:ascii="Arial Narrow" w:eastAsia="Arial Narrow" w:hAnsi="Arial Narrow" w:cs="Arial Narrow"/>
          <w:sz w:val="24"/>
          <w:szCs w:val="24"/>
        </w:rPr>
      </w:pPr>
    </w:p>
    <w:p w14:paraId="349EE6A3"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Objectives of the Study</w:t>
      </w:r>
    </w:p>
    <w:p w14:paraId="4F02DC79"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general objective of this study is to design and implement a self-contained mobile computing system that profiles a user's attentional response to categorized media on-device and converts that profile into personalized, actionable learning-style recommendations. Specifically, the study aims to:</w:t>
      </w:r>
    </w:p>
    <w:p w14:paraId="3BD0F5F5"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a.  implement an Android application capable of capturing per-frame ocular and head-orientation features from the front-facing camera without blocking media playback;</w:t>
      </w:r>
    </w:p>
    <w:p w14:paraId="5A789656"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b.  implement a camera setup and calibration step that verifies stable face and iris acquisition before an assessment is allowed to begin;</w:t>
      </w:r>
    </w:p>
    <w:p w14:paraId="5F2C5561"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c.  formulate and implement the 0–100 attention score as a documented weighted combination of screen attention, distraction delay, gaze stability, blink consistency, and self-reported ratings, with an accompanying sensitivity analysis over plausible weight vectors;</w:t>
      </w:r>
    </w:p>
    <w:p w14:paraId="42D458E8" w14:textId="77777777"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d.  construct a local persistence layer and a session-success rule that generates a profile only after five successful assessments, including bounded handling of skipped and exhausted categories;</w:t>
      </w:r>
    </w:p>
    <w:p w14:paraId="6763A0FC" w14:textId="77777777" w:rsidR="00460D4A" w:rsidRDefault="00000000">
      <w:pPr>
        <w:spacing w:after="120"/>
        <w:ind w:left="720" w:hanging="360"/>
        <w:jc w:val="both"/>
        <w:rPr>
          <w:rFonts w:ascii="Arial Narrow" w:eastAsia="Arial Narrow" w:hAnsi="Arial Narrow" w:cs="Arial Narrow"/>
          <w:sz w:val="24"/>
          <w:szCs w:val="24"/>
        </w:rPr>
      </w:pPr>
      <w:bookmarkStart w:id="3" w:name="_aiptofgkblox" w:colFirst="0" w:colLast="0"/>
      <w:bookmarkEnd w:id="3"/>
      <w:r>
        <w:rPr>
          <w:rFonts w:ascii="Arial Narrow" w:hAnsi="Arial Narrow"/>
          <w:sz w:val="24"/>
        </w:rPr>
        <w:t xml:space="preserve">e.  derive a learning style, study techniques, and weekly goals from the ranked category profile, and present them on a dashboard and as an exportable PDF report the user controls; and</w:t>
      </w:r>
    </w:p>
    <w:p w:rsidR="00460D4A" w:rsidRDefault="00000000">
      <w:pPr>
        <w:spacing w:after="120"/>
        <w:ind w:left="720" w:hanging="360"/>
        <w:jc w:val="both"/>
        <w:rPr>
          <w:rFonts w:ascii="Arial Narrow" w:eastAsia="Arial Narrow" w:hAnsi="Arial Narrow" w:cs="Arial Narrow"/>
          <w:sz w:val="24"/>
          <w:szCs w:val="24"/>
        </w:rPr>
      </w:pPr>
      <w:r>
        <w:rPr>
          <w:rFonts w:ascii="Arial Narrow" w:hAnsi="Arial Narrow"/>
          <w:sz w:val="24"/>
        </w:rPr>
        <w:t xml:space="preserve">f.  evaluate system performance in terms of analysis frame rate across devices, interface usability, and the stability of category rankings under varied score weightings.</w:t>
      </w:r>
    </w:p>
    <w:p w14:paraId="7423C22E" w14:textId="77777777" w:rsidR="00460D4A" w:rsidRDefault="00000000">
      <w:pPr>
        <w:spacing w:line="480" w:lineRule="auto"/>
        <w:jc w:val="both"/>
        <w:rPr>
          <w:rFonts w:ascii="Arial Narrow" w:eastAsia="Arial Narrow" w:hAnsi="Arial Narrow" w:cs="Arial Narrow"/>
          <w:color w:val="000000"/>
          <w:sz w:val="24"/>
          <w:szCs w:val="24"/>
        </w:rPr>
      </w:pPr>
      <w:r>
        <w:rPr>
          <w:rFonts w:ascii="Arial Narrow" w:eastAsia="Arial Narrow" w:hAnsi="Arial Narrow" w:cs="Arial Narrow"/>
        </w:rPr>
        <w:tab/>
      </w:r>
    </w:p>
    <w:p w14:paraId="1ADD485D"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Scope and Limitations</w:t>
      </w:r>
    </w:p>
    <w:p w14:paraId="362DCFC2"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This study covers the development of a self-contained Android application in Kotlin and Jetpack Compose, built on an MVVM architecture with a repository layer and targeting Android 8.0 (API level 26) and above. Within scope are: on-device acquisition and feature extraction from the front-facing camera using CameraX and the MediaPipe Face Landmarker; a per-frame attention decision that combines eye-gaze deflection with head yaw and pitch; a temporal layer measuring screen-attention proportion, gaze shifts, blink count, and time to first sustained lapse; a per-category attention score on a 0–100 scale; a curated library of nine content categories with randomized presentation order and a per-clip duration cap; a session rule requiring five successful assessments with bounded skip handling; inference of a dominant learning style with recommended study techniques, content formats, and weekly goals; and account management, onboarding, local relational persistence of scored sessions, and export of the resulting report as a PDF.</w:t>
      </w:r>
    </w:p>
    <w:p w14:paraId="16881341"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system is evaluated on team-owned Android devices in ordinary study settings. It is operated by the user directly and needs no specialist supervision, though minors are expected to use it with a guardian present during account setup and the camera setup step. Three limitations are acknowledged. Age-appropriate filtering of the stimulus categories is not implemented in the current build, so all nine categories are presented to every user regardless of age; this is a known limitation carried into the next iteration. Because no external criterion measure of attention is available, the attention-score component weights are a stated design prior rather than empirically calibrated values, which is why the objectives include a sensitivity analysis over alternative weightings. Finally, the approved system measures gaze deflection rather than calibrated point-of-regard. As a post-approval enhancement, the current build also incorporates the iTracker model (Krafka et al., 2016) with a short per-user calibration to give an approximate, centimetre-level estimate of screen position; it is used only when the calibration fit is within tolerance and otherwise falls back automatically to the deflection-based pipeline. The iTracker model is used under a research-only licence.</w:t>
      </w:r>
    </w:p>
    <w:p w14:paraId="7D576CEA" w14:textId="77777777" w:rsidR="00460D4A" w:rsidRDefault="00000000">
      <w:pPr>
        <w:spacing w:after="120"/>
        <w:ind w:firstLine="720"/>
        <w:jc w:val="both"/>
        <w:rPr>
          <w:rFonts w:ascii="Arial Narrow" w:eastAsia="Arial Narrow" w:hAnsi="Arial Narrow" w:cs="Arial Narrow"/>
          <w:sz w:val="24"/>
          <w:szCs w:val="24"/>
        </w:rPr>
      </w:pPr>
      <w:bookmarkStart w:id="4" w:name="_27kylww6h0r8" w:colFirst="0" w:colLast="0"/>
      <w:bookmarkEnd w:id="4"/>
      <w:r>
        <w:rPr>
          <w:rFonts w:ascii="Arial Narrow" w:hAnsi="Arial Narrow" w:cs="Arial Narrow"/>
          <w:sz w:val="24"/>
        </w:rPr>
        <w:t xml:space="preserve">The following are outside the scope of this study: diagnostic classification or screening for ADHD, since the system characterizes content preference and attention patterns rather than diagnostic status; any external sensor, microcontroller, or hardware peripheral, since all sensing is performed by the device's own front-facing camera; transmission of video frames, facial landmarks, or any derived per-frame feature off the device, with remote services limited to authentication, the user profile record, optional diagnosis-document storage, and streaming of the stimulus videos; native iOS or web-based companion versions during the initial project term; and prescription or alteration of treatment.</w:t>
      </w:r>
    </w:p>
    <w:p w14:paraId="1DFA5814" w14:textId="77777777" w:rsidR="00460D4A" w:rsidRDefault="00000000">
      <w:pPr>
        <w:spacing w:after="0" w:line="480" w:lineRule="auto"/>
        <w:ind w:firstLine="360"/>
        <w:jc w:val="both"/>
        <w:rPr>
          <w:rFonts w:ascii="Arial Narrow" w:eastAsia="Arial Narrow" w:hAnsi="Arial Narrow" w:cs="Arial Narrow"/>
          <w:sz w:val="24"/>
          <w:szCs w:val="24"/>
        </w:rPr>
      </w:pPr>
      <w:r>
        <w:rPr>
          <w:rFonts w:ascii="Arial Narrow" w:eastAsia="Arial Narrow" w:hAnsi="Arial Narrow" w:cs="Arial Narrow"/>
          <w:sz w:val="24"/>
          <w:szCs w:val="24"/>
        </w:rPr>
        <w:t xml:space="preserve"> </w:t>
      </w:r>
    </w:p>
    <w:p w14:paraId="2811AF8A" w14:textId="77777777" w:rsidR="00460D4A" w:rsidRDefault="00460D4A">
      <w:pPr>
        <w:spacing w:after="0" w:line="480" w:lineRule="auto"/>
        <w:ind w:firstLine="360"/>
        <w:jc w:val="both"/>
        <w:rPr>
          <w:rFonts w:ascii="Arial Narrow" w:eastAsia="Arial Narrow" w:hAnsi="Arial Narrow" w:cs="Arial Narrow"/>
          <w:color w:val="000000"/>
          <w:sz w:val="24"/>
          <w:szCs w:val="24"/>
        </w:rPr>
      </w:pPr>
    </w:p>
    <w:p w14:paraId="4988046B" w14:textId="77777777" w:rsidR="00460D4A" w:rsidRDefault="00460D4A">
      <w:pPr>
        <w:rPr>
          <w:rFonts w:ascii="Arial Narrow" w:eastAsia="Arial Narrow" w:hAnsi="Arial Narrow" w:cs="Arial Narrow"/>
          <w:color w:val="000000"/>
          <w:sz w:val="24"/>
          <w:szCs w:val="24"/>
        </w:rPr>
      </w:pPr>
    </w:p>
    <w:p w14:paraId="021E5B0F"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Significance of the Study</w:t>
      </w:r>
    </w:p>
    <w:p w14:paraId="61980E49"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The results of this study are expected to benefit the following:</w:t>
      </w:r>
    </w:p>
    <w:p w14:paraId="2168FD6F"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b/>
        </w:rPr>
        <w:t xml:space="preserve">Individuals aged 5 to 30 who want to understand their own attention patterns. </w:t>
      </w:r>
      <w:r>
        <w:rPr>
          <w:rFonts w:ascii="Arial Narrow" w:hAnsi="Arial Narrow" w:cs="Arial Narrow"/>
          <w:sz w:val="24"/>
        </w:rPr>
        <w:t xml:space="preserve">Whether or not they have an ADHD diagnosis, they gain a non-invasive, self-administered way to learn which kinds of content sustain their attention and to receive study techniques and weekly goals grounded in their own measured behaviour rather than generic advice.</w:t>
      </w:r>
    </w:p>
    <w:p w14:paraId="53CF5FEB"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b/>
        </w:rPr>
        <w:t xml:space="preserve">Guardians of minors. </w:t>
      </w:r>
      <w:r>
        <w:rPr>
          <w:rFonts w:ascii="Arial Narrow" w:hAnsi="Arial Narrow" w:cs="Arial Narrow"/>
          <w:sz w:val="24"/>
        </w:rPr>
        <w:t xml:space="preserve">Guardians who supervise account setup and the camera setup step receive an observational profile of a child's content preferences that can inform how study material is chosen and framed at home.</w:t>
      </w:r>
    </w:p>
    <w:p w14:paraId="559F96FB"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b/>
        </w:rPr>
        <w:t xml:space="preserve">Educators, tutors, and clinicians. </w:t>
      </w:r>
      <w:r>
        <w:rPr>
          <w:rFonts w:ascii="Arial Narrow" w:hAnsi="Arial Narrow" w:cs="Arial Narrow"/>
          <w:sz w:val="24"/>
        </w:rPr>
        <w:t xml:space="preserve">Those with whom a user chooses to share the exported report gain supplementary observational context about content preference and attention behaviour — never a diagnostic instrument — to complement their own professional judgement.</w:t>
      </w:r>
    </w:p>
    <w:p w14:paraId="66700880" w14:textId="77777777" w:rsidR="00460D4A" w:rsidRDefault="00000000">
      <w:pPr>
        <w:spacing w:after="120"/>
        <w:ind w:firstLine="720"/>
        <w:jc w:val="both"/>
        <w:rPr>
          <w:rFonts w:ascii="Arial Narrow" w:eastAsia="Arial Narrow" w:hAnsi="Arial Narrow" w:cs="Arial Narrow"/>
          <w:sz w:val="24"/>
          <w:szCs w:val="24"/>
        </w:rPr>
      </w:pPr>
      <w:bookmarkStart w:id="5" w:name="_o0uas1pa5utt" w:colFirst="0" w:colLast="0"/>
      <w:bookmarkEnd w:id="5"/>
      <w:r>
        <w:rPr>
          <w:rFonts w:ascii="Arial Narrow" w:hAnsi="Arial Narrow" w:cs="Arial Narrow"/>
          <w:sz w:val="24"/>
          <w:b/>
        </w:rPr>
        <w:t xml:space="preserve">Future researchers and students. </w:t>
      </w:r>
      <w:r>
        <w:rPr>
          <w:rFonts w:ascii="Arial Narrow" w:hAnsi="Arial Narrow" w:cs="Arial Narrow"/>
          <w:sz w:val="24"/>
        </w:rPr>
        <w:t xml:space="preserve">The study provides a documented reference for combining on-device face-landmark inference with temporal attention measurement and a transparent, sensitivity-checked scoring design, and a foundation for extending the work with age-appropriate content filtering, empirical weight calibration, and validation against external criterion measures.</w:t>
      </w:r>
    </w:p>
    <w:p w14:paraId="73031739" w14:textId="77777777" w:rsidR="00460D4A" w:rsidRDefault="00460D4A">
      <w:pPr>
        <w:spacing w:line="480" w:lineRule="auto"/>
        <w:ind w:firstLine="720"/>
        <w:jc w:val="both"/>
        <w:rPr>
          <w:rFonts w:ascii="Arial Narrow" w:eastAsia="Arial Narrow" w:hAnsi="Arial Narrow" w:cs="Arial Narrow"/>
          <w:sz w:val="24"/>
          <w:szCs w:val="24"/>
        </w:rPr>
      </w:pPr>
    </w:p>
    <w:p w14:paraId="589EE828" w14:textId="77777777" w:rsidR="00460D4A" w:rsidRDefault="00460D4A">
      <w:pPr>
        <w:spacing w:line="480" w:lineRule="auto"/>
        <w:ind w:firstLine="720"/>
        <w:jc w:val="both"/>
        <w:rPr>
          <w:rFonts w:ascii="Arial Narrow" w:eastAsia="Arial Narrow" w:hAnsi="Arial Narrow" w:cs="Arial Narrow"/>
          <w:sz w:val="24"/>
          <w:szCs w:val="24"/>
        </w:rPr>
      </w:pPr>
    </w:p>
    <w:p w14:paraId="633D2982" w14:textId="77777777" w:rsidR="00460D4A" w:rsidRDefault="00460D4A">
      <w:pPr>
        <w:spacing w:line="480" w:lineRule="auto"/>
        <w:ind w:firstLine="720"/>
        <w:jc w:val="both"/>
        <w:rPr>
          <w:rFonts w:ascii="Arial Narrow" w:eastAsia="Arial Narrow" w:hAnsi="Arial Narrow" w:cs="Arial Narrow"/>
          <w:sz w:val="24"/>
          <w:szCs w:val="24"/>
        </w:rPr>
      </w:pPr>
    </w:p>
    <w:p w14:paraId="3C6E5E68" w14:textId="77777777" w:rsidR="00460D4A" w:rsidRDefault="00460D4A">
      <w:pPr>
        <w:spacing w:line="480" w:lineRule="auto"/>
        <w:ind w:firstLine="720"/>
        <w:jc w:val="both"/>
        <w:rPr>
          <w:rFonts w:ascii="Arial Narrow" w:eastAsia="Arial Narrow" w:hAnsi="Arial Narrow" w:cs="Arial Narrow"/>
          <w:sz w:val="24"/>
          <w:szCs w:val="24"/>
        </w:rPr>
      </w:pPr>
    </w:p>
    <w:p w14:paraId="7128911F" w14:textId="77777777" w:rsidR="00460D4A" w:rsidRDefault="00460D4A">
      <w:pPr>
        <w:spacing w:line="480" w:lineRule="auto"/>
        <w:ind w:firstLine="720"/>
        <w:jc w:val="both"/>
        <w:rPr>
          <w:rFonts w:ascii="Arial Narrow" w:eastAsia="Arial Narrow" w:hAnsi="Arial Narrow" w:cs="Arial Narrow"/>
          <w:sz w:val="24"/>
          <w:szCs w:val="24"/>
        </w:rPr>
      </w:pPr>
    </w:p>
    <w:p w14:paraId="3C544E32" w14:textId="77777777" w:rsidR="00460D4A" w:rsidRDefault="00460D4A">
      <w:pPr>
        <w:spacing w:line="480" w:lineRule="auto"/>
        <w:ind w:firstLine="720"/>
        <w:jc w:val="both"/>
        <w:rPr>
          <w:rFonts w:ascii="Arial Narrow" w:eastAsia="Arial Narrow" w:hAnsi="Arial Narrow" w:cs="Arial Narrow"/>
          <w:sz w:val="24"/>
          <w:szCs w:val="24"/>
        </w:rPr>
      </w:pPr>
    </w:p>
    <w:p w14:paraId="0948986D" w14:textId="77777777" w:rsidR="00460D4A" w:rsidRDefault="00460D4A">
      <w:pPr>
        <w:spacing w:line="480" w:lineRule="auto"/>
        <w:ind w:firstLine="720"/>
        <w:jc w:val="both"/>
        <w:rPr>
          <w:rFonts w:ascii="Arial Narrow" w:eastAsia="Arial Narrow" w:hAnsi="Arial Narrow" w:cs="Arial Narrow"/>
          <w:sz w:val="24"/>
          <w:szCs w:val="24"/>
        </w:rPr>
      </w:pPr>
    </w:p>
    <w:p w14:paraId="410C5348" w14:textId="77777777" w:rsidR="00460D4A" w:rsidRDefault="00460D4A">
      <w:pPr>
        <w:pStyle w:val="Heading3"/>
        <w:rPr>
          <w:rFonts w:ascii="Arial Narrow" w:eastAsia="Arial Narrow" w:hAnsi="Arial Narrow" w:cs="Arial Narrow"/>
          <w:sz w:val="24"/>
          <w:szCs w:val="24"/>
        </w:rPr>
      </w:pPr>
      <w:bookmarkStart w:id="6" w:name="_lbjr1fxdj510" w:colFirst="0" w:colLast="0"/>
      <w:bookmarkEnd w:id="6"/>
    </w:p>
    <w:p w14:paraId="10E3C827" w14:textId="77777777" w:rsidR="00460D4A" w:rsidRDefault="00460D4A">
      <w:pPr>
        <w:pStyle w:val="Heading3"/>
        <w:rPr>
          <w:rFonts w:ascii="Arial Narrow" w:eastAsia="Arial Narrow" w:hAnsi="Arial Narrow" w:cs="Arial Narrow"/>
          <w:sz w:val="24"/>
          <w:szCs w:val="24"/>
        </w:rPr>
      </w:pPr>
    </w:p>
    <w:p w14:paraId="0D822F3A"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Definition of Terms</w:t>
      </w:r>
    </w:p>
    <w:p w14:paraId="565A7A3E"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Attention Score – </w:t>
      </w:r>
      <w:r>
        <w:rPr>
          <w:rFonts w:ascii="Arial Narrow" w:hAnsi="Arial Narrow" w:cs="Arial Narrow"/>
          <w:sz w:val="24"/>
        </w:rPr>
        <w:t xml:space="preserve">A bounded per-category value on a 0–100 scale formed as a weighted combination of screen-attention proportion, distraction delay, gaze stability, blink consistency, and two self-reported ratings, used to rank categories against one another.</w:t>
      </w:r>
    </w:p>
    <w:p w14:paraId="681082E0"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Attentional Profiling – </w:t>
      </w:r>
      <w:r>
        <w:rPr>
          <w:rFonts w:ascii="Arial Narrow" w:hAnsi="Arial Narrow" w:cs="Arial Narrow"/>
          <w:sz w:val="24"/>
        </w:rPr>
        <w:t xml:space="preserve">The characterization of which categories of media content sustain an individual's engagement, as distinct from diagnostic classification.</w:t>
      </w:r>
    </w:p>
    <w:p w14:paraId="5C79A9DC"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Blendshape – </w:t>
      </w:r>
      <w:r>
        <w:rPr>
          <w:rFonts w:ascii="Arial Narrow" w:hAnsi="Arial Narrow" w:cs="Arial Narrow"/>
          <w:sz w:val="24"/>
        </w:rPr>
        <w:t xml:space="preserve">A per-frame coefficient between 0 and 1 describing the degree to which a particular facial expression is present. Eight of these coefficients describe eye-gaze direction and form the primary gaze signal used by the system.</w:t>
      </w:r>
    </w:p>
    <w:p w14:paraId="427638A2"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Camera Setup Step – </w:t>
      </w:r>
      <w:r>
        <w:rPr>
          <w:rFonts w:ascii="Arial Narrow" w:hAnsi="Arial Narrow" w:cs="Arial Narrow"/>
          <w:sz w:val="24"/>
        </w:rPr>
        <w:t xml:space="preserve">The pre-assessment stage in which the front camera is bound and the user positions themselves until a face and both irises are detected stably, gating the start of an assessment.</w:t>
      </w:r>
    </w:p>
    <w:p w14:paraId="4C678547"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Face Landmarker – </w:t>
      </w:r>
      <w:r>
        <w:rPr>
          <w:rFonts w:ascii="Arial Narrow" w:hAnsi="Arial Narrow" w:cs="Arial Narrow"/>
          <w:sz w:val="24"/>
        </w:rPr>
        <w:t xml:space="preserve">The on-device computer-vision model that returns 478 facial landmarks per frame — 468 mesh points plus ten iris points — together with blendshape coefficients and a facial transformation matrix.</w:t>
      </w:r>
    </w:p>
    <w:p w14:paraId="3A70DA3F"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Gaze Deviation – </w:t>
      </w:r>
      <w:r>
        <w:rPr>
          <w:rFonts w:ascii="Arial Narrow" w:hAnsi="Arial Narrow" w:cs="Arial Narrow"/>
          <w:sz w:val="24"/>
        </w:rPr>
        <w:t xml:space="preserve">The measured deflection of the eyes away from centre, derived from the gaze blendshapes and evaluated together with head yaw and pitch to decide whether the user is looking at the screen.</w:t>
      </w:r>
    </w:p>
    <w:p w14:paraId="16717A7B"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Learning Style – </w:t>
      </w:r>
      <w:r>
        <w:rPr>
          <w:rFonts w:ascii="Arial Narrow" w:hAnsi="Arial Narrow" w:cs="Arial Narrow"/>
          <w:sz w:val="24"/>
        </w:rPr>
        <w:t xml:space="preserve">The dominant mode of engagement inferred from the trait clusters shared by a user's highest-scoring categories, expressed as auditory, visual, interactive, narrative, structured, or multimodal.</w:t>
      </w:r>
    </w:p>
    <w:p w14:paraId="1A748120"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Stimulus – </w:t>
      </w:r>
      <w:r>
        <w:rPr>
          <w:rFonts w:ascii="Arial Narrow" w:hAnsi="Arial Narrow" w:cs="Arial Narrow"/>
          <w:sz w:val="24"/>
        </w:rPr>
        <w:t xml:space="preserve">A single curated video clip in the library, identified by a stable identifier and a manually verified content identifier, belonging to exactly one of the nine content categories and subject to a per-clip duration cap.</w:t>
      </w:r>
    </w:p>
    <w:p w14:paraId="028A6432" w14:textId="77777777"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Successful Assessment – </w:t>
      </w:r>
      <w:r>
        <w:rPr>
          <w:rFonts w:ascii="Arial Narrow" w:hAnsi="Arial Narrow" w:cs="Arial Narrow"/>
          <w:sz w:val="24"/>
        </w:rPr>
        <w:t xml:space="preserve">A category session in which the clip plays to completion with attention maintained and post-clip ratings are collected. Five successful assessments are required before a profile is generated.</w:t>
      </w:r>
    </w:p>
    <w:p w14:paraId="12329527" w14:textId="77777777" w:rsidR="00460D4A" w:rsidRDefault="00000000">
      <w:pPr>
        <w:spacing w:after="120"/>
        <w:jc w:val="both"/>
        <w:rPr>
          <w:rFonts w:ascii="Arial Narrow" w:eastAsia="Arial Narrow" w:hAnsi="Arial Narrow" w:cs="Arial Narrow"/>
          <w:sz w:val="24"/>
          <w:szCs w:val="24"/>
        </w:rPr>
      </w:pPr>
      <w:bookmarkStart w:id="7" w:name="_qmnoiwlmz608" w:colFirst="0" w:colLast="0"/>
      <w:bookmarkEnd w:id="7"/>
      <w:r>
        <w:rPr>
          <w:rFonts w:ascii="Arial Narrow" w:hAnsi="Arial Narrow" w:cs="Arial Narrow"/>
          <w:b/>
          <w:sz w:val="24"/>
        </w:rPr>
        <w:t xml:space="preserve">Sustained Attention Drop – </w:t>
      </w:r>
      <w:r>
        <w:rPr>
          <w:rFonts w:ascii="Arial Narrow" w:hAnsi="Arial Narrow" w:cs="Arial Narrow"/>
          <w:sz w:val="24"/>
        </w:rPr>
        <w:t xml:space="preserve">A lapse in on-screen attention long enough, or frequent enough within a rolling recent-history window, to end the current clip early and rotate to a different category.</w:t>
      </w:r>
    </w:p>
    <w:p w:rsidR="00460D4A" w:rsidRDefault="00000000">
      <w:pPr>
        <w:spacing w:after="120"/>
        <w:jc w:val="both"/>
        <w:rPr>
          <w:rFonts w:ascii="Arial Narrow" w:eastAsia="Arial Narrow" w:hAnsi="Arial Narrow" w:cs="Arial Narrow"/>
          <w:sz w:val="24"/>
          <w:szCs w:val="24"/>
        </w:rPr>
      </w:pPr>
      <w:r>
        <w:rPr>
          <w:rFonts w:ascii="Arial Narrow" w:hAnsi="Arial Narrow" w:cs="Arial Narrow"/>
          <w:b/>
          <w:sz w:val="24"/>
        </w:rPr>
        <w:t xml:space="preserve">Trait Cluster – </w:t>
      </w:r>
      <w:r>
        <w:rPr>
          <w:rFonts w:ascii="Arial Narrow" w:hAnsi="Arial Narrow" w:cs="Arial Narrow"/>
          <w:sz w:val="24"/>
        </w:rPr>
        <w:t xml:space="preserve">The broad grouping — auditory, visual, interactive, narrative, or textual — to which a category's attention traits belong; cluster weights tallied across a user's best categories determine the inferred learning style.</w:t>
      </w:r>
    </w:p>
    <w:p w14:paraId="3990BB7C" w14:textId="77777777" w:rsidR="00460D4A" w:rsidRDefault="00460D4A">
      <w:pPr>
        <w:jc w:val="center"/>
        <w:rPr>
          <w:rFonts w:ascii="Arial Narrow" w:eastAsia="Arial Narrow" w:hAnsi="Arial Narrow" w:cs="Arial Narrow"/>
          <w:sz w:val="24"/>
          <w:szCs w:val="24"/>
        </w:rPr>
      </w:pPr>
      <w:bookmarkStart w:id="8" w:name="_qrs63dis01z" w:colFirst="0" w:colLast="0"/>
      <w:bookmarkEnd w:id="8"/>
    </w:p>
    <w:p w14:paraId="00754504" w14:textId="77777777" w:rsidR="00460D4A" w:rsidRDefault="00460D4A">
      <w:pPr>
        <w:jc w:val="center"/>
        <w:rPr>
          <w:rFonts w:ascii="Arial Narrow" w:eastAsia="Arial Narrow" w:hAnsi="Arial Narrow" w:cs="Arial Narrow"/>
          <w:sz w:val="24"/>
          <w:szCs w:val="24"/>
        </w:rPr>
      </w:pPr>
      <w:bookmarkStart w:id="9" w:name="_ymqe4dyss7n" w:colFirst="0" w:colLast="0"/>
      <w:bookmarkEnd w:id="9"/>
    </w:p>
    <w:p w14:paraId="2DE54A13" w14:textId="77777777" w:rsidR="00460D4A" w:rsidRDefault="00460D4A">
      <w:pPr>
        <w:jc w:val="center"/>
        <w:rPr>
          <w:rFonts w:ascii="Arial Narrow" w:eastAsia="Arial Narrow" w:hAnsi="Arial Narrow" w:cs="Arial Narrow"/>
          <w:sz w:val="24"/>
          <w:szCs w:val="24"/>
        </w:rPr>
      </w:pPr>
    </w:p>
    <w:p w14:paraId="50578768" w14:textId="77777777" w:rsidR="00460D4A" w:rsidRDefault="00460D4A">
      <w:pPr>
        <w:jc w:val="center"/>
        <w:rPr>
          <w:rFonts w:ascii="Arial Narrow" w:eastAsia="Arial Narrow" w:hAnsi="Arial Narrow" w:cs="Arial Narrow"/>
          <w:sz w:val="24"/>
          <w:szCs w:val="24"/>
        </w:rPr>
      </w:pPr>
    </w:p>
    <w:p w14:paraId="48F27137" w14:textId="77777777" w:rsidR="00460D4A" w:rsidRDefault="00460D4A">
      <w:pPr>
        <w:jc w:val="center"/>
        <w:rPr>
          <w:rFonts w:ascii="Arial Narrow" w:eastAsia="Arial Narrow" w:hAnsi="Arial Narrow" w:cs="Arial Narrow"/>
          <w:sz w:val="24"/>
          <w:szCs w:val="24"/>
        </w:rPr>
      </w:pPr>
    </w:p>
    <w:p w14:paraId="17EE37A1" w14:textId="77777777" w:rsidR="00460D4A" w:rsidRDefault="00460D4A">
      <w:pPr>
        <w:jc w:val="center"/>
        <w:rPr>
          <w:rFonts w:ascii="Arial Narrow" w:eastAsia="Arial Narrow" w:hAnsi="Arial Narrow" w:cs="Arial Narrow"/>
          <w:sz w:val="24"/>
          <w:szCs w:val="24"/>
        </w:rPr>
      </w:pPr>
    </w:p>
    <w:p w14:paraId="28D8DD80" w14:textId="77777777" w:rsidR="00460D4A" w:rsidRDefault="00460D4A">
      <w:pPr>
        <w:jc w:val="center"/>
        <w:rPr>
          <w:rFonts w:ascii="Arial Narrow" w:eastAsia="Arial Narrow" w:hAnsi="Arial Narrow" w:cs="Arial Narrow"/>
          <w:sz w:val="24"/>
          <w:szCs w:val="24"/>
        </w:rPr>
      </w:pPr>
    </w:p>
    <w:p w14:paraId="22B65251" w14:textId="77777777" w:rsidR="00460D4A" w:rsidRDefault="00460D4A">
      <w:pPr>
        <w:jc w:val="center"/>
        <w:rPr>
          <w:rFonts w:ascii="Arial Narrow" w:eastAsia="Arial Narrow" w:hAnsi="Arial Narrow" w:cs="Arial Narrow"/>
          <w:sz w:val="24"/>
          <w:szCs w:val="24"/>
        </w:rPr>
      </w:pPr>
    </w:p>
    <w:p w14:paraId="4780A699" w14:textId="77777777" w:rsidR="00460D4A" w:rsidRDefault="00460D4A">
      <w:pPr>
        <w:jc w:val="center"/>
        <w:rPr>
          <w:rFonts w:ascii="Arial Narrow" w:eastAsia="Arial Narrow" w:hAnsi="Arial Narrow" w:cs="Arial Narrow"/>
          <w:sz w:val="24"/>
          <w:szCs w:val="24"/>
        </w:rPr>
      </w:pPr>
    </w:p>
    <w:p w14:paraId="2D8405C3" w14:textId="77777777" w:rsidR="00460D4A" w:rsidRDefault="00460D4A">
      <w:pPr>
        <w:jc w:val="center"/>
        <w:rPr>
          <w:rFonts w:ascii="Arial Narrow" w:eastAsia="Arial Narrow" w:hAnsi="Arial Narrow" w:cs="Arial Narrow"/>
          <w:sz w:val="24"/>
          <w:szCs w:val="24"/>
        </w:rPr>
      </w:pPr>
    </w:p>
    <w:p w14:paraId="3CDDDCF0" w14:textId="77777777" w:rsidR="00460D4A" w:rsidRDefault="00460D4A">
      <w:pPr>
        <w:jc w:val="center"/>
        <w:rPr>
          <w:rFonts w:ascii="Arial Narrow" w:eastAsia="Arial Narrow" w:hAnsi="Arial Narrow" w:cs="Arial Narrow"/>
          <w:sz w:val="24"/>
          <w:szCs w:val="24"/>
        </w:rPr>
      </w:pPr>
    </w:p>
    <w:p w14:paraId="2671A786" w14:textId="77777777" w:rsidR="00460D4A" w:rsidRDefault="00460D4A">
      <w:pPr>
        <w:jc w:val="center"/>
        <w:rPr>
          <w:rFonts w:ascii="Arial Narrow" w:eastAsia="Arial Narrow" w:hAnsi="Arial Narrow" w:cs="Arial Narrow"/>
          <w:sz w:val="24"/>
          <w:szCs w:val="24"/>
        </w:rPr>
      </w:pPr>
    </w:p>
    <w:p w14:paraId="71348C54" w14:textId="77777777" w:rsidR="00460D4A" w:rsidRDefault="00460D4A">
      <w:pPr>
        <w:jc w:val="center"/>
        <w:rPr>
          <w:rFonts w:ascii="Arial Narrow" w:eastAsia="Arial Narrow" w:hAnsi="Arial Narrow" w:cs="Arial Narrow"/>
          <w:sz w:val="24"/>
          <w:szCs w:val="24"/>
        </w:rPr>
      </w:pPr>
    </w:p>
    <w:p w14:paraId="07F86BC1" w14:textId="77777777" w:rsidR="00460D4A" w:rsidRDefault="00460D4A">
      <w:pPr>
        <w:jc w:val="center"/>
        <w:rPr>
          <w:rFonts w:ascii="Arial Narrow" w:eastAsia="Arial Narrow" w:hAnsi="Arial Narrow" w:cs="Arial Narrow"/>
          <w:sz w:val="24"/>
          <w:szCs w:val="24"/>
        </w:rPr>
      </w:pPr>
    </w:p>
    <w:p w14:paraId="604A7AB1" w14:textId="77777777" w:rsidR="00460D4A" w:rsidRDefault="00460D4A">
      <w:pPr>
        <w:jc w:val="center"/>
        <w:rPr>
          <w:rFonts w:ascii="Arial Narrow" w:eastAsia="Arial Narrow" w:hAnsi="Arial Narrow" w:cs="Arial Narrow"/>
          <w:sz w:val="24"/>
          <w:szCs w:val="24"/>
        </w:rPr>
      </w:pPr>
    </w:p>
    <w:p w14:paraId="2451BF41" w14:textId="77777777" w:rsidR="00460D4A" w:rsidRDefault="00460D4A">
      <w:pPr>
        <w:jc w:val="center"/>
        <w:rPr>
          <w:rFonts w:ascii="Arial Narrow" w:eastAsia="Arial Narrow" w:hAnsi="Arial Narrow" w:cs="Arial Narrow"/>
          <w:sz w:val="24"/>
          <w:szCs w:val="24"/>
        </w:rPr>
      </w:pPr>
    </w:p>
    <w:p w14:paraId="6F22EA1E" w14:textId="77777777" w:rsidR="00460D4A" w:rsidRDefault="00460D4A">
      <w:pPr>
        <w:jc w:val="center"/>
        <w:rPr>
          <w:rFonts w:ascii="Arial Narrow" w:eastAsia="Arial Narrow" w:hAnsi="Arial Narrow" w:cs="Arial Narrow"/>
          <w:sz w:val="24"/>
          <w:szCs w:val="24"/>
        </w:rPr>
      </w:pPr>
    </w:p>
    <w:p w14:paraId="297C6202" w14:textId="77777777" w:rsidR="00460D4A" w:rsidRDefault="00460D4A">
      <w:pPr>
        <w:jc w:val="center"/>
        <w:rPr>
          <w:rFonts w:ascii="Arial Narrow" w:eastAsia="Arial Narrow" w:hAnsi="Arial Narrow" w:cs="Arial Narrow"/>
          <w:sz w:val="24"/>
          <w:szCs w:val="24"/>
        </w:rPr>
      </w:pPr>
    </w:p>
    <w:p w14:paraId="23C8A9CA" w14:textId="77777777" w:rsidR="00460D4A" w:rsidRDefault="00460D4A">
      <w:pPr>
        <w:jc w:val="center"/>
        <w:rPr>
          <w:rFonts w:ascii="Arial Narrow" w:eastAsia="Arial Narrow" w:hAnsi="Arial Narrow" w:cs="Arial Narrow"/>
          <w:sz w:val="24"/>
          <w:szCs w:val="24"/>
        </w:rPr>
      </w:pPr>
    </w:p>
    <w:p w14:paraId="642673A9" w14:textId="77777777" w:rsidR="00460D4A" w:rsidRDefault="00460D4A">
      <w:pPr>
        <w:jc w:val="center"/>
        <w:rPr>
          <w:rFonts w:ascii="Arial Narrow" w:eastAsia="Arial Narrow" w:hAnsi="Arial Narrow" w:cs="Arial Narrow"/>
          <w:sz w:val="24"/>
          <w:szCs w:val="24"/>
        </w:rPr>
      </w:pPr>
    </w:p>
    <w:p w14:paraId="32300CF6" w14:textId="77777777" w:rsidR="00460D4A" w:rsidRDefault="00460D4A">
      <w:pPr>
        <w:jc w:val="center"/>
        <w:rPr>
          <w:rFonts w:ascii="Arial Narrow" w:eastAsia="Arial Narrow" w:hAnsi="Arial Narrow" w:cs="Arial Narrow"/>
          <w:sz w:val="24"/>
          <w:szCs w:val="24"/>
        </w:rPr>
      </w:pPr>
    </w:p>
    <w:p w14:paraId="786E08CA" w14:textId="77777777" w:rsidR="00460D4A" w:rsidRDefault="00460D4A"/>
    <w:p w14:paraId="30541BE7" w14:textId="77777777" w:rsidR="00460D4A" w:rsidRDefault="00460D4A"/>
    <w:p w14:paraId="25BF43C3" w14:textId="77777777" w:rsidR="00460D4A" w:rsidRDefault="00460D4A"/>
    <w:p w14:paraId="35975753" w14:textId="77777777" w:rsidR="00460D4A" w:rsidRDefault="00460D4A"/>
    <w:p w14:paraId="09FDC992" w14:textId="77777777" w:rsidR="00460D4A" w:rsidRDefault="00460D4A"/>
    <w:p w14:paraId="682AA547" w14:textId="77777777" w:rsidR="00460D4A" w:rsidRDefault="00460D4A"/>
    <w:p w14:paraId="47137A52" w14:textId="77777777" w:rsidR="00460D4A" w:rsidRDefault="00460D4A"/>
    <w:p w14:paraId="51487A59" w14:textId="77777777" w:rsidR="00460D4A" w:rsidRDefault="00460D4A"/>
    <w:p w14:paraId="648A8B03" w14:textId="77777777" w:rsidR="00460D4A" w:rsidRDefault="00460D4A">
      <w:pPr>
        <w:jc w:val="center"/>
        <w:rPr>
          <w:rFonts w:ascii="Arial Narrow" w:eastAsia="Arial Narrow" w:hAnsi="Arial Narrow" w:cs="Arial Narrow"/>
          <w:sz w:val="24"/>
          <w:szCs w:val="24"/>
        </w:rPr>
      </w:pPr>
      <w:bookmarkStart w:id="10" w:name="_7tg4vsu2e76a" w:colFirst="0" w:colLast="0"/>
      <w:bookmarkEnd w:id="10"/>
    </w:p>
    <w:p w14:paraId="3203D466" w14:textId="77777777" w:rsidR="00460D4A" w:rsidRDefault="00000000">
      <w:pPr>
        <w:pStyle w:val="Heading1"/>
        <w:jc w:val="center"/>
        <w:rPr>
          <w:rFonts w:ascii="Arial Narrow" w:eastAsia="Arial Narrow" w:hAnsi="Arial Narrow" w:cs="Arial Narrow"/>
          <w:sz w:val="24"/>
          <w:szCs w:val="24"/>
        </w:rPr>
      </w:pPr>
      <w:bookmarkStart w:id="11" w:name="_atd0pia9m6ge" w:colFirst="0" w:colLast="0"/>
      <w:bookmarkEnd w:id="11"/>
      <w:r>
        <w:rPr>
          <w:rFonts w:ascii="Arial Narrow" w:eastAsia="Arial Narrow" w:hAnsi="Arial Narrow" w:cs="Arial Narrow"/>
          <w:sz w:val="24"/>
          <w:szCs w:val="24"/>
        </w:rPr>
        <w:t>Chapter 02</w:t>
      </w:r>
    </w:p>
    <w:p w14:paraId="57F80C85" w14:textId="77777777" w:rsidR="00460D4A" w:rsidRDefault="00000000">
      <w:pPr>
        <w:pStyle w:val="Heading2"/>
        <w:jc w:val="center"/>
        <w:rPr>
          <w:rFonts w:ascii="Arial Narrow" w:eastAsia="Arial Narrow" w:hAnsi="Arial Narrow" w:cs="Arial Narrow"/>
          <w:sz w:val="24"/>
          <w:szCs w:val="24"/>
        </w:rPr>
      </w:pPr>
      <w:bookmarkStart w:id="12" w:name="_czwrvvqyk49s" w:colFirst="0" w:colLast="0"/>
      <w:bookmarkEnd w:id="12"/>
      <w:r>
        <w:rPr>
          <w:rFonts w:ascii="Arial Narrow" w:eastAsia="Arial Narrow" w:hAnsi="Arial Narrow" w:cs="Arial Narrow"/>
          <w:sz w:val="24"/>
          <w:szCs w:val="24"/>
        </w:rPr>
        <w:t>THEORETICAL FRAMEWORK</w:t>
      </w:r>
    </w:p>
    <w:p w14:paraId="62051E62" w14:textId="77777777" w:rsidR="00460D4A" w:rsidRDefault="00000000">
      <w:pPr>
        <w:pStyle w:val="Heading3"/>
        <w:rPr>
          <w:rFonts w:ascii="Arial Narrow" w:eastAsia="Arial Narrow" w:hAnsi="Arial Narrow" w:cs="Arial Narrow"/>
          <w:sz w:val="24"/>
          <w:szCs w:val="24"/>
        </w:rPr>
      </w:pPr>
      <w:r>
        <w:rPr>
          <w:rFonts w:ascii="Arial Narrow" w:eastAsia="Arial Narrow" w:hAnsi="Arial Narrow" w:cs="Arial Narrow"/>
          <w:sz w:val="24"/>
          <w:szCs w:val="24"/>
        </w:rPr>
        <w:t>Review of Related Literature</w:t>
      </w:r>
    </w:p>
    <w:p w14:paraId="796B8E28" w14:textId="77777777" w:rsidR="00460D4A" w:rsidRDefault="00000000">
      <w:pPr>
        <w:spacing w:after="120"/>
        <w:ind w:firstLine="720"/>
        <w:jc w:val="both"/>
        <w:rPr>
          <w:rFonts w:ascii="Arial Narrow" w:eastAsia="Arial Narrow" w:hAnsi="Arial Narrow" w:cs="Arial Narrow"/>
          <w:sz w:val="24"/>
          <w:szCs w:val="24"/>
        </w:rPr>
      </w:pPr>
      <w:r>
        <w:rPr>
          <w:rFonts w:ascii="Arial Narrow" w:hAnsi="Arial Narrow" w:cs="Arial Narrow"/>
          <w:sz w:val="24"/>
        </w:rPr>
        <w:t xml:space="preserve">The reviewed literature falls into three mature but largely separate streams. Computer-vision research has made gaze measurable with the cameras already built into consumer devices. Clinical and epidemiological research has established ocular behaviour as an attention-related signal and quantified the population for whom attention support matters. Digital-intervention research has shown that games and structured tasks can deliver that support. What none of these streams does is close the loop: use a phone's own camera to learn which categories of content sustain a particular person's attention, and translate that into how they study. That is the gap this study addresses.</w:t>
      </w:r>
    </w:p>
    <w:p w14:paraId="2E399EB3" w14:textId="77777777" w:rsidR="00460D4A" w:rsidRDefault="00460D4A">
      <w:pPr>
        <w:spacing w:after="120"/>
        <w:ind w:firstLine="720"/>
        <w:jc w:val="both"/>
        <w:rPr>
          <w:rFonts w:ascii="Arial Narrow" w:eastAsia="Arial Narrow" w:hAnsi="Arial Narrow" w:cs="Arial Narrow"/>
          <w:sz w:val="24"/>
          <w:szCs w:val="24"/>
        </w:rPr>
      </w:pPr>
      <w:bookmarkStart w:id="13" w:name="_ngoqgnuoslsh" w:colFirst="0" w:colLast="0"/>
      <w:bookmarkEnd w:id="13"/>
    </w:p>
    <w:p w14:paraId="738A10C4"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2.0 Gaze Estimation with Device-Embedded Cameras</w:t>
      </w:r>
    </w:p>
    <w:p w14:paraId="12B223F2"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Estimating where a person is looking once required dedicated infrared eye trackers, and toolboxes such as PyGaze (Dalmaijer, Mathôt, &amp; Van der Stigchel, 2014) grew up around that hardware. Krafka et al. (2016) changed the premise by showing that a convolutional network trained on a large crowdsourced dataset can estimate point of regard from a phone or tablet's front camera alone. Kartynnik, Ablavatski, Grishchenko, and Grundmann (2019) then showed that a dense facial surface can be recovered from monocular video in real time on mobile GPUs — the model underlying the MediaPipe Face Landmarker used in this study. Two further results shape FocusFlow's design. Bott et al. (2018) validated eye-tracking measures from device-embedded cameras against established cognitive composites, supporting their use as more than a novelty; and Park et al. (2025) showed that correcting for head motion materially improves gaze accuracy, which is why FocusFlow evaluates eye-gaze deflection together with head yaw and pitch rather than in isolation. This stream makes gaze measurable on ordinary devices, but it stops at measurement: none of it asks what the measured attention means for how a particular person should study.</w:t>
      </w:r>
    </w:p>
    <w:p w14:paraId="5719AE64"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2.1 Ocular Behaviour as an Attention-Related Signal</w:t>
      </w:r>
    </w:p>
    <w:p w14:paraId="0F440401"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A second stream connects ocular measures to attention in people with ADHD. Groen, Borger, Koerts, Thome, and Tucha (2017) examined blink rate and blink timing in children with ADHD, which is why blink behaviour enters FocusFlow's score at all — and why, as a soft and indirect correlate, it carries the smallest weight. Lee, Yeung, Sze, and Chan (2021) showed that eye-tracking-based training improves inhibitory control, indicating that ocular measures are not merely descriptive but can be acted on. Liu et al. (2024) demonstrated that eye-tracking-derived digital biomarkers can distinguish children with ADHD from controls, and Loh et al. (2022) surveyed automated detection approaches across signal modalities. The consistent orientation of this stream is diagnostic classification. The same signals are rarely turned back toward the individual as feedback about their own engagement with particular content, which is precisely the use FocusFlow makes of them.</w:t>
      </w:r>
    </w:p>
    <w:p w14:paraId="3F5A4D64"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2.1.1 Self-Report as a Complementary Signal</w:t>
      </w:r>
    </w:p>
    <w:p w14:paraId="0657C38F"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Behavioural sensing is not the only informative input. Christiansen et al. (2020) applied machine learning to structured self-report rating scales for adult ADHD, showing that short, structured self-reports carry usable signal. FocusFlow collects two brief post-clip ratings for the same reason, but treats them as a complement to the gaze-based measures rather than a substitute. They carry a small, documented weight, and when they are absent that weight is redistributed proportionally across the objective components, so a session without ratings is scored on the same scale as one with them.</w:t>
      </w:r>
    </w:p>
    <w:p w14:paraId="6FF5EA56" w14:textId="77777777" w:rsidR="00460D4A" w:rsidRDefault="00000000">
      <w:pPr>
        <w:pStyle w:val="Heading4"/>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2.2 Digital Interventions and Objective Measurement</w:t>
      </w:r>
    </w:p>
    <w:p w14:paraId="482BD795" w14:textId="77777777" w:rsidR="00460D4A" w:rsidRDefault="00000000">
      <w:pPr>
        <w:spacing w:after="120"/>
        <w:ind w:firstLine="720"/>
        <w:jc w:val="both"/>
        <w:rPr>
          <w:rFonts w:ascii="Arial Narrow" w:eastAsia="Arial Narrow" w:hAnsi="Arial Narrow" w:cs="Arial Narrow"/>
          <w:color w:val="000000"/>
        </w:rPr>
      </w:pPr>
      <w:r>
        <w:rPr>
          <w:rFonts w:ascii="Arial Narrow" w:hAnsi="Arial Narrow" w:cs="Arial Narrow"/>
          <w:sz w:val="24"/>
        </w:rPr>
        <w:t xml:space="preserve">A third stream delivers attention support through technology. Doulou, Pergantis, Drigas, and Skianis (2025) systematically reviewed serious games for managing ADHD symptoms; Kollins et al. (2020) reported a randomised controlled trial of a game-delivered digital intervention with measurable attention outcomes; and Davis, Bower, and Kollins (2018) established that such an intervention can be delivered at home. Two further studies illustrate the demand for objective rather than recall-based measurement: Luo, Zhang, Xia, and Zhou (2023) combined behavioural training with EEG biofeedback, and Ouyang et al. (2026) used an instrumented chair to measure movement in a simulated classroom. These interventions work, but they are prescribed generically — whether a given format suits a given individual is not itself measured — and the objective-measurement approaches depend on specialised hardware that is absent from everyday study settings. Salari et al. (2023) quantify how large the affected population is, and therefore how much this matters.</w:t>
      </w:r>
    </w:p>
    <w:p w14:paraId="54FA5029" w14:textId="77777777" w:rsidR="00460D4A" w:rsidRDefault="00000000">
      <w:pPr>
        <w:pStyle w:val="Heading4"/>
        <w:spacing w:line="480" w:lineRule="auto"/>
        <w:jc w:val="both"/>
        <w:rPr>
          <w:rFonts w:ascii="Arial Narrow" w:eastAsia="Arial Narrow" w:hAnsi="Arial Narrow" w:cs="Arial Narrow"/>
        </w:rPr>
      </w:pPr>
      <w:r>
        <w:rPr>
          <w:rFonts w:ascii="Arial Narrow" w:eastAsia="Arial Narrow" w:hAnsi="Arial Narrow" w:cs="Arial Narrow"/>
        </w:rPr>
        <w:t xml:space="preserve">2.3 Synthesis</w:t>
      </w:r>
    </w:p>
    <w:p w14:paraId="21E2175A" w14:textId="77777777"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The gap between these streams is the one FocusFlow occupies. Gaze can be measured on a consumer phone; ocular behaviour is an established attention correlate; digital interventions work but are not personalised to the individual's measured attention. FocusFlow joins the three: on-device face-landmark inference feeds a temporal attention layer and a transparent, sensitivity-checked scoring design that profiles which of nine content categories sustain a user's attention, and that profile is converted into learning-style recommendations, study techniques, and weekly goals. It does so while explicitly declining to diagnose, screen for, or classify ADHD, and while keeping every camera frame on the device.</w:t>
      </w:r>
    </w:p>
    <w:p w14:paraId="79A6A518" w14:textId="77777777" w:rsidR="00460D4A" w:rsidRDefault="00000000">
      <w:pPr>
        <w:pStyle w:val="Heading3"/>
        <w:rPr>
          <w:rFonts w:ascii="Arial Narrow" w:eastAsia="Arial Narrow" w:hAnsi="Arial Narrow" w:cs="Arial Narrow"/>
          <w:sz w:val="24"/>
          <w:szCs w:val="24"/>
        </w:rPr>
      </w:pPr>
      <w:bookmarkStart w:id="14" w:name="_b6wv0nvrph73" w:colFirst="0" w:colLast="0"/>
      <w:bookmarkEnd w:id="14"/>
      <w:r>
        <w:rPr>
          <w:rFonts w:ascii="Arial Narrow" w:eastAsia="Arial Narrow" w:hAnsi="Arial Narrow" w:cs="Arial Narrow"/>
          <w:sz w:val="24"/>
          <w:szCs w:val="24"/>
        </w:rPr>
        <w:t>Literature Table</w:t>
      </w:r>
    </w:p>
    <w:p w14:paraId="09187BEA" w14:textId="77777777"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rPr>
      </w:pPr>
      <w:bookmarkStart w:id="15" w:name="_fx90aj9c3krc" w:colFirst="0" w:colLast="0"/>
      <w:bookmarkEnd w:id="15"/>
      <w:r>
        <w:rPr>
          <w:rFonts w:ascii="Arial Narrow" w:eastAsia="Arial Narrow" w:hAnsi="Arial Narrow" w:cs="Arial Narrow"/>
          <w:i/>
          <w:iCs/>
          <w:color w:val="44546A"/>
        </w:rPr>
        <w:t>Table 2 Literature Table</w:t>
      </w:r>
    </w:p>
    <w:tbl>
      <w:tblPr>
        <w:tblStyle w:val="a"/>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82"/>
        <w:gridCol w:w="4106"/>
        <w:gridCol w:w="3057"/>
      </w:tblGrid>
      <w:tr w:rsidR="00460D4A" w14:paraId="68DD8A5E" w14:textId="77777777">
        <w:trPr>
          <w:trHeight w:val="621"/>
        </w:trPr>
        <w:tc>
          <w:tcPr>
            <w:tcW w:w="2182" w:type="dxa"/>
            <w:tcBorders>
              <w:top w:val="single" w:sz="4" w:space="0" w:color="000000"/>
              <w:left w:val="single" w:sz="4" w:space="0" w:color="000000"/>
              <w:bottom w:val="single" w:sz="4" w:space="0" w:color="000000"/>
              <w:right w:val="single" w:sz="4" w:space="0" w:color="000000"/>
            </w:tcBorders>
            <w:shd w:val="clear" w:color="auto" w:fill="D9D9D9"/>
          </w:tcPr>
          <w:p w14:paraId="0B566C98" w14:textId="77777777" w:rsidR="00460D4A" w:rsidRDefault="00000000">
            <w:pPr>
              <w:spacing w:line="240" w:lineRule="auto"/>
              <w:jc w:val="center"/>
              <w:rPr>
                <w:rFonts w:ascii="Arial Narrow" w:eastAsia="Arial Narrow" w:hAnsi="Arial Narrow" w:cs="Arial Narrow"/>
                <w:b/>
                <w:bCs/>
                <w:color w:val="000000"/>
                <w:sz w:val="20"/>
                <w:szCs w:val="20"/>
              </w:rPr>
            </w:pPr>
            <w:r>
              <w:rPr>
                <w:rFonts w:ascii="Arial Narrow" w:eastAsia="Arial Narrow" w:hAnsi="Arial Narrow" w:cs="Arial Narrow"/>
                <w:b/>
                <w:bCs/>
                <w:color w:val="000000"/>
                <w:sz w:val="20"/>
                <w:szCs w:val="20"/>
              </w:rPr>
              <w:t>Title / Authors / Year</w:t>
            </w:r>
          </w:p>
        </w:tc>
        <w:tc>
          <w:tcPr>
            <w:tcW w:w="4106" w:type="dxa"/>
            <w:tcBorders>
              <w:top w:val="single" w:sz="4" w:space="0" w:color="000000"/>
              <w:left w:val="single" w:sz="4" w:space="0" w:color="000000"/>
              <w:bottom w:val="single" w:sz="4" w:space="0" w:color="000000"/>
              <w:right w:val="single" w:sz="4" w:space="0" w:color="000000"/>
            </w:tcBorders>
            <w:shd w:val="clear" w:color="auto" w:fill="D9D9D9"/>
          </w:tcPr>
          <w:p w14:paraId="0D90B99F" w14:textId="77777777" w:rsidR="00460D4A" w:rsidRDefault="00000000">
            <w:pPr>
              <w:spacing w:line="240" w:lineRule="auto"/>
              <w:jc w:val="center"/>
              <w:rPr>
                <w:rFonts w:ascii="Arial Narrow" w:eastAsia="Arial Narrow" w:hAnsi="Arial Narrow" w:cs="Arial Narrow"/>
                <w:b/>
                <w:bCs/>
                <w:color w:val="000000"/>
                <w:sz w:val="20"/>
                <w:szCs w:val="20"/>
              </w:rPr>
            </w:pPr>
            <w:r>
              <w:rPr>
                <w:rFonts w:ascii="Arial Narrow" w:eastAsia="Arial Narrow" w:hAnsi="Arial Narrow" w:cs="Arial Narrow"/>
                <w:b/>
                <w:bCs/>
                <w:color w:val="000000"/>
                <w:sz w:val="20"/>
                <w:szCs w:val="20"/>
              </w:rPr>
              <w:t>Brief Description / Advantages/Features</w:t>
            </w:r>
          </w:p>
        </w:tc>
        <w:tc>
          <w:tcPr>
            <w:tcW w:w="305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42DB74C" w14:textId="77777777" w:rsidR="00460D4A" w:rsidRDefault="00000000">
            <w:pPr>
              <w:spacing w:line="240" w:lineRule="auto"/>
              <w:jc w:val="center"/>
              <w:rPr>
                <w:rFonts w:ascii="Arial Narrow" w:eastAsia="Arial Narrow" w:hAnsi="Arial Narrow" w:cs="Arial Narrow"/>
                <w:b/>
                <w:bCs/>
                <w:color w:val="000000"/>
                <w:sz w:val="20"/>
                <w:szCs w:val="20"/>
              </w:rPr>
            </w:pPr>
            <w:r>
              <w:rPr>
                <w:rFonts w:ascii="Arial Narrow" w:eastAsia="Arial Narrow" w:hAnsi="Arial Narrow" w:cs="Arial Narrow"/>
                <w:b/>
                <w:bCs/>
                <w:color w:val="000000"/>
                <w:sz w:val="20"/>
                <w:szCs w:val="20"/>
              </w:rPr>
              <w:t>Issues/ Problems / Disadvantages/For Improvements</w:t>
            </w:r>
          </w:p>
        </w:tc>
      </w:tr>
      <w:tr w:rsidR="00460D4A" w14:paraId="1608C5A8" w14:textId="77777777">
        <w:tc>
          <w:tcPr>
            <w:tcW w:w="2182" w:type="dxa"/>
            <w:tcBorders>
              <w:top w:val="single" w:sz="4" w:space="0" w:color="000000"/>
              <w:left w:val="single" w:sz="4" w:space="0" w:color="000000"/>
              <w:bottom w:val="single" w:sz="4" w:space="0" w:color="000000"/>
              <w:right w:val="single" w:sz="4" w:space="0" w:color="000000"/>
            </w:tcBorders>
          </w:tcPr>
          <w:p w14:paraId="161214FD" w14:textId="77777777" w:rsidR="00460D4A" w:rsidRDefault="00000000">
            <w:r>
              <w:rPr>
                <w:rFonts w:ascii="Arial Narrow" w:hAnsi="Arial Narrow" w:cs="Arial Narrow"/>
                <w:sz w:val="24"/>
              </w:rPr>
              <w:t xml:space="preserve">1. Eye Tracking for Everyone / Krafka, Khosla, Kellnhofer, Kannan, Bhandarkar, Matusik &amp; Torralba / 2016</w:t>
            </w:r>
          </w:p>
        </w:tc>
        <w:tc>
          <w:tcPr>
            <w:tcW w:w="4106" w:type="dxa"/>
            <w:tcBorders>
              <w:top w:val="single" w:sz="4" w:space="0" w:color="000000"/>
              <w:left w:val="single" w:sz="4" w:space="0" w:color="000000"/>
              <w:bottom w:val="single" w:sz="4" w:space="0" w:color="000000"/>
              <w:right w:val="single" w:sz="4" w:space="0" w:color="000000"/>
            </w:tcBorders>
          </w:tcPr>
          <w:p w14:paraId="4EBBE369" w14:textId="77777777" w:rsidR="00460D4A" w:rsidRDefault="00000000">
            <w:r>
              <w:rPr>
                <w:rFonts w:ascii="Arial Narrow" w:hAnsi="Arial Narrow" w:cs="Arial Narrow"/>
                <w:sz w:val="24"/>
              </w:rPr>
              <w:t xml:space="preserve">Introduces GazeCapture, a large-scale mobile gaze dataset, and iTracker, a convolutional network that estimates point of regard from a phone or tablet front camera without dedicated hardware.</w:t>
            </w:r>
          </w:p>
        </w:tc>
        <w:tc>
          <w:tcPr>
            <w:tcW w:w="3057" w:type="dxa"/>
            <w:tcBorders>
              <w:top w:val="single" w:sz="4" w:space="0" w:color="000000"/>
              <w:left w:val="single" w:sz="4" w:space="0" w:color="000000"/>
              <w:bottom w:val="single" w:sz="4" w:space="0" w:color="000000"/>
              <w:right w:val="single" w:sz="4" w:space="0" w:color="000000"/>
            </w:tcBorders>
          </w:tcPr>
          <w:p w14:paraId="19100126" w14:textId="77777777" w:rsidR="00460D4A" w:rsidRDefault="00000000">
            <w:r>
              <w:rPr>
                <w:rFonts w:ascii="Arial Narrow" w:hAnsi="Arial Narrow" w:cs="Arial Narrow"/>
                <w:sz w:val="24"/>
              </w:rPr>
              <w:t xml:space="preserve">Trained on iOS devices; accuracy is coarse (centimetre-level) without per-user calibration. Research-only licence restricts commercial use of any derived model.</w:t>
            </w:r>
          </w:p>
        </w:tc>
      </w:tr>
      <w:tr w:rsidR="00460D4A" w14:paraId="7AEBBF15" w14:textId="77777777">
        <w:tc>
          <w:tcPr>
            <w:tcW w:w="2182" w:type="dxa"/>
            <w:tcBorders>
              <w:top w:val="single" w:sz="4" w:space="0" w:color="000000"/>
              <w:left w:val="single" w:sz="4" w:space="0" w:color="000000"/>
              <w:bottom w:val="single" w:sz="4" w:space="0" w:color="000000"/>
              <w:right w:val="single" w:sz="4" w:space="0" w:color="000000"/>
            </w:tcBorders>
          </w:tcPr>
          <w:p w14:paraId="69937002" w14:textId="77777777" w:rsidR="00460D4A" w:rsidRDefault="00000000">
            <w:r>
              <w:rPr>
                <w:rFonts w:ascii="Arial Narrow" w:hAnsi="Arial Narrow" w:cs="Arial Narrow"/>
                <w:sz w:val="24"/>
              </w:rPr>
              <w:t xml:space="preserve">2. Device-embedded cameras for eye tracking-based cognitive assessment / Bott et al. / 2018</w:t>
            </w:r>
          </w:p>
        </w:tc>
        <w:tc>
          <w:tcPr>
            <w:tcW w:w="4106" w:type="dxa"/>
            <w:tcBorders>
              <w:top w:val="single" w:sz="4" w:space="0" w:color="000000"/>
              <w:left w:val="single" w:sz="4" w:space="0" w:color="000000"/>
              <w:bottom w:val="single" w:sz="4" w:space="0" w:color="000000"/>
              <w:right w:val="single" w:sz="4" w:space="0" w:color="000000"/>
            </w:tcBorders>
          </w:tcPr>
          <w:p w14:paraId="583CDC7C" w14:textId="77777777" w:rsidR="00460D4A" w:rsidRDefault="00000000">
            <w:r>
              <w:rPr>
                <w:rFonts w:ascii="Arial Narrow" w:hAnsi="Arial Narrow" w:cs="Arial Narrow"/>
                <w:sz w:val="24"/>
              </w:rPr>
              <w:t xml:space="preserve">Validates eye-tracking measures captured by device-embedded cameras against paper-pencil and computerized cognitive composites.</w:t>
            </w:r>
          </w:p>
        </w:tc>
        <w:tc>
          <w:tcPr>
            <w:tcW w:w="3057" w:type="dxa"/>
            <w:tcBorders>
              <w:top w:val="single" w:sz="4" w:space="0" w:color="000000"/>
              <w:left w:val="single" w:sz="4" w:space="0" w:color="000000"/>
              <w:bottom w:val="single" w:sz="4" w:space="0" w:color="000000"/>
              <w:right w:val="single" w:sz="4" w:space="0" w:color="000000"/>
            </w:tcBorders>
          </w:tcPr>
          <w:p w14:paraId="31E36022" w14:textId="77777777" w:rsidR="00460D4A" w:rsidRDefault="00000000">
            <w:r>
              <w:rPr>
                <w:rFonts w:ascii="Arial Narrow" w:hAnsi="Arial Narrow" w:cs="Arial Narrow"/>
                <w:sz w:val="24"/>
              </w:rPr>
              <w:t xml:space="preserve">Targets cognitive assessment in a clinical-research setting; does not translate measures into individual study recommendations.</w:t>
            </w:r>
          </w:p>
        </w:tc>
      </w:tr>
      <w:tr w:rsidR="00460D4A" w14:paraId="271C8280" w14:textId="77777777">
        <w:tc>
          <w:tcPr>
            <w:tcW w:w="2182" w:type="dxa"/>
            <w:tcBorders>
              <w:top w:val="single" w:sz="4" w:space="0" w:color="000000"/>
              <w:left w:val="single" w:sz="4" w:space="0" w:color="000000"/>
              <w:bottom w:val="single" w:sz="4" w:space="0" w:color="000000"/>
              <w:right w:val="single" w:sz="4" w:space="0" w:color="000000"/>
            </w:tcBorders>
          </w:tcPr>
          <w:p w14:paraId="410E7473" w14:textId="77777777" w:rsidR="00460D4A" w:rsidRDefault="00000000">
            <w:r>
              <w:rPr>
                <w:rFonts w:ascii="Arial Narrow" w:hAnsi="Arial Narrow" w:cs="Arial Narrow"/>
                <w:sz w:val="24"/>
              </w:rPr>
              <w:t xml:space="preserve">3. Real-time facial surface geometry from monocular video on mobile GPUs / Kartynnik, Ablavatski, Grishchenko &amp; Grundmann / 2019</w:t>
            </w:r>
          </w:p>
        </w:tc>
        <w:tc>
          <w:tcPr>
            <w:tcW w:w="4106" w:type="dxa"/>
            <w:tcBorders>
              <w:top w:val="single" w:sz="4" w:space="0" w:color="000000"/>
              <w:left w:val="single" w:sz="4" w:space="0" w:color="000000"/>
              <w:bottom w:val="single" w:sz="4" w:space="0" w:color="000000"/>
              <w:right w:val="single" w:sz="4" w:space="0" w:color="000000"/>
            </w:tcBorders>
          </w:tcPr>
          <w:p w14:paraId="6296484D" w14:textId="77777777" w:rsidR="00460D4A" w:rsidRDefault="00000000">
            <w:r>
              <w:rPr>
                <w:rFonts w:ascii="Arial Narrow" w:hAnsi="Arial Narrow" w:cs="Arial Narrow"/>
                <w:sz w:val="24"/>
              </w:rPr>
              <w:t xml:space="preserve">Describes the dense face-mesh model underlying MediaPipe Face Landmarker, producing a 3D facial surface in real time on mobile GPUs from a single camera.</w:t>
            </w:r>
          </w:p>
        </w:tc>
        <w:tc>
          <w:tcPr>
            <w:tcW w:w="3057" w:type="dxa"/>
            <w:tcBorders>
              <w:top w:val="single" w:sz="4" w:space="0" w:color="000000"/>
              <w:left w:val="single" w:sz="4" w:space="0" w:color="000000"/>
              <w:bottom w:val="single" w:sz="4" w:space="0" w:color="000000"/>
              <w:right w:val="single" w:sz="4" w:space="0" w:color="000000"/>
            </w:tcBorders>
          </w:tcPr>
          <w:p w14:paraId="3A609AB9" w14:textId="77777777" w:rsidR="00460D4A" w:rsidRDefault="00000000">
            <w:r>
              <w:rPr>
                <w:rFonts w:ascii="Arial Narrow" w:hAnsi="Arial Narrow" w:cs="Arial Narrow"/>
                <w:sz w:val="24"/>
              </w:rPr>
              <w:t xml:space="preserve">A perception building block only; provides landmarks and pose, not an attention decision or temporal analysis.</w:t>
            </w:r>
          </w:p>
        </w:tc>
      </w:tr>
      <w:tr w:rsidR="00460D4A" w14:paraId="6E482719" w14:textId="77777777">
        <w:tc>
          <w:tcPr>
            <w:tcW w:w="2182" w:type="dxa"/>
            <w:tcBorders>
              <w:top w:val="single" w:sz="4" w:space="0" w:color="000000"/>
              <w:left w:val="single" w:sz="4" w:space="0" w:color="000000"/>
              <w:bottom w:val="single" w:sz="4" w:space="0" w:color="000000"/>
              <w:right w:val="single" w:sz="4" w:space="0" w:color="000000"/>
            </w:tcBorders>
          </w:tcPr>
          <w:p w14:paraId="0BC7336F" w14:textId="77777777" w:rsidR="00460D4A" w:rsidRDefault="00000000">
            <w:r>
              <w:rPr>
                <w:rFonts w:ascii="Arial Narrow" w:hAnsi="Arial Narrow" w:cs="Arial Narrow"/>
                <w:sz w:val="24"/>
              </w:rPr>
              <w:t xml:space="preserve">4. Motion-corrected eye tracking (MoCET) improves gaze accuracy during visual fMRI experiments [Preprint] / Park, Jeon, Kim, Kay &amp; Shim / 2025</w:t>
            </w:r>
          </w:p>
        </w:tc>
        <w:tc>
          <w:tcPr>
            <w:tcW w:w="4106" w:type="dxa"/>
            <w:tcBorders>
              <w:top w:val="single" w:sz="4" w:space="0" w:color="000000"/>
              <w:left w:val="single" w:sz="4" w:space="0" w:color="000000"/>
              <w:bottom w:val="single" w:sz="4" w:space="0" w:color="000000"/>
              <w:right w:val="single" w:sz="4" w:space="0" w:color="000000"/>
            </w:tcBorders>
          </w:tcPr>
          <w:p w14:paraId="740CCF03" w14:textId="77777777" w:rsidR="00460D4A" w:rsidRDefault="00000000">
            <w:r>
              <w:rPr>
                <w:rFonts w:ascii="Arial Narrow" w:hAnsi="Arial Narrow" w:cs="Arial Narrow"/>
                <w:sz w:val="24"/>
              </w:rPr>
              <w:t xml:space="preserve">Shows that correcting for head motion materially improves gaze accuracy, supporting FocusFlow's combination of eye-gaze signals with head yaw and pitch.</w:t>
            </w:r>
          </w:p>
        </w:tc>
        <w:tc>
          <w:tcPr>
            <w:tcW w:w="3057" w:type="dxa"/>
            <w:tcBorders>
              <w:top w:val="single" w:sz="4" w:space="0" w:color="000000"/>
              <w:left w:val="single" w:sz="4" w:space="0" w:color="000000"/>
              <w:bottom w:val="single" w:sz="4" w:space="0" w:color="000000"/>
              <w:right w:val="single" w:sz="4" w:space="0" w:color="000000"/>
            </w:tcBorders>
          </w:tcPr>
          <w:p w14:paraId="2A6E8DF1" w14:textId="77777777" w:rsidR="00460D4A" w:rsidRDefault="00000000">
            <w:r>
              <w:rPr>
                <w:rFonts w:ascii="Arial Narrow" w:hAnsi="Arial Narrow" w:cs="Arial Narrow"/>
                <w:sz w:val="24"/>
              </w:rPr>
              <w:t xml:space="preserve">Preprint in an fMRI context with specialised equipment; not peer-reviewed at time of writing.</w:t>
            </w:r>
          </w:p>
        </w:tc>
      </w:tr>
      <w:tr w:rsidR="00460D4A" w14:paraId="79E08E5C" w14:textId="77777777">
        <w:tc>
          <w:tcPr>
            <w:tcW w:w="2182" w:type="dxa"/>
            <w:tcBorders>
              <w:top w:val="single" w:sz="4" w:space="0" w:color="000000"/>
              <w:left w:val="single" w:sz="4" w:space="0" w:color="000000"/>
              <w:bottom w:val="single" w:sz="4" w:space="0" w:color="000000"/>
              <w:right w:val="single" w:sz="4" w:space="0" w:color="000000"/>
            </w:tcBorders>
          </w:tcPr>
          <w:p w14:paraId="6110CE09" w14:textId="77777777" w:rsidR="00460D4A" w:rsidRDefault="00000000">
            <w:r>
              <w:rPr>
                <w:rFonts w:ascii="Arial Narrow" w:hAnsi="Arial Narrow" w:cs="Arial Narrow"/>
                <w:sz w:val="24"/>
              </w:rPr>
              <w:t xml:space="preserve">5. PyGaze: An open-source, cross-platform toolbox for eye-tracking experiments / Dalmaijer, Mathôt &amp; Van der Stigchel / 2014</w:t>
            </w:r>
          </w:p>
        </w:tc>
        <w:tc>
          <w:tcPr>
            <w:tcW w:w="4106" w:type="dxa"/>
            <w:tcBorders>
              <w:top w:val="single" w:sz="4" w:space="0" w:color="000000"/>
              <w:left w:val="single" w:sz="4" w:space="0" w:color="000000"/>
              <w:bottom w:val="single" w:sz="4" w:space="0" w:color="000000"/>
              <w:right w:val="single" w:sz="4" w:space="0" w:color="000000"/>
            </w:tcBorders>
          </w:tcPr>
          <w:p w14:paraId="5CBD1518" w14:textId="77777777" w:rsidR="00460D4A" w:rsidRDefault="00000000">
            <w:r>
              <w:rPr>
                <w:rFonts w:ascii="Arial Narrow" w:hAnsi="Arial Narrow" w:cs="Arial Narrow"/>
                <w:sz w:val="24"/>
              </w:rPr>
              <w:t xml:space="preserve">Provides a programming toolbox for eye-tracking experiments, standardising how gaze data are collected and analysed in research.</w:t>
            </w:r>
          </w:p>
        </w:tc>
        <w:tc>
          <w:tcPr>
            <w:tcW w:w="3057" w:type="dxa"/>
            <w:tcBorders>
              <w:top w:val="single" w:sz="4" w:space="0" w:color="000000"/>
              <w:left w:val="single" w:sz="4" w:space="0" w:color="000000"/>
              <w:bottom w:val="single" w:sz="4" w:space="0" w:color="000000"/>
              <w:right w:val="single" w:sz="4" w:space="0" w:color="000000"/>
            </w:tcBorders>
          </w:tcPr>
          <w:p w14:paraId="5CDF3426" w14:textId="77777777" w:rsidR="00460D4A" w:rsidRDefault="00000000">
            <w:r>
              <w:rPr>
                <w:rFonts w:ascii="Arial Narrow" w:hAnsi="Arial Narrow" w:cs="Arial Narrow"/>
                <w:sz w:val="24"/>
              </w:rPr>
              <w:t xml:space="preserve">Desktop and laboratory eye-tracker oriented; not a mobile, camera-only solution.</w:t>
            </w:r>
          </w:p>
        </w:tc>
      </w:tr>
      <w:tr w:rsidR="00460D4A" w14:paraId="4A33C4B1" w14:textId="77777777">
        <w:tc>
          <w:tcPr>
            <w:tcW w:w="2182" w:type="dxa"/>
            <w:tcBorders>
              <w:top w:val="single" w:sz="4" w:space="0" w:color="000000"/>
              <w:left w:val="single" w:sz="4" w:space="0" w:color="000000"/>
              <w:bottom w:val="single" w:sz="4" w:space="0" w:color="000000"/>
              <w:right w:val="single" w:sz="4" w:space="0" w:color="000000"/>
            </w:tcBorders>
          </w:tcPr>
          <w:p w14:paraId="36C26997" w14:textId="77777777" w:rsidR="00460D4A" w:rsidRDefault="00000000">
            <w:r>
              <w:rPr>
                <w:rFonts w:ascii="Arial Narrow" w:hAnsi="Arial Narrow" w:cs="Arial Narrow"/>
                <w:sz w:val="24"/>
              </w:rPr>
              <w:t xml:space="preserve">6. Blink rate and blink timing in children with ADHD and the influence of stimulant medication / Groen, Borger, Koerts, Thome &amp; Tucha / 2017</w:t>
            </w:r>
          </w:p>
        </w:tc>
        <w:tc>
          <w:tcPr>
            <w:tcW w:w="4106" w:type="dxa"/>
            <w:tcBorders>
              <w:top w:val="single" w:sz="4" w:space="0" w:color="000000"/>
              <w:left w:val="single" w:sz="4" w:space="0" w:color="000000"/>
              <w:bottom w:val="single" w:sz="4" w:space="0" w:color="000000"/>
              <w:right w:val="single" w:sz="4" w:space="0" w:color="000000"/>
            </w:tcBorders>
          </w:tcPr>
          <w:p w14:paraId="5B599D98" w14:textId="77777777" w:rsidR="00460D4A" w:rsidRDefault="00000000">
            <w:r>
              <w:rPr>
                <w:rFonts w:ascii="Arial Narrow" w:hAnsi="Arial Narrow" w:cs="Arial Narrow"/>
                <w:sz w:val="24"/>
              </w:rPr>
              <w:t xml:space="preserve">Examines blink rate and timing as ocular correlates of attention in children with ADHD, motivating blink behaviour as a soft attention-related signal.</w:t>
            </w:r>
          </w:p>
        </w:tc>
        <w:tc>
          <w:tcPr>
            <w:tcW w:w="3057" w:type="dxa"/>
            <w:tcBorders>
              <w:top w:val="single" w:sz="4" w:space="0" w:color="000000"/>
              <w:left w:val="single" w:sz="4" w:space="0" w:color="000000"/>
              <w:bottom w:val="single" w:sz="4" w:space="0" w:color="000000"/>
              <w:right w:val="single" w:sz="4" w:space="0" w:color="000000"/>
            </w:tcBorders>
          </w:tcPr>
          <w:p w14:paraId="17FFC4F6" w14:textId="77777777" w:rsidR="00460D4A" w:rsidRDefault="00000000">
            <w:r>
              <w:rPr>
                <w:rFonts w:ascii="Arial Narrow" w:hAnsi="Arial Narrow" w:cs="Arial Narrow"/>
                <w:sz w:val="24"/>
              </w:rPr>
              <w:t xml:space="preserve">Clinical population and laboratory measurement; blink measures alone are not a robust attention indicator, hence their small weight in FocusFlow.</w:t>
            </w:r>
          </w:p>
        </w:tc>
      </w:tr>
      <w:tr w:rsidR="00460D4A" w14:paraId="42893C4E" w14:textId="77777777">
        <w:tc>
          <w:tcPr>
            <w:tcW w:w="2182" w:type="dxa"/>
            <w:tcBorders>
              <w:top w:val="single" w:sz="4" w:space="0" w:color="000000"/>
              <w:left w:val="single" w:sz="4" w:space="0" w:color="000000"/>
              <w:bottom w:val="single" w:sz="4" w:space="0" w:color="000000"/>
              <w:right w:val="single" w:sz="4" w:space="0" w:color="000000"/>
            </w:tcBorders>
          </w:tcPr>
          <w:p w14:paraId="3F0DA466" w14:textId="77777777" w:rsidR="00460D4A" w:rsidRDefault="00000000">
            <w:r>
              <w:rPr>
                <w:rFonts w:ascii="Arial Narrow" w:hAnsi="Arial Narrow" w:cs="Arial Narrow"/>
                <w:sz w:val="24"/>
              </w:rPr>
              <w:t xml:space="preserve">7. Eye-tracking training improves inhibitory control in children with ADHD / Lee, Yeung, Sze &amp; Chan / 2021</w:t>
            </w:r>
          </w:p>
        </w:tc>
        <w:tc>
          <w:tcPr>
            <w:tcW w:w="4106" w:type="dxa"/>
            <w:tcBorders>
              <w:top w:val="single" w:sz="4" w:space="0" w:color="000000"/>
              <w:left w:val="single" w:sz="4" w:space="0" w:color="000000"/>
              <w:bottom w:val="single" w:sz="4" w:space="0" w:color="000000"/>
              <w:right w:val="single" w:sz="4" w:space="0" w:color="000000"/>
            </w:tcBorders>
          </w:tcPr>
          <w:p w14:paraId="0968BEB1" w14:textId="77777777" w:rsidR="00460D4A" w:rsidRDefault="00000000">
            <w:r>
              <w:rPr>
                <w:rFonts w:ascii="Arial Narrow" w:hAnsi="Arial Narrow" w:cs="Arial Narrow"/>
                <w:sz w:val="24"/>
              </w:rPr>
              <w:t xml:space="preserve">Shows eye-tracking-based training can improve inhibitory control, illustrating that ocular measures are both informative and actionable.</w:t>
            </w:r>
          </w:p>
        </w:tc>
        <w:tc>
          <w:tcPr>
            <w:tcW w:w="3057" w:type="dxa"/>
            <w:tcBorders>
              <w:top w:val="single" w:sz="4" w:space="0" w:color="000000"/>
              <w:left w:val="single" w:sz="4" w:space="0" w:color="000000"/>
              <w:bottom w:val="single" w:sz="4" w:space="0" w:color="000000"/>
              <w:right w:val="single" w:sz="4" w:space="0" w:color="000000"/>
            </w:tcBorders>
          </w:tcPr>
          <w:p w14:paraId="1268336B" w14:textId="77777777" w:rsidR="00460D4A" w:rsidRDefault="00000000">
            <w:r>
              <w:rPr>
                <w:rFonts w:ascii="Arial Narrow" w:hAnsi="Arial Narrow" w:cs="Arial Narrow"/>
                <w:sz w:val="24"/>
              </w:rPr>
              <w:t xml:space="preserve">Intervention study with specialized equipment; not an at-home profiling tool.</w:t>
            </w:r>
          </w:p>
        </w:tc>
      </w:tr>
      <w:tr w:rsidR="00460D4A" w14:paraId="2D0E04AD" w14:textId="77777777">
        <w:tc>
          <w:tcPr>
            <w:tcW w:w="2182" w:type="dxa"/>
            <w:tcBorders>
              <w:top w:val="single" w:sz="4" w:space="0" w:color="000000"/>
              <w:left w:val="single" w:sz="4" w:space="0" w:color="000000"/>
              <w:bottom w:val="single" w:sz="4" w:space="0" w:color="000000"/>
              <w:right w:val="single" w:sz="4" w:space="0" w:color="000000"/>
            </w:tcBorders>
          </w:tcPr>
          <w:p w14:paraId="25DB4B2A" w14:textId="77777777" w:rsidR="00460D4A" w:rsidRDefault="00000000">
            <w:r>
              <w:rPr>
                <w:rFonts w:ascii="Arial Narrow" w:hAnsi="Arial Narrow" w:cs="Arial Narrow"/>
                <w:sz w:val="24"/>
              </w:rPr>
              <w:t xml:space="preserve">8. Auxiliary diagnosis of children with ADHD using eye-tracking and digital biomarkers: Case-control study / Liu et al. / 2024</w:t>
            </w:r>
          </w:p>
        </w:tc>
        <w:tc>
          <w:tcPr>
            <w:tcW w:w="4106" w:type="dxa"/>
            <w:tcBorders>
              <w:top w:val="single" w:sz="4" w:space="0" w:color="000000"/>
              <w:left w:val="single" w:sz="4" w:space="0" w:color="000000"/>
              <w:bottom w:val="single" w:sz="4" w:space="0" w:color="000000"/>
              <w:right w:val="single" w:sz="4" w:space="0" w:color="000000"/>
            </w:tcBorders>
          </w:tcPr>
          <w:p w14:paraId="68DF4107" w14:textId="77777777" w:rsidR="00460D4A" w:rsidRDefault="00000000">
            <w:r>
              <w:rPr>
                <w:rFonts w:ascii="Arial Narrow" w:hAnsi="Arial Narrow" w:cs="Arial Narrow"/>
                <w:sz w:val="24"/>
              </w:rPr>
              <w:t xml:space="preserve">Demonstrates that eye-tracking-derived digital biomarkers can distinguish ADHD from control groups.</w:t>
            </w:r>
          </w:p>
        </w:tc>
        <w:tc>
          <w:tcPr>
            <w:tcW w:w="3057" w:type="dxa"/>
            <w:tcBorders>
              <w:top w:val="single" w:sz="4" w:space="0" w:color="000000"/>
              <w:left w:val="single" w:sz="4" w:space="0" w:color="000000"/>
              <w:bottom w:val="single" w:sz="4" w:space="0" w:color="000000"/>
              <w:right w:val="single" w:sz="4" w:space="0" w:color="000000"/>
            </w:tcBorders>
          </w:tcPr>
          <w:p w14:paraId="57CEA147" w14:textId="77777777" w:rsidR="00460D4A" w:rsidRDefault="00000000">
            <w:r>
              <w:rPr>
                <w:rFonts w:ascii="Arial Narrow" w:hAnsi="Arial Narrow" w:cs="Arial Narrow"/>
                <w:sz w:val="24"/>
              </w:rPr>
              <w:t xml:space="preserve">Directed at diagnostic classification, which FocusFlow explicitly excludes; provides no per-content attention profile.</w:t>
            </w:r>
          </w:p>
        </w:tc>
      </w:tr>
      <w:tr w:rsidR="00460D4A" w14:paraId="5605D666" w14:textId="77777777">
        <w:tc>
          <w:tcPr>
            <w:tcW w:w="2182" w:type="dxa"/>
            <w:tcBorders>
              <w:top w:val="single" w:sz="4" w:space="0" w:color="000000"/>
              <w:left w:val="single" w:sz="4" w:space="0" w:color="000000"/>
              <w:bottom w:val="single" w:sz="4" w:space="0" w:color="000000"/>
              <w:right w:val="single" w:sz="4" w:space="0" w:color="000000"/>
            </w:tcBorders>
          </w:tcPr>
          <w:p w14:paraId="0DD61932" w14:textId="77777777" w:rsidR="00460D4A" w:rsidRDefault="00000000">
            <w:r>
              <w:rPr>
                <w:rFonts w:ascii="Arial Narrow" w:hAnsi="Arial Narrow" w:cs="Arial Narrow"/>
                <w:sz w:val="24"/>
              </w:rPr>
              <w:t xml:space="preserve">9. Automated detection of ADHD: Current trends and future perspective / Loh, Ooi, Barua, Palmer, Molinari &amp; Acharya / 2022</w:t>
            </w:r>
          </w:p>
        </w:tc>
        <w:tc>
          <w:tcPr>
            <w:tcW w:w="4106" w:type="dxa"/>
            <w:tcBorders>
              <w:top w:val="single" w:sz="4" w:space="0" w:color="000000"/>
              <w:left w:val="single" w:sz="4" w:space="0" w:color="000000"/>
              <w:bottom w:val="single" w:sz="4" w:space="0" w:color="000000"/>
              <w:right w:val="single" w:sz="4" w:space="0" w:color="000000"/>
            </w:tcBorders>
          </w:tcPr>
          <w:p w14:paraId="69915D6A" w14:textId="77777777" w:rsidR="00460D4A" w:rsidRDefault="00000000">
            <w:r>
              <w:rPr>
                <w:rFonts w:ascii="Arial Narrow" w:hAnsi="Arial Narrow" w:cs="Arial Narrow"/>
                <w:sz w:val="24"/>
              </w:rPr>
              <w:t xml:space="preserve">Reviews automated ADHD detection approaches across signal modalities and machine-learning methods.</w:t>
            </w:r>
          </w:p>
        </w:tc>
        <w:tc>
          <w:tcPr>
            <w:tcW w:w="3057" w:type="dxa"/>
            <w:tcBorders>
              <w:top w:val="single" w:sz="4" w:space="0" w:color="000000"/>
              <w:left w:val="single" w:sz="4" w:space="0" w:color="000000"/>
              <w:bottom w:val="single" w:sz="4" w:space="0" w:color="000000"/>
              <w:right w:val="single" w:sz="4" w:space="0" w:color="000000"/>
            </w:tcBorders>
          </w:tcPr>
          <w:p w14:paraId="08B9ABF0" w14:textId="77777777" w:rsidR="00460D4A" w:rsidRDefault="00000000">
            <w:r>
              <w:rPr>
                <w:rFonts w:ascii="Arial Narrow" w:hAnsi="Arial Narrow" w:cs="Arial Narrow"/>
                <w:sz w:val="24"/>
              </w:rPr>
              <w:t xml:space="preserve">Classification-centric; individual, content-specific attention feedback is largely absent from the reviewed work.</w:t>
            </w:r>
          </w:p>
        </w:tc>
      </w:tr>
      <w:tr w:rsidR="00460D4A" w14:paraId="10405D38" w14:textId="77777777">
        <w:tc>
          <w:tcPr>
            <w:tcW w:w="2182" w:type="dxa"/>
            <w:tcBorders>
              <w:top w:val="single" w:sz="4" w:space="0" w:color="000000"/>
              <w:left w:val="single" w:sz="4" w:space="0" w:color="000000"/>
              <w:bottom w:val="single" w:sz="4" w:space="0" w:color="000000"/>
              <w:right w:val="single" w:sz="4" w:space="0" w:color="000000"/>
            </w:tcBorders>
          </w:tcPr>
          <w:p w14:paraId="38FEFA72" w14:textId="77777777" w:rsidR="00460D4A" w:rsidRDefault="00000000">
            <w:r>
              <w:rPr>
                <w:rFonts w:ascii="Arial Narrow" w:hAnsi="Arial Narrow" w:cs="Arial Narrow"/>
                <w:sz w:val="24"/>
              </w:rPr>
              <w:t xml:space="preserve">10. Use of machine learning to classify adult ADHD based on the Conners' Adult ADHD Rating Scales / Christiansen et al. / 2020</w:t>
            </w:r>
          </w:p>
        </w:tc>
        <w:tc>
          <w:tcPr>
            <w:tcW w:w="4106" w:type="dxa"/>
            <w:tcBorders>
              <w:top w:val="single" w:sz="4" w:space="0" w:color="000000"/>
              <w:left w:val="single" w:sz="4" w:space="0" w:color="000000"/>
              <w:bottom w:val="single" w:sz="4" w:space="0" w:color="000000"/>
              <w:right w:val="single" w:sz="4" w:space="0" w:color="000000"/>
            </w:tcBorders>
          </w:tcPr>
          <w:p w14:paraId="28DAB6C4" w14:textId="77777777" w:rsidR="00460D4A" w:rsidRDefault="00000000">
            <w:r>
              <w:rPr>
                <w:rFonts w:ascii="Arial Narrow" w:hAnsi="Arial Narrow" w:cs="Arial Narrow"/>
                <w:sz w:val="24"/>
              </w:rPr>
              <w:t xml:space="preserve">Applies machine learning to self-report rating scales, illustrating the value of structured self-report as an input signal.</w:t>
            </w:r>
          </w:p>
        </w:tc>
        <w:tc>
          <w:tcPr>
            <w:tcW w:w="3057" w:type="dxa"/>
            <w:tcBorders>
              <w:top w:val="single" w:sz="4" w:space="0" w:color="000000"/>
              <w:left w:val="single" w:sz="4" w:space="0" w:color="000000"/>
              <w:bottom w:val="single" w:sz="4" w:space="0" w:color="000000"/>
              <w:right w:val="single" w:sz="4" w:space="0" w:color="000000"/>
            </w:tcBorders>
          </w:tcPr>
          <w:p w14:paraId="69A23E63" w14:textId="77777777" w:rsidR="00460D4A" w:rsidRDefault="00000000">
            <w:r>
              <w:rPr>
                <w:rFonts w:ascii="Arial Narrow" w:hAnsi="Arial Narrow" w:cs="Arial Narrow"/>
                <w:sz w:val="24"/>
              </w:rPr>
              <w:t xml:space="preserve">Self-report used for diagnosis rather than as a complement to behavioural sensing; no objective ocular measures.</w:t>
            </w:r>
          </w:p>
        </w:tc>
      </w:tr>
      <w:tr w:rsidR="00460D4A" w14:paraId="49A0A1F8" w14:textId="77777777">
        <w:tc>
          <w:tcPr>
            <w:tcW w:w="2182" w:type="dxa"/>
            <w:tcBorders>
              <w:top w:val="single" w:sz="4" w:space="0" w:color="000000"/>
              <w:left w:val="single" w:sz="4" w:space="0" w:color="000000"/>
              <w:bottom w:val="single" w:sz="4" w:space="0" w:color="000000"/>
              <w:right w:val="single" w:sz="4" w:space="0" w:color="000000"/>
            </w:tcBorders>
          </w:tcPr>
          <w:p w14:paraId="1044ED7C" w14:textId="77777777" w:rsidR="00460D4A" w:rsidRDefault="00000000">
            <w:r>
              <w:rPr>
                <w:rFonts w:ascii="Arial Narrow" w:hAnsi="Arial Narrow" w:cs="Arial Narrow"/>
                <w:sz w:val="24"/>
              </w:rPr>
              <w:t xml:space="preserve">11. The global prevalence of ADHD in children and adolescents: A systematic review and meta-analysis / Salari et al. / 2023</w:t>
            </w:r>
          </w:p>
        </w:tc>
        <w:tc>
          <w:tcPr>
            <w:tcW w:w="4106" w:type="dxa"/>
            <w:tcBorders>
              <w:top w:val="single" w:sz="4" w:space="0" w:color="000000"/>
              <w:left w:val="single" w:sz="4" w:space="0" w:color="000000"/>
              <w:bottom w:val="single" w:sz="4" w:space="0" w:color="000000"/>
              <w:right w:val="single" w:sz="4" w:space="0" w:color="000000"/>
            </w:tcBorders>
          </w:tcPr>
          <w:p w14:paraId="3F57741B" w14:textId="77777777" w:rsidR="00460D4A" w:rsidRDefault="00000000">
            <w:r>
              <w:rPr>
                <w:rFonts w:ascii="Arial Narrow" w:hAnsi="Arial Narrow" w:cs="Arial Narrow"/>
                <w:sz w:val="24"/>
              </w:rPr>
              <w:t xml:space="preserve">Quantifies ADHD prevalence worldwide, establishing the size of the population for whom attention-aware study support is relevant.</w:t>
            </w:r>
          </w:p>
        </w:tc>
        <w:tc>
          <w:tcPr>
            <w:tcW w:w="3057" w:type="dxa"/>
            <w:tcBorders>
              <w:top w:val="single" w:sz="4" w:space="0" w:color="000000"/>
              <w:left w:val="single" w:sz="4" w:space="0" w:color="000000"/>
              <w:bottom w:val="single" w:sz="4" w:space="0" w:color="000000"/>
              <w:right w:val="single" w:sz="4" w:space="0" w:color="000000"/>
            </w:tcBorders>
          </w:tcPr>
          <w:p w14:paraId="190E0348" w14:textId="77777777" w:rsidR="00460D4A" w:rsidRDefault="00000000">
            <w:r>
              <w:rPr>
                <w:rFonts w:ascii="Arial Narrow" w:hAnsi="Arial Narrow" w:cs="Arial Narrow"/>
                <w:sz w:val="24"/>
              </w:rPr>
              <w:t xml:space="preserve">Epidemiological; offers no intervention or tooling.</w:t>
            </w:r>
          </w:p>
        </w:tc>
      </w:tr>
      <w:tr w:rsidR="00460D4A" w14:paraId="095094CA" w14:textId="77777777">
        <w:tc>
          <w:tcPr>
            <w:tcW w:w="2182" w:type="dxa"/>
            <w:tcBorders>
              <w:top w:val="single" w:sz="4" w:space="0" w:color="000000"/>
              <w:left w:val="single" w:sz="4" w:space="0" w:color="000000"/>
              <w:bottom w:val="single" w:sz="4" w:space="0" w:color="000000"/>
              <w:right w:val="single" w:sz="4" w:space="0" w:color="000000"/>
            </w:tcBorders>
          </w:tcPr>
          <w:p w14:paraId="32728581" w14:textId="77777777" w:rsidR="00460D4A" w:rsidRDefault="00000000">
            <w:r>
              <w:rPr>
                <w:rFonts w:ascii="Arial Narrow" w:hAnsi="Arial Narrow" w:cs="Arial Narrow"/>
                <w:sz w:val="24"/>
              </w:rPr>
              <w:t xml:space="preserve">12. Managing ADHD symptoms in children through technology-driven serious games: A systematic review / Doulou, Pergantis, Drigas &amp; Skianis / 2025</w:t>
            </w:r>
          </w:p>
        </w:tc>
        <w:tc>
          <w:tcPr>
            <w:tcW w:w="4106" w:type="dxa"/>
            <w:tcBorders>
              <w:top w:val="single" w:sz="4" w:space="0" w:color="000000"/>
              <w:left w:val="single" w:sz="4" w:space="0" w:color="000000"/>
              <w:bottom w:val="single" w:sz="4" w:space="0" w:color="000000"/>
              <w:right w:val="single" w:sz="4" w:space="0" w:color="000000"/>
            </w:tcBorders>
          </w:tcPr>
          <w:p w14:paraId="6E787A9B" w14:textId="77777777" w:rsidR="00460D4A" w:rsidRDefault="00000000">
            <w:r>
              <w:rPr>
                <w:rFonts w:ascii="Arial Narrow" w:hAnsi="Arial Narrow" w:cs="Arial Narrow"/>
                <w:sz w:val="24"/>
              </w:rPr>
              <w:t xml:space="preserve">Reviews serious games and structured digital tasks used as technology-mediated interventions for ADHD symptom management.</w:t>
            </w:r>
          </w:p>
        </w:tc>
        <w:tc>
          <w:tcPr>
            <w:tcW w:w="3057" w:type="dxa"/>
            <w:tcBorders>
              <w:top w:val="single" w:sz="4" w:space="0" w:color="000000"/>
              <w:left w:val="single" w:sz="4" w:space="0" w:color="000000"/>
              <w:bottom w:val="single" w:sz="4" w:space="0" w:color="000000"/>
              <w:right w:val="single" w:sz="4" w:space="0" w:color="000000"/>
            </w:tcBorders>
          </w:tcPr>
          <w:p w14:paraId="1F0476DC" w14:textId="77777777" w:rsidR="00460D4A" w:rsidRDefault="00000000">
            <w:r>
              <w:rPr>
                <w:rFonts w:ascii="Arial Narrow" w:hAnsi="Arial Narrow" w:cs="Arial Narrow"/>
                <w:sz w:val="24"/>
              </w:rPr>
              <w:t xml:space="preserve">Interventions are prescribed generically; whether a given format suits a given individual is not measured.</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13. A novel digital intervention for actively reducing severity of paediatric ADHD (STARS-ADHD): A randomised controlled trial / Kollins et al. / 2020</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Randomised trial of a game-delivered digital intervention showing measurable effects on attention outcomes.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Delivers a fixed intervention; does not profile which content categories sustain a particular user's attention.</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14. Proof-of-concept study of an at-home, engaging, digital intervention for pediatric ADHD / Davis, Bower &amp; Kollins / 2018</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Demonstrates feasibility of an at-home digital intervention, supporting the premise that useful attention-related data can be gathered where studying actually happens.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Focused on symptom reduction; no gaze sensing and no learning-style output.</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15. Efficacy of behavior modification training combined with EEG biofeedback therapy for ADHD in children: A randomized controlled trial / Luo, Zhang, Xia &amp; Zhou / 2023</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Evaluates combined behavioural training and EEG biofeedback, showing objective physiological signals can support attention interventions.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Requires EEG hardware and clinical supervision; not deployable on a consumer phone.</w:t>
            </w:r>
          </w:p>
        </w:tc>
      </w:tr>
      <w:tr w:rsidR="00460D4A">
        <w:tc>
          <w:tcPr>
            <w:tcW w:w="2182"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16. Objective evaluation of ADHD medication effects using a load-cell-embedded chair in a simulated classroom / Ouyang, Wu, Chiu, Yang &amp; Lin / 2026</w:t>
            </w:r>
          </w:p>
        </w:tc>
        <w:tc>
          <w:tcPr>
            <w:tcW w:w="4106"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Uses an instrumented chair to measure movement objectively as an attention-related outcome, illustrating demand for objective rather than recall-based measures.</w:t>
            </w:r>
          </w:p>
        </w:tc>
        <w:tc>
          <w:tcPr>
            <w:tcW w:w="3057" w:type="dxa"/>
            <w:tcBorders>
              <w:top w:val="single" w:sz="4" w:space="0" w:color="000000"/>
              <w:left w:val="single" w:sz="4" w:space="0" w:color="000000"/>
              <w:bottom w:val="single" w:sz="4" w:space="0" w:color="000000"/>
              <w:right w:val="single" w:sz="4" w:space="0" w:color="000000"/>
            </w:tcBorders>
          </w:tcPr>
          <w:p w:rsidR="00460D4A" w:rsidRDefault="00000000">
            <w:r>
              <w:rPr>
                <w:rFonts w:ascii="Arial Narrow" w:hAnsi="Arial Narrow" w:cs="Arial Narrow"/>
                <w:sz w:val="24"/>
              </w:rPr>
              <w:t xml:space="preserve">Depends on purpose-built furniture; measures motor activity rather than visual attention to content.</w:t>
            </w:r>
          </w:p>
        </w:tc>
      </w:tr>
    </w:tbl>
    <w:p w14:paraId="6C79397C" w14:textId="77777777"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Concept Map</w:t>
      </w:r>
    </w:p>
    <w:p w14:paraId="45EFBAE3" w14:textId="77777777"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bookmarkStart w:id="16" w:name="_pqzhwfc0kwnk" w:colFirst="0" w:colLast="0"/>
      <w:bookmarkEnd w:id="16"/>
      <w:r>
        <w:rPr>
          <w:rFonts w:ascii="Arial Narrow" w:eastAsia="Arial Narrow" w:hAnsi="Arial Narrow" w:cs="Arial Narrow"/>
          <w:i/>
          <w:iCs/>
          <w:color w:val="44546A"/>
          <w:sz w:val="18"/>
          <w:szCs w:val="18"/>
        </w:rPr>
        <w:t>Figure 1 Concept Map</w:t>
      </w:r>
    </w:p>
    <w:p w14:paraId="18E17BEC" w14:textId="77777777" w:rsidR="00460D4A" w:rsidRDefault="00460D4A">
      <w:pPr>
        <w:spacing w:before="0" w:after="120" w:line="240" w:lineRule="auto"/>
        <w:jc w:val="center"/>
      </w:pPr>
      <w:bookmarkStart w:id="17" w:name="_mhlb0y5blx8u" w:colFirst="0" w:colLast="0"/>
      <w:bookmarkEnd w:id="17"/>
      <w:r>
        <w:drawing>
          <wp:inline distT="0" distB="0" distL="0" distR="0">
            <wp:extent cx="5486400" cy="404261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9"/>
                    <a:srcRect/>
                    <a:stretch>
                      <a:fillRect/>
                    </a:stretch>
                  </pic:blipFill>
                  <pic:spPr>
                    <a:xfrm>
                      <a:off x="0" y="0"/>
                      <a:ext cx="5486400" cy="4042610"/>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1 situates FocusFlow in its problem space and traces its pipeline. Ongoing ADHD management relies on brief in-clinic observation and retrospective recall, so day-to-day content is chosen by guesswork; existing device-camera eye-tracking research, meanwhile, is directed at diagnostic classification. Together these leave the research gap the system addresses: actionable, per-content attention feedback for the individual. FocusFlow senses through the front camera, processes every frame on the device with the MediaPipe Face Landmarker, and combines gaze deflection with head pose into a per-frame screen-attention decision; a temporal layer measures screen-attention proportion, gaze shifts, blink count, and time to first sustained lapse, ending a clip early on a sustained drop. Clips come from a curated nine-category library in randomized order, each followed by two self-ratings. These feed a six-component per-category score, released as a ranked profile only after five successful assessments; trait clusters aggregated across the strongest categories yield a learning style, from which study techniques, content formats, and weekly goals are generated for the dashboard and PDF report, which the user may share as observational context. Derived metrics are kept locally and only account data remotely; the privacy boundary — frames processed in memory and discarded — bounds the whole pipeline, and the system is explicitly not a diagnostic or screening tool.</w:t>
      </w:r>
    </w:p>
    <w:p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 xml:space="preserve">Sequence Diagram</w:t>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2 Sequence Diagram</w:t>
      </w:r>
    </w:p>
    <w:p w:rsidR="00460D4A" w:rsidRDefault="00000000">
      <w:pPr>
        <w:spacing w:before="0" w:after="120" w:line="240" w:lineRule="auto"/>
        <w:jc w:val="center"/>
      </w:pPr>
      <w:r>
        <w:drawing>
          <wp:inline distT="0" distB="0" distL="0" distR="0">
            <wp:extent cx="5486400" cy="6508102"/>
            <wp:effectExtent l="0" t="0" r="0" b="0"/>
            <wp:docPr id="10" name="fig_sequence.png"/>
            <wp:cNvGraphicFramePr/>
            <a:graphic xmlns:a="http://schemas.openxmlformats.org/drawingml/2006/main">
              <a:graphicData uri="http://schemas.openxmlformats.org/drawingml/2006/picture">
                <pic:pic xmlns:pic="http://schemas.openxmlformats.org/drawingml/2006/picture">
                  <pic:nvPicPr>
                    <pic:cNvPr id="0" name="fig_sequence.png"/>
                    <pic:cNvPicPr preferRelativeResize="0"/>
                  </pic:nvPicPr>
                  <pic:blipFill>
                    <a:blip r:embed="rId100"/>
                    <a:srcRect/>
                    <a:stretch>
                      <a:fillRect/>
                    </a:stretch>
                  </pic:blipFill>
                  <pic:spPr>
                    <a:xfrm>
                      <a:off x="0" y="0"/>
                      <a:ext cx="5486400" cy="6508102"/>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2 traces one complete run through the components as built. After sign-in and profile creation against the managed backend, the camera setup step binds the front camera and feeds every frame through the MediaPipe Face Landmarker; the CalibrationGate admits the assessment only after fifteen consecutive frames in which a face and both irises are detected and the head is facing the screen, capturing a baseline orientation. In the assessment loop the ViewModel randomizes the category order from the validated stimulus dataset, the UI selects a curated clip, and each frame is reduced on-device to a screen-attention decision that the AttentionTracker accumulates into screen-attention proportion, gaze shifts, blink count, and time to first sustained lapse. A clip ends in one of three ways: it completes with attention maintained, after which two self-ratings are collected and the successful count increments; a sustained drop ends it early and the category is marked unsuccessful; or the user skips, with a first skip requeueing the category and a second retiring it. The loop ends at five successful assessments or, gracefully, when the category pool is exhausted. Scoring and recommendation then run entirely on the device, only derived metrics are written to Room, and the PDF report is generated from persisted rows.</w:t>
      </w:r>
    </w:p>
    <w:p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 xml:space="preserve">Activity Diagram</w:t>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3 (a) Activity Diagram — onboarding, camera setup and assessment loop</w:t>
      </w:r>
    </w:p>
    <w:p w:rsidR="00460D4A" w:rsidRDefault="00000000">
      <w:pPr>
        <w:spacing w:before="0" w:after="120" w:line="240" w:lineRule="auto"/>
        <w:jc w:val="center"/>
      </w:pPr>
      <w:r>
        <w:drawing>
          <wp:inline distT="0" distB="0" distL="0" distR="0">
            <wp:extent cx="5469054" cy="6766560"/>
            <wp:effectExtent l="0" t="0" r="0" b="0"/>
            <wp:docPr id="11" name="fig_activity_a.png"/>
            <wp:cNvGraphicFramePr/>
            <a:graphic xmlns:a="http://schemas.openxmlformats.org/drawingml/2006/main">
              <a:graphicData uri="http://schemas.openxmlformats.org/drawingml/2006/picture">
                <pic:pic xmlns:pic="http://schemas.openxmlformats.org/drawingml/2006/picture">
                  <pic:nvPicPr>
                    <pic:cNvPr id="0" name="fig_activity_a.png"/>
                    <pic:cNvPicPr preferRelativeResize="0"/>
                  </pic:nvPicPr>
                  <pic:blipFill>
                    <a:blip r:embed="rId101"/>
                    <a:srcRect/>
                    <a:stretch>
                      <a:fillRect/>
                    </a:stretch>
                  </pic:blipFill>
                  <pic:spPr>
                    <a:xfrm>
                      <a:off x="0" y="0"/>
                      <a:ext cx="5469054" cy="6766560"/>
                    </a:xfrm>
                    <a:prstGeom prst="rect">
                      <a:avLst/>
                    </a:prstGeom>
                    <a:ln/>
                  </pic:spPr>
                </pic:pic>
              </a:graphicData>
            </a:graphic>
          </wp:inline>
        </w:drawing>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3 (b) Activity Diagram — clip outcomes, scoring, profile and export (continued)</w:t>
      </w:r>
    </w:p>
    <w:p w:rsidR="00460D4A" w:rsidRDefault="00000000">
      <w:pPr>
        <w:spacing w:before="0" w:after="120" w:line="240" w:lineRule="auto"/>
        <w:jc w:val="center"/>
      </w:pPr>
      <w:r>
        <w:drawing>
          <wp:inline distT="0" distB="0" distL="0" distR="0">
            <wp:extent cx="4967212" cy="6766560"/>
            <wp:effectExtent l="0" t="0" r="0" b="0"/>
            <wp:docPr id="12" name="fig_activity_b.png"/>
            <wp:cNvGraphicFramePr/>
            <a:graphic xmlns:a="http://schemas.openxmlformats.org/drawingml/2006/main">
              <a:graphicData uri="http://schemas.openxmlformats.org/drawingml/2006/picture">
                <pic:pic xmlns:pic="http://schemas.openxmlformats.org/drawingml/2006/picture">
                  <pic:nvPicPr>
                    <pic:cNvPr id="0" name="fig_activity_b.png"/>
                    <pic:cNvPicPr preferRelativeResize="0"/>
                  </pic:nvPicPr>
                  <pic:blipFill>
                    <a:blip r:embed="rId102"/>
                    <a:srcRect/>
                    <a:stretch>
                      <a:fillRect/>
                    </a:stretch>
                  </pic:blipFill>
                  <pic:spPr>
                    <a:xfrm>
                      <a:off x="0" y="0"/>
                      <a:ext cx="4967212" cy="6766560"/>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3 shows the user-facing flow. A registered user grants camera permission and completes the camera setup step, which loops until fifteen consecutive stable frames have been observed and a baseline head orientation captured. Categories are then presented in randomized order from the validated stimulus dataset. Each clip is tracked on-device and resolves to one of three outcomes: a sustained attention drop ends the clip early and marks the category unsuccessful; a skip requeues the category on first occurrence and retires it on the second; or the clip completes with attention maintained, the user supplies two self-ratings, and the successful count increments. The loop continues until five successful assessments are reached or the category pool is exhausted, in which case the session ends gracefully with whatever was measured. The per-category attention score is then computed, categories are ranked, trait clusters are aggregated across the strongest categories to infer a learning style, and study techniques, content formats, and weekly goals are generated. Derived metrics are saved locally, the results and recommendations are shown, and the user may export a PDF report or begin a new session.</w:t>
      </w:r>
    </w:p>
    <w:p w:rsidR="00460D4A" w:rsidRDefault="00000000">
      <w:pPr>
        <w:pStyle w:val="Heading3"/>
        <w:pageBreakBefore/>
        <w:spacing w:before="280" w:after="280" w:line="480" w:lineRule="auto"/>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 xml:space="preserve">Entity Relationship Diagram</w:t>
      </w:r>
    </w:p>
    <w:p w:rsidR="00460D4A" w:rsidRDefault="00000000">
      <w:pPr>
        <w:keepNext/>
        <w:pBdr>
          <w:top w:val="nil"/>
          <w:left w:val="nil"/>
          <w:bottom w:val="nil"/>
          <w:right w:val="nil"/>
          <w:between w:val="nil"/>
        </w:pBdr>
        <w:spacing w:after="200" w:line="240" w:lineRule="auto"/>
        <w:rPr>
          <w:rFonts w:ascii="Arial Narrow" w:eastAsia="Arial Narrow" w:hAnsi="Arial Narrow" w:cs="Arial Narrow"/>
          <w:i/>
          <w:iCs/>
          <w:color w:val="44546A"/>
          <w:sz w:val="18"/>
          <w:szCs w:val="18"/>
        </w:rPr>
      </w:pPr>
      <w:r>
        <w:rPr>
          <w:rFonts w:ascii="Arial Narrow" w:eastAsia="Arial Narrow" w:hAnsi="Arial Narrow" w:cs="Arial Narrow"/>
          <w:i/>
          <w:iCs/>
          <w:color w:val="44546A"/>
          <w:sz w:val="18"/>
          <w:szCs w:val="18"/>
        </w:rPr>
        <w:t xml:space="preserve">Figure 4 Entity Relationship Diagram</w:t>
      </w:r>
    </w:p>
    <w:p w:rsidR="00460D4A" w:rsidRDefault="00000000">
      <w:pPr>
        <w:spacing w:before="0" w:after="120" w:line="240" w:lineRule="auto"/>
        <w:jc w:val="center"/>
      </w:pPr>
      <w:r>
        <w:drawing>
          <wp:inline distT="0" distB="0" distL="0" distR="0">
            <wp:extent cx="5486400" cy="3128087"/>
            <wp:effectExtent l="0" t="0" r="0" b="0"/>
            <wp:docPr id="13" name="fig_erd.png"/>
            <wp:cNvGraphicFramePr/>
            <a:graphic xmlns:a="http://schemas.openxmlformats.org/drawingml/2006/main">
              <a:graphicData uri="http://schemas.openxmlformats.org/drawingml/2006/picture">
                <pic:pic xmlns:pic="http://schemas.openxmlformats.org/drawingml/2006/picture">
                  <pic:nvPicPr>
                    <pic:cNvPr id="0" name="fig_erd.png"/>
                    <pic:cNvPicPr preferRelativeResize="0"/>
                  </pic:nvPicPr>
                  <pic:blipFill>
                    <a:blip r:embed="rId103"/>
                    <a:srcRect/>
                    <a:stretch>
                      <a:fillRect/>
                    </a:stretch>
                  </pic:blipFill>
                  <pic:spPr>
                    <a:xfrm>
                      <a:off x="0" y="0"/>
                      <a:ext cx="5486400" cy="3128087"/>
                    </a:xfrm>
                    <a:prstGeom prst="rect">
                      <a:avLst/>
                    </a:prstGeom>
                    <a:ln/>
                  </pic:spPr>
                </pic:pic>
              </a:graphicData>
            </a:graphic>
          </wp:inline>
        </w:drawing>
      </w:r>
    </w:p>
    <w:p w:rsidR="00460D4A" w:rsidRDefault="00000000">
      <w:pPr>
        <w:spacing w:after="120" w:line="480" w:lineRule="auto"/>
        <w:ind w:firstLine="720"/>
        <w:jc w:val="both"/>
        <w:rPr>
          <w:rFonts w:ascii="Arial Narrow" w:eastAsia="Arial Narrow" w:hAnsi="Arial Narrow" w:cs="Arial Narrow"/>
          <w:sz w:val="24"/>
          <w:szCs w:val="24"/>
        </w:rPr>
      </w:pPr>
      <w:r>
        <w:rPr>
          <w:rFonts w:ascii="Arial Narrow" w:hAnsi="Arial Narrow" w:cs="Arial Narrow"/>
          <w:sz w:val="24"/>
        </w:rPr>
        <w:t xml:space="preserve">Figure 4 shows the data the system holds, separated by where it lives. The managed backend holds only the authentication user, the profile record, and the optional diagnosis document in a private bucket; no camera or gaze data ever reaches it. Local relational persistence in Room holds one assessment_history row per category per session, carrying the final score, its four gaze-based sub-scores, the two self-ratings, the underlying measurements (screen-attention percentage, gaze-shift count, blink count, first sustained lapse, watched duration), the measured analysis frame rate, capture-quality flags, and the successful, skipped, and skip-count fields that the session rule depends on, together with the self-reflection questionnaire responses. The stimulus library is a compiled dataset rather than a database: each stimulus belongs to exactly one canonical category, and each category maps to one or more trait clusters with weights that sum to one. The recommendation profile is derived at runtime from a session's rows and is not itself a table.</w:t>
      </w:r>
    </w:p>
    <w:p w14:paraId="63936D2B" w14:textId="77777777" w:rsidR="00460D4A" w:rsidRDefault="00460D4A"/>
    <w:sectPr w:rsidR="00460D4A">
      <w:footerReference w:type="default" r:id="rId11"/>
      <w:pgSz w:w="12240" w:h="15840"/>
      <w:pgMar w:top="1440" w:right="1800" w:bottom="1440" w:left="180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1D393" w14:textId="77777777" w:rsidR="00A016CC" w:rsidRDefault="00A016CC">
      <w:pPr>
        <w:spacing w:after="0" w:line="240" w:lineRule="auto"/>
      </w:pPr>
      <w:r>
        <w:separator/>
      </w:r>
    </w:p>
  </w:endnote>
  <w:endnote w:type="continuationSeparator" w:id="0">
    <w:p w14:paraId="68AA490D" w14:textId="77777777" w:rsidR="00A016CC" w:rsidRDefault="00A01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74518EE-71E0-45D7-8EFF-8535136F62E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813A2D0-56F6-4CBB-9EA1-A0D34AB377F5}"/>
    <w:embedBold r:id="rId3" w:fontKey="{0B08B61E-955A-4F0A-965B-02BBDAC08DFB}"/>
  </w:font>
  <w:font w:name="Georgia">
    <w:panose1 w:val="02040502050405020303"/>
    <w:charset w:val="00"/>
    <w:family w:val="roman"/>
    <w:pitch w:val="variable"/>
    <w:sig w:usb0="00000287" w:usb1="00000000" w:usb2="00000000" w:usb3="00000000" w:csb0="0000009F" w:csb1="00000000"/>
    <w:embedItalic r:id="rId4" w:fontKey="{539C7F21-2A37-4E22-963C-6F44F75A15A9}"/>
  </w:font>
  <w:font w:name="Arial Narrow">
    <w:panose1 w:val="020B0606020202030204"/>
    <w:charset w:val="00"/>
    <w:family w:val="swiss"/>
    <w:pitch w:val="variable"/>
    <w:sig w:usb0="00000287" w:usb1="00000800" w:usb2="00000000" w:usb3="00000000" w:csb0="0000009F" w:csb1="00000000"/>
    <w:embedRegular r:id="rId5" w:fontKey="{1605AF7F-612B-498B-81CD-547371BCCD4F}"/>
    <w:embedBold r:id="rId6" w:fontKey="{C70E1888-29C0-4110-B034-BA83ADB78676}"/>
    <w:embedItalic r:id="rId7" w:fontKey="{1E405162-9F7A-4D15-9943-B050298748B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A0215BD6-7028-4DB0-B56D-11A4DCA921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988AD" w14:textId="77777777" w:rsidR="00460D4A" w:rsidRDefault="00460D4A">
    <w:pPr>
      <w:pBdr>
        <w:top w:val="nil"/>
        <w:left w:val="nil"/>
        <w:bottom w:val="nil"/>
        <w:right w:val="nil"/>
        <w:between w:val="nil"/>
      </w:pBdr>
      <w:tabs>
        <w:tab w:val="center" w:pos="4680"/>
        <w:tab w:val="right" w:pos="9360"/>
      </w:tabs>
      <w:spacing w:after="0" w:line="240" w:lineRule="auto"/>
      <w:jc w:val="right"/>
      <w:rPr>
        <w:color w:val="000000"/>
      </w:rPr>
    </w:pPr>
  </w:p>
  <w:p w14:paraId="39BCF957" w14:textId="77777777" w:rsidR="00460D4A" w:rsidRDefault="00460D4A">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A2E8" w14:textId="77777777" w:rsidR="00460D4A"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11375">
      <w:rPr>
        <w:noProof/>
        <w:color w:val="000000"/>
      </w:rPr>
      <w:t>1</w:t>
    </w:r>
    <w:r>
      <w:rPr>
        <w:color w:val="000000"/>
      </w:rPr>
      <w:fldChar w:fldCharType="end"/>
    </w:r>
  </w:p>
  <w:p w14:paraId="522994AB" w14:textId="77777777" w:rsidR="00460D4A" w:rsidRDefault="00460D4A">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588E" w14:textId="77777777" w:rsidR="00460D4A"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11375">
      <w:rPr>
        <w:noProof/>
        <w:color w:val="000000"/>
      </w:rPr>
      <w:t>2</w:t>
    </w:r>
    <w:r>
      <w:rPr>
        <w:color w:val="000000"/>
      </w:rPr>
      <w:fldChar w:fldCharType="end"/>
    </w:r>
  </w:p>
  <w:p w14:paraId="34F52976" w14:textId="77777777" w:rsidR="00460D4A" w:rsidRDefault="00460D4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EA904" w14:textId="77777777" w:rsidR="00A016CC" w:rsidRDefault="00A016CC">
      <w:pPr>
        <w:spacing w:after="0" w:line="240" w:lineRule="auto"/>
      </w:pPr>
      <w:r>
        <w:separator/>
      </w:r>
    </w:p>
  </w:footnote>
  <w:footnote w:type="continuationSeparator" w:id="0">
    <w:p w14:paraId="35B39890" w14:textId="77777777" w:rsidR="00A016CC" w:rsidRDefault="00A016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F2F74"/>
    <w:multiLevelType w:val="multilevel"/>
    <w:tmpl w:val="526088A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 w15:restartNumberingAfterBreak="0">
    <w:nsid w:val="1BB11D0F"/>
    <w:multiLevelType w:val="multilevel"/>
    <w:tmpl w:val="E1C608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 w15:restartNumberingAfterBreak="0">
    <w:nsid w:val="1DF90991"/>
    <w:multiLevelType w:val="multilevel"/>
    <w:tmpl w:val="78048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BC46BC"/>
    <w:multiLevelType w:val="multilevel"/>
    <w:tmpl w:val="980A4DC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582832824">
    <w:abstractNumId w:val="2"/>
  </w:num>
  <w:num w:numId="2" w16cid:durableId="2073697492">
    <w:abstractNumId w:val="3"/>
  </w:num>
  <w:num w:numId="3" w16cid:durableId="64495138">
    <w:abstractNumId w:val="0"/>
  </w:num>
  <w:num w:numId="4" w16cid:durableId="144546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D4A"/>
    <w:rsid w:val="003505D9"/>
    <w:rsid w:val="00460D4A"/>
    <w:rsid w:val="005473BD"/>
    <w:rsid w:val="00811375"/>
    <w:rsid w:val="00A016CC"/>
    <w:rsid w:val="00D62F4E"/>
    <w:rsid w:val="00EE480A"/>
    <w:rsid w:val="00F4355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4B4F1"/>
  <w15:docId w15:val="{6F9E5CA7-9C85-4732-97D2-5DFF936AF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uiPriority w:val="9"/>
    <w:unhideWhenUsed/>
    <w:qFormat/>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semiHidden/>
    <w:unhideWhenUsed/>
    <w:rsid w:val="003505D9"/>
    <w:pPr>
      <w:spacing w:before="100" w:beforeAutospacing="1" w:after="100" w:afterAutospacing="1" w:line="240" w:lineRule="auto"/>
    </w:pPr>
    <w:rPr>
      <w:rFonts w:ascii="Times New Roman" w:eastAsia="Times New Roman" w:hAnsi="Times New Roman" w:cs="Times New Roman"/>
      <w:sz w:val="24"/>
      <w:szCs w:val="24"/>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99" Type="http://schemas.openxmlformats.org/officeDocument/2006/relationships/image" Target="media/image2.png"/><Relationship Id="rId100" Type="http://schemas.openxmlformats.org/officeDocument/2006/relationships/image" Target="media/fig_sequence.png"/><Relationship Id="rId101" Type="http://schemas.openxmlformats.org/officeDocument/2006/relationships/image" Target="media/fig_activity_a.png"/><Relationship Id="rId102" Type="http://schemas.openxmlformats.org/officeDocument/2006/relationships/image" Target="media/fig_activity_b.png"/><Relationship Id="rId103" Type="http://schemas.openxmlformats.org/officeDocument/2006/relationships/image" Target="media/fig_erd.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C22D2-9EA0-4CF2-B559-D228202F4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2425</Words>
  <Characters>13826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Rhezann Pacaña</cp:lastModifiedBy>
  <cp:revision>4</cp:revision>
  <dcterms:created xsi:type="dcterms:W3CDTF">2026-09-08T05:57:00Z</dcterms:created>
  <dcterms:modified xsi:type="dcterms:W3CDTF">2026-09-15T05:49:00Z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bbe474491447243d6ad8bab458ad6c690b03ef4abf7f3002036601f086dd89ae</vt:lpwstr>
  </property>
</Properties>
</file>